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24,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8</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645287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0" w:type="dxa"/>
            <w:vAlign w:val="bottom"/>
          </w:tcPr>
          <w:p>
            <w:pPr>
              <w:jc w:val="center"/>
              <w:ind w:left="972"/>
              <w:spacing w:after="0"/>
              <w:rPr>
                <w:sz w:val="20"/>
                <w:szCs w:val="20"/>
                <w:color w:val="auto"/>
              </w:rPr>
            </w:pPr>
            <w:r>
              <w:rPr>
                <w:rFonts w:ascii="Arial" w:cs="Arial" w:eastAsia="Arial" w:hAnsi="Arial"/>
                <w:sz w:val="14"/>
                <w:szCs w:val="14"/>
                <w:b w:val="1"/>
                <w:bCs w:val="1"/>
                <w:color w:val="auto"/>
                <w:w w:val="87"/>
              </w:rPr>
              <w:t>Proposed Maximum</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300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jc w:val="center"/>
              <w:ind w:left="872"/>
              <w:spacing w:after="0"/>
              <w:rPr>
                <w:sz w:val="20"/>
                <w:szCs w:val="20"/>
                <w:color w:val="auto"/>
              </w:rPr>
            </w:pPr>
            <w:r>
              <w:rPr>
                <w:rFonts w:ascii="Arial" w:cs="Arial" w:eastAsia="Arial" w:hAnsi="Arial"/>
                <w:sz w:val="14"/>
                <w:szCs w:val="14"/>
                <w:b w:val="1"/>
                <w:bCs w:val="1"/>
                <w:color w:val="auto"/>
                <w:w w:val="84"/>
              </w:rPr>
              <w:t>Securities to be Registered</w:t>
            </w:r>
          </w:p>
        </w:tc>
        <w:tc>
          <w:tcPr>
            <w:tcW w:w="3000" w:type="dxa"/>
            <w:vAlign w:val="bottom"/>
          </w:tcPr>
          <w:p>
            <w:pPr>
              <w:jc w:val="center"/>
              <w:ind w:left="992"/>
              <w:spacing w:after="0"/>
              <w:rPr>
                <w:sz w:val="20"/>
                <w:szCs w:val="20"/>
                <w:color w:val="auto"/>
              </w:rPr>
            </w:pPr>
            <w:r>
              <w:rPr>
                <w:rFonts w:ascii="Arial" w:cs="Arial" w:eastAsia="Arial" w:hAnsi="Arial"/>
                <w:sz w:val="14"/>
                <w:szCs w:val="14"/>
                <w:b w:val="1"/>
                <w:bCs w:val="1"/>
                <w:color w:val="auto"/>
                <w:w w:val="89"/>
              </w:rPr>
              <w:t>Offering Price(1)(2)</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Registration Fee(3)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par value $0.01 per share</w:t>
            </w:r>
          </w:p>
        </w:tc>
        <w:tc>
          <w:tcPr>
            <w:tcW w:w="3000" w:type="dxa"/>
            <w:vAlign w:val="bottom"/>
            <w:shd w:val="clear" w:color="auto" w:fill="CCEEFF"/>
          </w:tcPr>
          <w:p>
            <w:pPr>
              <w:jc w:val="center"/>
              <w:ind w:left="992"/>
              <w:spacing w:after="0" w:line="149" w:lineRule="exact"/>
              <w:rPr>
                <w:sz w:val="20"/>
                <w:szCs w:val="20"/>
                <w:color w:val="auto"/>
              </w:rPr>
            </w:pPr>
            <w:r>
              <w:rPr>
                <w:rFonts w:ascii="Arial" w:cs="Arial" w:eastAsia="Arial" w:hAnsi="Arial"/>
                <w:sz w:val="14"/>
                <w:szCs w:val="14"/>
                <w:color w:val="auto"/>
                <w:w w:val="86"/>
              </w:rPr>
              <w:t>$517,500,000</w:t>
            </w:r>
          </w:p>
        </w:tc>
        <w:tc>
          <w:tcPr>
            <w:tcW w:w="18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$47,610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6443345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Includes $38,700,000 of aggregate offering price of shares of common stock that may be sold pursuant to the underwriters' over-allotment options.</w:t>
      </w:r>
    </w:p>
    <w:p>
      <w:pPr>
        <w:ind w:left="540" w:hanging="532"/>
        <w:spacing w:after="0" w:line="197" w:lineRule="auto"/>
        <w:tabs>
          <w:tab w:leader="none" w:pos="540" w:val="left"/>
        </w:tabs>
        <w:numPr>
          <w:ilvl w:val="0"/>
          <w:numId w:val="1"/>
        </w:numPr>
        <w:rPr>
          <w:rFonts w:ascii="Arial" w:cs="Arial" w:eastAsia="Arial" w:hAnsi="Arial"/>
          <w:sz w:val="10"/>
          <w:szCs w:val="10"/>
          <w:color w:val="auto"/>
          <w:vertAlign w:val="subscript"/>
        </w:rPr>
      </w:pPr>
      <w:r>
        <w:rPr>
          <w:rFonts w:ascii="Arial" w:cs="Arial" w:eastAsia="Arial" w:hAnsi="Arial"/>
          <w:sz w:val="8"/>
          <w:szCs w:val="8"/>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w:t>
      </w:r>
    </w:p>
    <w:p>
      <w:pPr>
        <w:spacing w:after="0" w:line="191"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23"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FF4040"/>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Subject to Completion, Dated October 24, 2002</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28,125,000 Shares</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is the initial public offering of Wynn Resorts, Limited. We are offering 28,125,000 shares of our common stock. We anticipate that the initial public offering price will be between $15.00 and $17.00 per share. Our common stock has been approved for quotation on The Nasdaq National Market under the symbol "WYNN."</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Concurrent with this offering, our wholly owned subsidiaries, Wynn Las Vegas, LLC and Wynn Las Vegas Capital Corp., are jointly offering $365 million in aggregate principal amount at maturity of second mortgage notes and Wynn Las Vegas is entering into credit facilities providing for borrowings of up to</w:t>
      </w:r>
    </w:p>
    <w:p>
      <w:pPr>
        <w:ind w:right="280"/>
        <w:spacing w:after="0" w:line="261" w:lineRule="auto"/>
        <w:rPr>
          <w:sz w:val="20"/>
          <w:szCs w:val="20"/>
          <w:color w:val="auto"/>
        </w:rPr>
      </w:pPr>
      <w:r>
        <w:rPr>
          <w:rFonts w:ascii="Arial" w:cs="Arial" w:eastAsia="Arial" w:hAnsi="Arial"/>
          <w:sz w:val="18"/>
          <w:szCs w:val="18"/>
          <w:color w:val="auto"/>
        </w:rPr>
        <w:t>$1 billion and a $188.5 million loan facility for the purchase of certain furniture, fixtures and equipment. We will guarantee the second mortgage notes and the debt facilities on an unsecured basis.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10.</w:t>
      </w:r>
    </w:p>
    <w:p>
      <w:pPr>
        <w:spacing w:after="0" w:line="219"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180" w:type="dxa"/>
            <w:vAlign w:val="bottom"/>
          </w:tcPr>
          <w:p>
            <w:pPr>
              <w:ind w:left="106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ind w:left="540"/>
              <w:spacing w:after="0"/>
              <w:rPr>
                <w:sz w:val="20"/>
                <w:szCs w:val="20"/>
                <w:color w:val="auto"/>
              </w:rPr>
            </w:pPr>
            <w:r>
              <w:rPr>
                <w:rFonts w:ascii="Arial" w:cs="Arial" w:eastAsia="Arial" w:hAnsi="Arial"/>
                <w:sz w:val="14"/>
                <w:szCs w:val="14"/>
                <w:b w:val="1"/>
                <w:bCs w:val="1"/>
                <w:color w:val="auto"/>
                <w:w w:val="77"/>
              </w:rPr>
              <w:t>Total</w:t>
            </w:r>
          </w:p>
        </w:tc>
      </w:tr>
      <w:tr>
        <w:trPr>
          <w:trHeight w:val="438"/>
        </w:trPr>
        <w:tc>
          <w:tcPr>
            <w:tcW w:w="5020" w:type="dxa"/>
            <w:vAlign w:val="bottom"/>
            <w:gridSpan w:val="2"/>
          </w:tcPr>
          <w:p>
            <w:pPr>
              <w:spacing w:after="0"/>
              <w:rPr>
                <w:sz w:val="20"/>
                <w:szCs w:val="20"/>
                <w:color w:val="auto"/>
              </w:rPr>
            </w:pPr>
            <w:r>
              <w:rPr>
                <w:rFonts w:ascii="Arial" w:cs="Arial" w:eastAsia="Arial" w:hAnsi="Arial"/>
                <w:sz w:val="18"/>
                <w:szCs w:val="18"/>
                <w:color w:val="auto"/>
              </w:rPr>
              <w:t>Public offering price</w:t>
            </w:r>
          </w:p>
        </w:tc>
        <w:tc>
          <w:tcPr>
            <w:tcW w:w="2180" w:type="dxa"/>
            <w:vAlign w:val="bottom"/>
          </w:tcPr>
          <w:p>
            <w:pPr>
              <w:ind w:left="10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2180" w:type="dxa"/>
            <w:vAlign w:val="bottom"/>
          </w:tcPr>
          <w:p>
            <w:pPr>
              <w:ind w:left="10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Proceeds, before expenses, to Wynn Resorts, Limited(1)</w:t>
            </w:r>
          </w:p>
        </w:tc>
        <w:tc>
          <w:tcPr>
            <w:tcW w:w="2180" w:type="dxa"/>
            <w:vAlign w:val="bottom"/>
          </w:tcPr>
          <w:p>
            <w:pPr>
              <w:ind w:left="10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120"/>
        </w:trPr>
        <w:tc>
          <w:tcPr>
            <w:tcW w:w="680" w:type="dxa"/>
            <w:vAlign w:val="bottom"/>
            <w:tcBorders>
              <w:bottom w:val="single" w:sz="8" w:color="808080"/>
            </w:tcBorders>
          </w:tcPr>
          <w:p>
            <w:pPr>
              <w:spacing w:after="0"/>
              <w:rPr>
                <w:sz w:val="10"/>
                <w:szCs w:val="10"/>
                <w:color w:val="auto"/>
              </w:rPr>
            </w:pPr>
          </w:p>
        </w:tc>
        <w:tc>
          <w:tcPr>
            <w:tcW w:w="43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20" w:hanging="532"/>
        <w:spacing w:after="0" w:line="204" w:lineRule="auto"/>
        <w:tabs>
          <w:tab w:leader="none" w:pos="540" w:val="left"/>
        </w:tabs>
        <w:numPr>
          <w:ilvl w:val="0"/>
          <w:numId w:val="2"/>
        </w:numPr>
        <w:rPr>
          <w:rFonts w:ascii="Arial" w:cs="Arial" w:eastAsia="Arial" w:hAnsi="Arial"/>
          <w:sz w:val="24"/>
          <w:szCs w:val="24"/>
          <w:color w:val="auto"/>
          <w:vertAlign w:val="subscript"/>
        </w:rPr>
      </w:pPr>
      <w:r>
        <w:rPr>
          <w:rFonts w:ascii="Arial" w:cs="Arial" w:eastAsia="Arial" w:hAnsi="Arial"/>
          <w:sz w:val="12"/>
          <w:szCs w:val="12"/>
          <w:color w:val="auto"/>
        </w:rPr>
        <w:t>Of the 28,125,000 shares of common stock offered hereby, Wynn Resorts intends to offer a total of 12,000,000 shares directly to certain purchasers, including Stephen A. Wynn, Chairman of the Board, Chief Executive Officer and a principal stockholder of Wynn Resorts, and Aruze USA, Inc., another principal stockholder of Wynn Resorts, each of whom has expressed interest in purchasing 5,000,000 shares at the price being offered to the public. The underwriters will not receive any underwriting discounts or commissions on any shares of common stock purchased by these purchasers.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to the underwriters the right to purchase up to 2,418,750 additional shares of common stock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820" w:type="dxa"/>
            <w:vAlign w:val="bottom"/>
            <w:gridSpan w:val="3"/>
          </w:tcPr>
          <w:p>
            <w:pPr>
              <w:ind w:left="40"/>
              <w:spacing w:after="0"/>
              <w:rPr>
                <w:sz w:val="20"/>
                <w:szCs w:val="20"/>
                <w:color w:val="auto"/>
              </w:rPr>
            </w:pPr>
            <w:r>
              <w:rPr>
                <w:rFonts w:ascii="Arial" w:cs="Arial" w:eastAsia="Arial" w:hAnsi="Arial"/>
                <w:sz w:val="18"/>
                <w:szCs w:val="18"/>
                <w:i w:val="1"/>
                <w:iCs w:val="1"/>
                <w:color w:val="auto"/>
              </w:rPr>
              <w:t>Joint Book-Running Managers</w:t>
            </w:r>
          </w:p>
        </w:tc>
      </w:tr>
      <w:tr>
        <w:trPr>
          <w:trHeight w:val="471"/>
        </w:trPr>
        <w:tc>
          <w:tcPr>
            <w:tcW w:w="6540" w:type="dxa"/>
            <w:vAlign w:val="bottom"/>
            <w:gridSpan w:val="4"/>
          </w:tcPr>
          <w:p>
            <w:pPr>
              <w:jc w:val="center"/>
              <w:ind w:left="1559"/>
              <w:spacing w:after="0"/>
              <w:rPr>
                <w:sz w:val="20"/>
                <w:szCs w:val="20"/>
                <w:color w:val="auto"/>
              </w:rPr>
            </w:pPr>
            <w:r>
              <w:rPr>
                <w:rFonts w:ascii="Arial" w:cs="Arial" w:eastAsia="Arial" w:hAnsi="Arial"/>
                <w:sz w:val="22"/>
                <w:szCs w:val="22"/>
                <w:b w:val="1"/>
                <w:bCs w:val="1"/>
                <w:color w:val="auto"/>
                <w:w w:val="90"/>
              </w:rPr>
              <w:t>Deutsche Bank Securities  Bear, Stearns &amp; Co. Inc.</w:t>
            </w:r>
          </w:p>
        </w:tc>
        <w:tc>
          <w:tcPr>
            <w:tcW w:w="4880" w:type="dxa"/>
            <w:vAlign w:val="bottom"/>
          </w:tcPr>
          <w:p>
            <w:pPr>
              <w:ind w:left="180"/>
              <w:spacing w:after="0"/>
              <w:rPr>
                <w:sz w:val="20"/>
                <w:szCs w:val="20"/>
                <w:color w:val="auto"/>
              </w:rPr>
            </w:pPr>
            <w:r>
              <w:rPr>
                <w:rFonts w:ascii="Arial" w:cs="Arial" w:eastAsia="Arial" w:hAnsi="Arial"/>
                <w:sz w:val="22"/>
                <w:szCs w:val="22"/>
                <w:b w:val="1"/>
                <w:bCs w:val="1"/>
                <w:color w:val="auto"/>
              </w:rPr>
              <w:t>Banc of America Securities LLC</w:t>
            </w:r>
          </w:p>
        </w:tc>
      </w:tr>
      <w:tr>
        <w:trPr>
          <w:trHeight w:val="216"/>
        </w:trPr>
        <w:tc>
          <w:tcPr>
            <w:tcW w:w="2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2640" w:type="dxa"/>
            <w:vAlign w:val="bottom"/>
          </w:tcPr>
          <w:p>
            <w:pPr>
              <w:spacing w:after="0"/>
              <w:rPr>
                <w:sz w:val="24"/>
                <w:szCs w:val="24"/>
                <w:color w:val="auto"/>
              </w:rPr>
            </w:pPr>
          </w:p>
        </w:tc>
        <w:tc>
          <w:tcPr>
            <w:tcW w:w="1960" w:type="dxa"/>
            <w:vAlign w:val="bottom"/>
          </w:tcPr>
          <w:p>
            <w:pPr>
              <w:jc w:val="center"/>
              <w:ind w:left="862"/>
              <w:spacing w:after="0"/>
              <w:rPr>
                <w:sz w:val="20"/>
                <w:szCs w:val="20"/>
                <w:color w:val="auto"/>
              </w:rPr>
            </w:pPr>
            <w:r>
              <w:rPr>
                <w:rFonts w:ascii="Arial" w:cs="Arial" w:eastAsia="Arial" w:hAnsi="Arial"/>
                <w:sz w:val="22"/>
                <w:szCs w:val="22"/>
                <w:b w:val="1"/>
                <w:bCs w:val="1"/>
                <w:color w:val="auto"/>
                <w:w w:val="93"/>
              </w:rPr>
              <w:t>JPMorgan</w:t>
            </w:r>
          </w:p>
        </w:tc>
        <w:tc>
          <w:tcPr>
            <w:tcW w:w="6820" w:type="dxa"/>
            <w:vAlign w:val="bottom"/>
            <w:gridSpan w:val="3"/>
          </w:tcPr>
          <w:p>
            <w:pPr>
              <w:ind w:left="200"/>
              <w:spacing w:after="0"/>
              <w:rPr>
                <w:sz w:val="20"/>
                <w:szCs w:val="20"/>
                <w:color w:val="auto"/>
              </w:rPr>
            </w:pPr>
            <w:r>
              <w:rPr>
                <w:rFonts w:ascii="Arial" w:cs="Arial" w:eastAsia="Arial" w:hAnsi="Arial"/>
                <w:sz w:val="22"/>
                <w:szCs w:val="22"/>
                <w:b w:val="1"/>
                <w:bCs w:val="1"/>
                <w:color w:val="auto"/>
              </w:rPr>
              <w:t>Dresdner Kleinwort Wasserstein</w:t>
            </w:r>
          </w:p>
        </w:tc>
      </w:tr>
      <w:tr>
        <w:trPr>
          <w:trHeight w:val="216"/>
        </w:trPr>
        <w:tc>
          <w:tcPr>
            <w:tcW w:w="46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4600" w:type="dxa"/>
            <w:vAlign w:val="bottom"/>
            <w:gridSpan w:val="2"/>
          </w:tcPr>
          <w:p>
            <w:pPr>
              <w:jc w:val="right"/>
              <w:ind w:right="102"/>
              <w:spacing w:after="0"/>
              <w:rPr>
                <w:sz w:val="20"/>
                <w:szCs w:val="20"/>
                <w:color w:val="auto"/>
              </w:rPr>
            </w:pPr>
            <w:r>
              <w:rPr>
                <w:rFonts w:ascii="Arial" w:cs="Arial" w:eastAsia="Arial" w:hAnsi="Arial"/>
                <w:sz w:val="22"/>
                <w:szCs w:val="22"/>
                <w:b w:val="1"/>
                <w:bCs w:val="1"/>
                <w:color w:val="auto"/>
              </w:rPr>
              <w:t>Jefferies &amp; Company, Inc.</w:t>
            </w:r>
          </w:p>
        </w:tc>
        <w:tc>
          <w:tcPr>
            <w:tcW w:w="1940" w:type="dxa"/>
            <w:vAlign w:val="bottom"/>
            <w:gridSpan w:val="2"/>
          </w:tcPr>
          <w:p>
            <w:pPr>
              <w:ind w:left="20"/>
              <w:spacing w:after="0"/>
              <w:rPr>
                <w:sz w:val="20"/>
                <w:szCs w:val="20"/>
                <w:color w:val="auto"/>
              </w:rPr>
            </w:pPr>
            <w:r>
              <w:rPr>
                <w:rFonts w:ascii="Arial" w:cs="Arial" w:eastAsia="Arial" w:hAnsi="Arial"/>
                <w:sz w:val="22"/>
                <w:szCs w:val="22"/>
                <w:b w:val="1"/>
                <w:bCs w:val="1"/>
                <w:color w:val="auto"/>
                <w:w w:val="98"/>
              </w:rPr>
              <w:t>Lazard  SG Cowen</w:t>
            </w:r>
          </w:p>
        </w:tc>
        <w:tc>
          <w:tcPr>
            <w:tcW w:w="4880" w:type="dxa"/>
            <w:vAlign w:val="bottom"/>
          </w:tcPr>
          <w:p>
            <w:pPr>
              <w:ind w:left="160"/>
              <w:spacing w:after="0"/>
              <w:rPr>
                <w:sz w:val="20"/>
                <w:szCs w:val="20"/>
                <w:color w:val="auto"/>
              </w:rPr>
            </w:pPr>
            <w:r>
              <w:rPr>
                <w:rFonts w:ascii="Arial" w:cs="Arial" w:eastAsia="Arial" w:hAnsi="Arial"/>
                <w:sz w:val="22"/>
                <w:szCs w:val="22"/>
                <w:b w:val="1"/>
                <w:bCs w:val="1"/>
                <w:color w:val="auto"/>
              </w:rPr>
              <w:t>Thomas Weisel Partners LLC</w:t>
            </w:r>
          </w:p>
        </w:tc>
      </w:tr>
      <w:tr>
        <w:trPr>
          <w:trHeight w:val="420"/>
        </w:trPr>
        <w:tc>
          <w:tcPr>
            <w:tcW w:w="26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1960" w:type="dxa"/>
            <w:vAlign w:val="bottom"/>
          </w:tcPr>
          <w:p>
            <w:pPr>
              <w:jc w:val="right"/>
              <w:ind w:right="822"/>
              <w:spacing w:after="0"/>
              <w:rPr>
                <w:sz w:val="20"/>
                <w:szCs w:val="20"/>
                <w:color w:val="auto"/>
              </w:rPr>
            </w:pPr>
            <w:r>
              <w:rPr>
                <w:rFonts w:ascii="Arial" w:cs="Arial" w:eastAsia="Arial" w:hAnsi="Arial"/>
                <w:sz w:val="18"/>
                <w:szCs w:val="18"/>
                <w:color w:val="auto"/>
              </w:rPr>
              <w:t>, 2002.</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-1180465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-1180465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-734695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-734695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 Rêve site map and map of geography of Macau and surrounding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10 before making an investment decision.</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Wynn Resorts, Limited was recently organized as a Nevada corporation in preparation for this offering. Until recently, our assets and operations were held by and conducted through Valvino Lamore, LLC, a Nevada limited liability company, and its subsidiaries. In September 2002, all of the members of Valvino contributed their membership interests in Valvino to Wynn Resorts in exchange for 40,000,000 shares of the common stock of Wynn Resorts, and Valvino became a wholly owned subsidiary of Wynn Resorts.</w:t>
      </w:r>
    </w:p>
    <w:p>
      <w:pPr>
        <w:sectPr>
          <w:pgSz w:w="11900" w:h="16838" w:orient="portrait"/>
          <w:cols w:equalWidth="0" w:num="1">
            <w:col w:w="11420"/>
          </w:cols>
          <w:pgMar w:left="240" w:top="368" w:right="239" w:bottom="0" w:gutter="0" w:footer="0" w:header="0"/>
        </w:sectPr>
      </w:pPr>
    </w:p>
    <w:p>
      <w:pPr>
        <w:spacing w:after="0" w:line="197"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Wynn Resorts, Limited and its consolidated subsidiaries. References to any other entity mean that entity without any subsidiaries.</w:t>
      </w:r>
    </w:p>
    <w:p>
      <w:pPr>
        <w:sectPr>
          <w:pgSz w:w="11900" w:h="16838" w:orient="portrait"/>
          <w:cols w:equalWidth="0" w:num="1">
            <w:col w:w="11420"/>
          </w:cols>
          <w:pgMar w:left="240" w:top="368" w:right="239" w:bottom="0" w:gutter="0" w:footer="0" w:header="0"/>
          <w:type w:val="continuous"/>
        </w:sectPr>
      </w:pPr>
    </w:p>
    <w:bookmarkStart w:id="2" w:name="page3"/>
    <w:bookmarkEnd w:id="2"/>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through our wholly owned subsidiary Wynn Las Vegas, LLC,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an approximately 55-acre plot on which Le Rêve is being constructed, an approximately 137-acre plot located behind the hotel on which the new golf course will be built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outlets, an exclusive on-site 18-hole championship golf course and a new water-based entertainment production. We have scheduled groundbreaking to occur in October 2002, with an opening to the general public scheduled for April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Wynn Resorts (Macau) S.A., a Macau company and majority-owned indirect subsidiary of Wynn Resorts referred to as 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$2.1 billion in gaming revenue in 2000. Wynn Macau currently is one of three concessionaires permitted to operate a casino gaming business in Macau.</w:t>
      </w:r>
    </w:p>
    <w:p>
      <w:pPr>
        <w:spacing w:after="0" w:line="248" w:lineRule="exact"/>
        <w:rPr>
          <w:sz w:val="20"/>
          <w:szCs w:val="20"/>
          <w:color w:val="auto"/>
        </w:rPr>
      </w:pPr>
    </w:p>
    <w:p>
      <w:pPr>
        <w:ind w:right="280" w:firstLine="348"/>
        <w:spacing w:after="0" w:line="318"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Company Strategy</w:t>
      </w:r>
    </w:p>
    <w:p>
      <w:pPr>
        <w:spacing w:after="0" w:line="245" w:lineRule="exact"/>
        <w:rPr>
          <w:sz w:val="20"/>
          <w:szCs w:val="20"/>
          <w:color w:val="auto"/>
        </w:rPr>
      </w:pPr>
    </w:p>
    <w:p>
      <w:pPr>
        <w:ind w:left="1080" w:right="24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and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guests a luxurious experience at a premier destination casino resort in Las Vegas in a first-class environment of elegance, sophistication and luxury.</w:t>
      </w:r>
    </w:p>
    <w:p>
      <w:pPr>
        <w:spacing w:after="0" w:line="20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Pursue the Opportunity to be One of Three Casino Operators in Macau. </w:t>
      </w:r>
      <w:r>
        <w:rPr>
          <w:rFonts w:ascii="Arial" w:cs="Arial" w:eastAsia="Arial" w:hAnsi="Arial"/>
          <w:sz w:val="18"/>
          <w:szCs w:val="18"/>
          <w:color w:val="auto"/>
        </w:rPr>
        <w:t>Wynn Macau will pursue its opportunity to be one of only three</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concessionaires permitted to operate casinos in Macau, an established gaming market with access to gaming patrons principally from Hong Kong and mainland China.</w:t>
      </w:r>
    </w:p>
    <w:p>
      <w:pPr>
        <w:spacing w:after="0" w:line="207"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Our 212-acre site in Las Vegas includes a parcel of approximately 20 acres fronting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Boulevard and an approximately 137-acre plot located behind the hotel on which the new golf course will be built. Subject to being released from liens under our subsidiaries' indebtedness, those parcels would provide the potential for future projects in Las Vegas, including a possible second hotel casino as a Phase II development on the 20-acre parcel.</w:t>
      </w:r>
    </w:p>
    <w:p>
      <w:pPr>
        <w:spacing w:after="0" w:line="224"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Experienced Management Team. </w:t>
      </w:r>
      <w:r>
        <w:rPr>
          <w:rFonts w:ascii="Arial" w:cs="Arial" w:eastAsia="Arial" w:hAnsi="Arial"/>
          <w:sz w:val="16"/>
          <w:szCs w:val="16"/>
          <w:color w:val="auto"/>
        </w:rPr>
        <w:t>Mr. Wynn is designing Le Rêve and brings to the project his experience as the designer of</w:t>
      </w:r>
      <w:r>
        <w:rPr>
          <w:rFonts w:ascii="Arial" w:cs="Arial" w:eastAsia="Arial" w:hAnsi="Arial"/>
          <w:sz w:val="16"/>
          <w:szCs w:val="16"/>
          <w:i w:val="1"/>
          <w:iCs w:val="1"/>
          <w:color w:val="auto"/>
        </w:rPr>
        <w:t xml:space="preserve"> </w:t>
      </w:r>
      <w:r>
        <w:rPr>
          <w:rFonts w:ascii="Arial" w:cs="Arial" w:eastAsia="Arial" w:hAnsi="Arial"/>
          <w:sz w:val="16"/>
          <w:szCs w:val="16"/>
          <w:color w:val="auto"/>
        </w:rPr>
        <w:t>Bellagio, The Mirage and Treasure Island at The Mirage. Many of our other key people worked with Mr. Wynn at Mirage Resorts.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 Rêve Strategy</w:t>
      </w:r>
    </w:p>
    <w:p>
      <w:pPr>
        <w:spacing w:after="0" w:line="245" w:lineRule="exact"/>
        <w:rPr>
          <w:sz w:val="20"/>
          <w:szCs w:val="20"/>
          <w:color w:val="auto"/>
        </w:rPr>
      </w:pPr>
    </w:p>
    <w:p>
      <w:pPr>
        <w:ind w:left="10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Create a "Must-Visit" Destination Casino Resort on the Las Vegas Strip. </w:t>
      </w:r>
      <w:r>
        <w:rPr>
          <w:rFonts w:ascii="Arial" w:cs="Arial" w:eastAsia="Arial" w:hAnsi="Arial"/>
          <w:sz w:val="16"/>
          <w:szCs w:val="16"/>
          <w:color w:val="auto"/>
        </w:rPr>
        <w:t>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4"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Open the First New Major Hotel Casino Resort on the Las Vegas Strip in Almost Five Years. </w:t>
      </w:r>
      <w:r>
        <w:rPr>
          <w:rFonts w:ascii="Arial" w:cs="Arial" w:eastAsia="Arial" w:hAnsi="Arial"/>
          <w:sz w:val="16"/>
          <w:szCs w:val="16"/>
          <w:color w:val="auto"/>
        </w:rPr>
        <w:t>We believe that, at the time of Le Rêve's planned</w:t>
      </w:r>
      <w:r>
        <w:rPr>
          <w:rFonts w:ascii="Arial" w:cs="Arial" w:eastAsia="Arial" w:hAnsi="Arial"/>
          <w:sz w:val="16"/>
          <w:szCs w:val="16"/>
          <w:i w:val="1"/>
          <w:iCs w:val="1"/>
          <w:color w:val="auto"/>
        </w:rPr>
        <w:t xml:space="preserve"> </w:t>
      </w:r>
      <w:r>
        <w:rPr>
          <w:rFonts w:ascii="Arial" w:cs="Arial" w:eastAsia="Arial" w:hAnsi="Arial"/>
          <w:sz w:val="16"/>
          <w:szCs w:val="16"/>
          <w:color w:val="auto"/>
        </w:rPr>
        <w:t>opening in April 2005, it will have been almost five years since a major new hotel casino resort opened on the Las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Vegas Strip. As a result, we expect that there will be a high level of customer anticipation for Le Rêve.</w:t>
      </w:r>
    </w:p>
    <w:p>
      <w:pPr>
        <w:spacing w:after="0" w:line="252" w:lineRule="exact"/>
        <w:rPr>
          <w:sz w:val="20"/>
          <w:szCs w:val="20"/>
          <w:color w:val="auto"/>
        </w:rPr>
      </w:pPr>
    </w:p>
    <w:p>
      <w:pPr>
        <w:ind w:left="1080" w:right="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Provide an Experience at Le Rêve of the Highest Standard of Luxury in an Atmosphere of Casual Elegance. </w:t>
      </w:r>
      <w:r>
        <w:rPr>
          <w:rFonts w:ascii="Arial" w:cs="Arial" w:eastAsia="Arial" w:hAnsi="Arial"/>
          <w:sz w:val="16"/>
          <w:szCs w:val="16"/>
          <w:color w:val="auto"/>
        </w:rPr>
        <w:t>We will seek to attract a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Le Rêve, including middle market customers and high roller and premium gaming patrons, by providing guests with a premium level</w:t>
      </w:r>
    </w:p>
    <w:p>
      <w:pPr>
        <w:sectPr>
          <w:pgSz w:w="11900" w:h="16952" w:orient="portrait"/>
          <w:cols w:equalWidth="0" w:num="1">
            <w:col w:w="11420"/>
          </w:cols>
          <w:pgMar w:left="240" w:top="341" w:right="239" w:bottom="0" w:gutter="0" w:footer="0" w:header="0"/>
        </w:sectPr>
      </w:pPr>
    </w:p>
    <w:bookmarkStart w:id="3" w:name="page4"/>
    <w:bookmarkEnd w:id="3"/>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luxury, amenities and service, such as:</w:t>
      </w:r>
    </w:p>
    <w:p>
      <w:pPr>
        <w:spacing w:after="0" w:line="200" w:lineRule="exact"/>
        <w:rPr>
          <w:sz w:val="20"/>
          <w:szCs w:val="20"/>
          <w:color w:val="auto"/>
        </w:rPr>
      </w:pPr>
    </w:p>
    <w:p>
      <w:pPr>
        <w:spacing w:after="0" w:line="255" w:lineRule="exact"/>
        <w:rPr>
          <w:sz w:val="20"/>
          <w:szCs w:val="20"/>
          <w:color w:val="auto"/>
        </w:rPr>
      </w:pPr>
    </w:p>
    <w:p>
      <w:pPr>
        <w:ind w:left="1620" w:hanging="532"/>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52"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52"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Revenue from Le Rêve's Non-Gaming Amenities. </w:t>
      </w:r>
      <w:r>
        <w:rPr>
          <w:rFonts w:ascii="Arial" w:cs="Arial" w:eastAsia="Arial" w:hAnsi="Arial"/>
          <w:sz w:val="18"/>
          <w:szCs w:val="18"/>
          <w:color w:val="auto"/>
        </w:rPr>
        <w:t>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85" w:lineRule="exact"/>
        <w:rPr>
          <w:rFonts w:ascii="Arial" w:cs="Arial" w:eastAsia="Arial" w:hAnsi="Arial"/>
          <w:sz w:val="16"/>
          <w:szCs w:val="16"/>
          <w:color w:val="auto"/>
        </w:rPr>
      </w:pPr>
    </w:p>
    <w:p>
      <w:pPr>
        <w:ind w:left="1080" w:right="120" w:hanging="532"/>
        <w:spacing w:after="0" w:line="29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Carefully Manage Construction Costs and Risks. </w:t>
      </w:r>
      <w:r>
        <w:rPr>
          <w:rFonts w:ascii="Arial" w:cs="Arial" w:eastAsia="Arial" w:hAnsi="Arial"/>
          <w:sz w:val="16"/>
          <w:szCs w:val="16"/>
          <w:color w:val="auto"/>
        </w:rPr>
        <w:t>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hanging="532"/>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this offering;</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this offering;</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52" w:lineRule="exact"/>
        <w:rPr>
          <w:rFonts w:ascii="Arial" w:cs="Arial" w:eastAsia="Arial" w:hAnsi="Arial"/>
          <w:sz w:val="18"/>
          <w:szCs w:val="18"/>
          <w:color w:val="auto"/>
        </w:rPr>
      </w:pPr>
    </w:p>
    <w:p>
      <w:pPr>
        <w:ind w:left="1620" w:right="4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$30.8 million under Wynn Las Vegas' revolving credit facility that may be used to pay interest and other financing fees with respect to our subsidiaries' indebtedness if completion is delayed.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Macau Strategy</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72"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w:t>
      </w:r>
    </w:p>
    <w:p>
      <w:pPr>
        <w:sectPr>
          <w:pgSz w:w="11900" w:h="16963" w:orient="portrait"/>
          <w:cols w:equalWidth="0" w:num="1">
            <w:col w:w="11380"/>
          </w:cols>
          <w:pgMar w:left="240" w:top="131" w:right="279" w:bottom="0" w:gutter="0" w:footer="0" w:header="0"/>
        </w:sectPr>
      </w:pPr>
    </w:p>
    <w:bookmarkStart w:id="4" w:name="page5"/>
    <w:bookmarkEnd w:id="4"/>
    <w:p>
      <w:pPr>
        <w:spacing w:after="0" w:line="4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phase of Wynn Macau's first casino resort. At the present time, Wynn Macau has not yet determined the amount of financing that will be required to complete the initial phase.</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 expects to exercise its right to lease the first permanent casino site and to begin construction of the initial phase after certain necessary legislative changes are enacted by the Macau government and the financing is completed. Based upon our discussions with government officials, we believe these legislative changes will be introduced by early 2003. Wynn Macau will not begin construction or operation of any casino in Macau if these legislative changes are not enacted.</w:t>
      </w:r>
    </w:p>
    <w:p>
      <w:pPr>
        <w:spacing w:after="0" w:line="200" w:lineRule="exact"/>
        <w:rPr>
          <w:sz w:val="20"/>
          <w:szCs w:val="20"/>
          <w:color w:val="auto"/>
        </w:rPr>
      </w:pPr>
    </w:p>
    <w:p>
      <w:pPr>
        <w:spacing w:after="0" w:line="20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in our common stock involves substantial risks, including the following:</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remaining components of the financing for the Le Rêve project;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leveraged and future cash flow may not be sufficient for our subsidiaries to meet their obligations, and we might have difficulty obtaining more financing;</w:t>
      </w:r>
    </w:p>
    <w:p>
      <w:pPr>
        <w:spacing w:after="0" w:line="21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holding company, Wynn Resorts is entirely dependent upon the operations of its subsidiaries and their ability to make dividends or distributions to provide cash flow at Wynn Resorts;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Stephen A. Wynn could significantly harm our business;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Wynn Macau may determine not to go forward with the Macau opportunity at any time, possibly resulting in the loss of a significant investment; and</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Wynn Macau builds and operates one or more casinos in Macau, it will be subject to considerable risks, including risks related to Macau's untested regulatory framework.</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Concurrent with this offering, Wynn Resorts' wholly owned indirect subsidiaries, Wynn Las Vegas, which will own and operate Le Rêve, and Wynn Capital, are jointly offering $365 million in aggregate principal amount at maturity of second mortgage notes. In addition, Wynn Las Vegas will enter into credit facilities providing for $1 billion of indebtedness and a $188.5 million loan facility secured by certain furniture, fixtures and equipment. We intend to use a portion of the net proceeds of this offering together with the net proceeds of the contemplated offering of the second mortgage notes, borrowings of approximately</w:t>
      </w:r>
    </w:p>
    <w:p>
      <w:pPr>
        <w:spacing w:after="0" w:line="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$710.2 million under a $750 million revolving credit facility, $250 million under a delay draw term loan facility and $188.5 million under a furniture, fixtures and equipment loan facility and a portion of our existing cash on hand, to fund Le Rêve's project costs. Wynn Las Vegas has obtained commitments for the revolving credit facility and the delay draw term loan facility, and the placement agent for the furniture, fixtures and equipment facility has received commitments from the lenders who will be a party to that loan facility. We sometimes refer to the revolving credit facility and the delay draw term loan facility as the credit facilities and to the furniture, fixtures and equipment facility as the FF&amp;E facility. Consummation of this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offering is conditioned on consummation of the offering of the second mortgage notes and on Wynn Las Vegas entering into the agreements governing the credit facilities and FF&amp;E facility. These conditions may not be waived by Wynn Resorts.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following chart illustrates the organizational structure of our principal operations upon the consummation of this offering. This chart depicts the relationships between our various operations and our ownership interests in them. It does not contain all of our subsidiaries and, in some cases, we have combined separate entities for presentation purposes. We have also indicated which entities initially will be borrowers, issuers, guarantors and restricted entities under the</w:t>
      </w:r>
    </w:p>
    <w:p>
      <w:pPr>
        <w:sectPr>
          <w:pgSz w:w="11900" w:h="16882" w:orient="portrait"/>
          <w:cols w:equalWidth="0" w:num="1">
            <w:col w:w="11400"/>
          </w:cols>
          <w:pgMar w:left="240" w:top="131" w:right="259" w:bottom="0" w:gutter="0" w:footer="0" w:header="0"/>
        </w:sectPr>
      </w:pPr>
    </w:p>
    <w:bookmarkStart w:id="5" w:name="page6"/>
    <w:bookmarkEnd w:id="5"/>
    <w:p>
      <w:pPr>
        <w:ind w:right="80"/>
        <w:spacing w:after="0" w:line="259" w:lineRule="auto"/>
        <w:rPr>
          <w:sz w:val="20"/>
          <w:szCs w:val="20"/>
          <w:color w:val="auto"/>
        </w:rPr>
      </w:pPr>
      <w:r>
        <w:rPr>
          <w:rFonts w:ascii="Arial" w:cs="Arial" w:eastAsia="Arial" w:hAnsi="Arial"/>
          <w:sz w:val="18"/>
          <w:szCs w:val="18"/>
          <w:color w:val="auto"/>
        </w:rPr>
        <w:t>indenture governing the second mortgage notes, the credit facilities and the FF&amp;E facility. Wynn Resorts will fully and unconditionally guarantee the payment in full of the second mortgage notes and the debt facilities on an unsecured basis, but will not be subject to the related restrictive covenants in its subsidiaries' debt facilities.</w:t>
      </w:r>
    </w:p>
    <w:p>
      <w:pPr>
        <w:spacing w:after="0" w:line="194"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All other entities, including the Macau-related subsidiaries, will not be guarantors and will not be subject to the covenants in the indenture governing the second mortgage notes, the credit facilities or the FF&amp;E facility.</w:t>
      </w:r>
    </w:p>
    <w:p>
      <w:pPr>
        <w:spacing w:after="0" w:line="186"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Resorts indirectly owns an approximately 82.5% economic interest in Wynn Macau. A more detailed corporate chart relating to the Macau-related entities appears under the heading "Business—The Macau Opportunity—Ownership Structure of the Macau-Related Entities."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06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 w:right="140" w:hanging="532"/>
        <w:spacing w:after="0" w:line="181" w:lineRule="auto"/>
        <w:tabs>
          <w:tab w:leader="none" w:pos="540" w:val="left"/>
        </w:tabs>
        <w:numPr>
          <w:ilvl w:val="0"/>
          <w:numId w:val="9"/>
        </w:numPr>
        <w:rPr>
          <w:rFonts w:ascii="Arial" w:cs="Arial" w:eastAsia="Arial" w:hAnsi="Arial"/>
          <w:sz w:val="26"/>
          <w:szCs w:val="26"/>
          <w:color w:val="auto"/>
          <w:vertAlign w:val="subscript"/>
        </w:rPr>
      </w:pPr>
      <w:r>
        <w:rPr>
          <w:rFonts w:ascii="Arial" w:cs="Arial" w:eastAsia="Arial" w:hAnsi="Arial"/>
          <w:sz w:val="13"/>
          <w:szCs w:val="13"/>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 Ownership percentage includes 5,000,000 shares of our common stock in which each of Mr. Wynn and Aruze USA has expressed on interest in purchasing in this offering.</w:t>
      </w:r>
    </w:p>
    <w:p>
      <w:pPr>
        <w:spacing w:after="0" w:line="1" w:lineRule="exact"/>
        <w:rPr>
          <w:rFonts w:ascii="Arial" w:cs="Arial" w:eastAsia="Arial" w:hAnsi="Arial"/>
          <w:sz w:val="26"/>
          <w:szCs w:val="26"/>
          <w:color w:val="auto"/>
          <w:vertAlign w:val="subscript"/>
        </w:rPr>
      </w:pPr>
    </w:p>
    <w:p>
      <w:pPr>
        <w:ind w:left="540" w:right="220" w:hanging="532"/>
        <w:spacing w:after="0" w:line="181"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Consists of shares held by Baron Asset Fund on behalf of the Baron Asset Fund Series and the Baron Growth Fund Series. Ownership percentage includes 1,000,000 shares of our common stock in which Baron Asset Fund has expressed an interest in purchasing in this offering.</w:t>
      </w:r>
    </w:p>
    <w:p>
      <w:pPr>
        <w:ind w:left="540" w:hanging="532"/>
        <w:spacing w:after="0" w:line="187" w:lineRule="auto"/>
        <w:tabs>
          <w:tab w:leader="none" w:pos="540" w:val="left"/>
        </w:tabs>
        <w:numPr>
          <w:ilvl w:val="0"/>
          <w:numId w:val="9"/>
        </w:numPr>
        <w:rPr>
          <w:rFonts w:ascii="Arial" w:cs="Arial" w:eastAsia="Arial" w:hAnsi="Arial"/>
          <w:sz w:val="24"/>
          <w:szCs w:val="24"/>
          <w:color w:val="auto"/>
          <w:vertAlign w:val="subscript"/>
        </w:rPr>
      </w:pPr>
      <w:r>
        <w:rPr>
          <w:rFonts w:ascii="Arial" w:cs="Arial" w:eastAsia="Arial" w:hAnsi="Arial"/>
          <w:sz w:val="12"/>
          <w:szCs w:val="12"/>
          <w:color w:val="auto"/>
        </w:rPr>
        <w:t>Following the completion of this offering, Wynn Resorts intends to grant awards of restricted stock aggregating 1,328,061 shares initially to six employees and to Franco Dragone, the executive producer and principal creator of the new entertainment production at Le Rêve. The restricted stock will vest at specified times. After giving effect to these restricted stock grants, these persons would collectively hold approximately 1.9% of Wynn Resorts' outstanding shares, and the percentage ownership interests of Mr. Wynn, Aruze USA, Baron Asset Fund, Kenneth R. Wynn Family Trust and the public stockholders would be approximately 34.5%, 34.5%, 4.3%, 0.1% and 24.7%, respectively.</w:t>
      </w:r>
    </w:p>
    <w:p>
      <w:pPr>
        <w:spacing w:after="0" w:line="2" w:lineRule="exact"/>
        <w:rPr>
          <w:rFonts w:ascii="Arial" w:cs="Arial" w:eastAsia="Arial" w:hAnsi="Arial"/>
          <w:sz w:val="24"/>
          <w:szCs w:val="24"/>
          <w:color w:val="auto"/>
          <w:vertAlign w:val="subscript"/>
        </w:rPr>
      </w:pPr>
    </w:p>
    <w:p>
      <w:pPr>
        <w:ind w:left="540" w:hanging="532"/>
        <w:spacing w:after="0" w:line="185"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Based on the number of shares proposed to be issued in this offering, excluding any shares that may be issued pursuant to the exercise of the underwriters' over-allotment option.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40" w:right="80" w:hanging="532"/>
        <w:spacing w:after="0" w:line="180" w:lineRule="auto"/>
        <w:tabs>
          <w:tab w:leader="none" w:pos="540" w:val="left"/>
        </w:tabs>
        <w:numPr>
          <w:ilvl w:val="0"/>
          <w:numId w:val="10"/>
        </w:numPr>
        <w:rPr>
          <w:rFonts w:ascii="Arial" w:cs="Arial" w:eastAsia="Arial" w:hAnsi="Arial"/>
          <w:sz w:val="25"/>
          <w:szCs w:val="25"/>
          <w:color w:val="auto"/>
          <w:vertAlign w:val="subscript"/>
        </w:rPr>
      </w:pPr>
      <w:r>
        <w:rPr>
          <w:rFonts w:ascii="Arial" w:cs="Arial" w:eastAsia="Arial" w:hAnsi="Arial"/>
          <w:sz w:val="13"/>
          <w:szCs w:val="13"/>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will also be a guarantor of the second mortgage notes and the debt facilities on an unsecured basis, but will not be a restricted entity. Wynn Resorts' subsidiaries that will develop the Macau opportunity will not be issuers, borrowers, guarantors or restricted entities with respect to the financing of Le Rêve.</w:t>
      </w:r>
    </w:p>
    <w:p>
      <w:pPr>
        <w:ind w:left="540" w:right="160" w:hanging="532"/>
        <w:spacing w:after="0" w:line="181" w:lineRule="auto"/>
        <w:tabs>
          <w:tab w:leader="none" w:pos="540" w:val="left"/>
        </w:tabs>
        <w:numPr>
          <w:ilvl w:val="0"/>
          <w:numId w:val="10"/>
        </w:numPr>
        <w:rPr>
          <w:rFonts w:ascii="Arial" w:cs="Arial" w:eastAsia="Arial" w:hAnsi="Arial"/>
          <w:sz w:val="18"/>
          <w:szCs w:val="18"/>
          <w:color w:val="auto"/>
          <w:vertAlign w:val="subscript"/>
        </w:rPr>
      </w:pPr>
      <w:r>
        <w:rPr>
          <w:rFonts w:ascii="Arial" w:cs="Arial" w:eastAsia="Arial" w:hAnsi="Arial"/>
          <w:sz w:val="10"/>
          <w:szCs w:val="10"/>
          <w:color w:val="auto"/>
        </w:rPr>
        <w:t>Includes a number of wholly owned and partially owned entities. Wynn Resorts owns an approximately 82.5% economic interest in, and effectively controls approximately 90% of the vote of, Wynn Macau indirectly through various subsidiaries. For additional information regarding these entities, see "Business—The Macau Opportunity—Ownership Structure of Macau-Related Entities."</w:t>
      </w:r>
    </w:p>
    <w:p>
      <w:pPr>
        <w:ind w:left="540" w:hanging="532"/>
        <w:spacing w:after="0" w:line="187" w:lineRule="auto"/>
        <w:tabs>
          <w:tab w:leader="none" w:pos="540" w:val="left"/>
        </w:tabs>
        <w:numPr>
          <w:ilvl w:val="0"/>
          <w:numId w:val="10"/>
        </w:numPr>
        <w:rPr>
          <w:rFonts w:ascii="Arial" w:cs="Arial" w:eastAsia="Arial" w:hAnsi="Arial"/>
          <w:sz w:val="12"/>
          <w:szCs w:val="12"/>
          <w:color w:val="auto"/>
          <w:vertAlign w:val="subscript"/>
        </w:rPr>
      </w:pPr>
      <w:r>
        <w:rPr>
          <w:rFonts w:ascii="Arial" w:cs="Arial" w:eastAsia="Arial" w:hAnsi="Arial"/>
          <w:sz w:val="8"/>
          <w:szCs w:val="8"/>
          <w:color w:val="auto"/>
        </w:rPr>
        <w:t>Includes a number of wholly owned subsidiary limited liability companies. These entities include Rambas Marketing Co., LLC, Toasty, LLC and WorldWide Wynn, LLC.</w:t>
      </w:r>
    </w:p>
    <w:p>
      <w:pPr>
        <w:ind w:left="540" w:right="40" w:hanging="532"/>
        <w:spacing w:after="0" w:line="187" w:lineRule="auto"/>
        <w:tabs>
          <w:tab w:leader="none" w:pos="540" w:val="left"/>
        </w:tabs>
        <w:numPr>
          <w:ilvl w:val="0"/>
          <w:numId w:val="10"/>
        </w:numPr>
        <w:rPr>
          <w:rFonts w:ascii="Arial" w:cs="Arial" w:eastAsia="Arial" w:hAnsi="Arial"/>
          <w:sz w:val="24"/>
          <w:szCs w:val="24"/>
          <w:color w:val="auto"/>
          <w:vertAlign w:val="subscript"/>
        </w:rPr>
      </w:pPr>
      <w:r>
        <w:rPr>
          <w:rFonts w:ascii="Arial" w:cs="Arial" w:eastAsia="Arial" w:hAnsi="Arial"/>
          <w:sz w:val="12"/>
          <w:szCs w:val="12"/>
          <w:color w:val="auto"/>
        </w:rPr>
        <w:t>Desert Inn Improvement Co. will not be a guarantor or a restricted entity under these debt facilities. However, Desert Inn Water Company, LLC, the parent company of Desert Inn Improvement Co., will be directly subject to the covenants contained in these debt facilities. Those covenants will impose obligations on Desert Inn Water Company, LLC, both with respect to itself and Desert Inn Improvement Co. In addition, if Desert Inn Improvement Co. obtains the approval of the Public Utilities Commission of Nevada, it will pledge certain water rights and real property interests it holds to the lenders under the credit facilities and the second mortgage note holders.</w:t>
      </w:r>
    </w:p>
    <w:p>
      <w:pPr>
        <w:spacing w:after="0" w:line="2" w:lineRule="exact"/>
        <w:rPr>
          <w:rFonts w:ascii="Arial" w:cs="Arial" w:eastAsia="Arial" w:hAnsi="Arial"/>
          <w:sz w:val="24"/>
          <w:szCs w:val="24"/>
          <w:color w:val="auto"/>
          <w:vertAlign w:val="subscript"/>
        </w:rPr>
      </w:pPr>
    </w:p>
    <w:p>
      <w:pPr>
        <w:ind w:left="540" w:right="120" w:hanging="532"/>
        <w:spacing w:after="0" w:line="181" w:lineRule="auto"/>
        <w:tabs>
          <w:tab w:leader="none" w:pos="540" w:val="left"/>
        </w:tabs>
        <w:numPr>
          <w:ilvl w:val="0"/>
          <w:numId w:val="10"/>
        </w:numPr>
        <w:rPr>
          <w:rFonts w:ascii="Arial" w:cs="Arial" w:eastAsia="Arial" w:hAnsi="Arial"/>
          <w:sz w:val="18"/>
          <w:szCs w:val="18"/>
          <w:color w:val="auto"/>
          <w:vertAlign w:val="subscript"/>
        </w:rPr>
      </w:pPr>
      <w:r>
        <w:rPr>
          <w:rFonts w:ascii="Arial" w:cs="Arial" w:eastAsia="Arial" w:hAnsi="Arial"/>
          <w:sz w:val="10"/>
          <w:szCs w:val="10"/>
          <w:color w:val="auto"/>
        </w:rPr>
        <w:t>We will contribute $30 million of the net proceeds of this offering to Wynn Las Vegas to be held in a liquidity reserve account to support Wynn Las Vegas' obligation to complete the Le Rêve project. Such funds will be applied to the costs of the project in accordance with the disbursement agreement. See "Use of Proceeds."</w:t>
      </w:r>
    </w:p>
    <w:p>
      <w:pPr>
        <w:ind w:left="540" w:right="100" w:hanging="532"/>
        <w:spacing w:after="0" w:line="183" w:lineRule="auto"/>
        <w:tabs>
          <w:tab w:leader="none" w:pos="540" w:val="left"/>
        </w:tabs>
        <w:numPr>
          <w:ilvl w:val="0"/>
          <w:numId w:val="10"/>
        </w:numPr>
        <w:rPr>
          <w:rFonts w:ascii="Arial" w:cs="Arial" w:eastAsia="Arial" w:hAnsi="Arial"/>
          <w:sz w:val="26"/>
          <w:szCs w:val="26"/>
          <w:color w:val="auto"/>
          <w:vertAlign w:val="subscript"/>
        </w:rPr>
      </w:pPr>
      <w:r>
        <w:rPr>
          <w:rFonts w:ascii="Arial" w:cs="Arial" w:eastAsia="Arial" w:hAnsi="Arial"/>
          <w:sz w:val="13"/>
          <w:szCs w:val="13"/>
          <w:color w:val="auto"/>
        </w:rPr>
        <w:t>We will contribute $50 million of the net proceeds of this offering to a special purpose subsidiary of Wynn Las Vegas, which will provide a $50 million completion guarantee in connection with the construction and opening of Le Rêve. See "Use of Proceeds." This special purpose subsidiary will be an unrestricted entity and generally will not be subject to the covenants in the credit facilities, the FF&amp;E facility or the second mortgage notes. Similarly, it will not be a guarantor with respect to any of these debt facilities.</w:t>
      </w:r>
    </w:p>
    <w:p>
      <w:pPr>
        <w:sectPr>
          <w:pgSz w:w="11900" w:h="16838" w:orient="portrait"/>
          <w:cols w:equalWidth="0" w:num="1">
            <w:col w:w="11400"/>
          </w:cols>
          <w:pgMar w:left="240" w:top="131" w:right="259" w:bottom="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Issuer Information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Wynn Resorts, Limited is a Nevada corporation. Wynn Resorts' principal executive offices are located at 3145 Las Vegas Boulevard South, Las Vegas, Nevada 89109. Wynn Resorts' telephone number is (702) 733-4444.</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60" w:type="dxa"/>
            <w:vAlign w:val="bottom"/>
          </w:tcPr>
          <w:p>
            <w:pPr>
              <w:ind w:left="186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Wynn</w:t>
            </w: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28,125,000 shares</w:t>
            </w:r>
          </w:p>
        </w:tc>
        <w:tc>
          <w:tcPr>
            <w:tcW w:w="0" w:type="dxa"/>
            <w:vAlign w:val="bottom"/>
          </w:tcPr>
          <w:p>
            <w:pPr>
              <w:spacing w:after="0"/>
              <w:rPr>
                <w:sz w:val="1"/>
                <w:szCs w:val="1"/>
                <w:color w:val="auto"/>
              </w:rPr>
            </w:pPr>
          </w:p>
        </w:tc>
      </w:tr>
      <w:tr>
        <w:trPr>
          <w:trHeight w:val="424"/>
        </w:trPr>
        <w:tc>
          <w:tcPr>
            <w:tcW w:w="2880" w:type="dxa"/>
            <w:vAlign w:val="bottom"/>
            <w:gridSpan w:val="2"/>
          </w:tcPr>
          <w:p>
            <w:pPr>
              <w:spacing w:after="0"/>
              <w:rPr>
                <w:sz w:val="20"/>
                <w:szCs w:val="20"/>
                <w:color w:val="auto"/>
              </w:rPr>
            </w:pPr>
            <w:r>
              <w:rPr>
                <w:rFonts w:ascii="Arial" w:cs="Arial" w:eastAsia="Arial" w:hAnsi="Arial"/>
                <w:sz w:val="18"/>
                <w:szCs w:val="18"/>
                <w:color w:val="auto"/>
                <w:w w:val="94"/>
              </w:rPr>
              <w:t>Common stock to be outstanding after</w:t>
            </w:r>
          </w:p>
        </w:tc>
        <w:tc>
          <w:tcPr>
            <w:tcW w:w="4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this offering</w:t>
            </w: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68,125,000 shares</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 intend to use:</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0"/>
              </w:rPr>
              <w:t>a portion of our existing cash and $374.7 million of net proceeds from this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89"/>
              </w:rPr>
              <w:t>offering, along with the borrowings under the credit facilities and the FF&amp;E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5"/>
              </w:rPr>
              <w:t>facility and the net proceeds from the offering of the second mortgage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notes, to design, construct, develop, equip and open Le Rêve; and</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up to $40 million of the net proceeds from this offering as part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financing of Wynn Macau to design, construct, develop, equip and operate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one or more casino resorts in Macau.</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Of the $374.7 million we will contribute to Wynn Las Vegas: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$50 million will be contributed to a special purpose subsidiary of Wynn 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Vegas, which will provide a $50 million completion guarantee 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connection with the construction and opening of Le Rêve; and</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1"/>
              </w:rPr>
              <w:t>$30 million will be contributed to Wynn Las Vegas to be held in a liquidity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reserve account.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The completion guarantee account and the liquidity reserve account will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pledged to the lenders under the credit facilities and the second mortgage note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holders to secure our subsidiaries' obligations to complete the Le Rêve project.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89"/>
              </w:rPr>
              <w:t>If the underwriters exercise their over-allotment option in this offering, we may 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the additional net proceeds for general corporate purposes, including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91"/>
              </w:rPr>
              <w:t>unanticipated construction and debt service expenses related to Le Rêve and for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additional expenditures related to the Macau opportunity.</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Wynn Resorts' common stock has been approved for quotation on The Nasdaq</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National Market under the symbol "WYNN."</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share information in this prospectus is based on the number of shares outstanding as of October 1, 2002 and excludes:</w:t>
      </w:r>
    </w:p>
    <w:p>
      <w:pPr>
        <w:spacing w:after="0" w:line="262" w:lineRule="exact"/>
        <w:rPr>
          <w:sz w:val="20"/>
          <w:szCs w:val="20"/>
          <w:color w:val="auto"/>
        </w:rPr>
      </w:pPr>
    </w:p>
    <w:p>
      <w:pPr>
        <w:ind w:left="1620" w:hanging="53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9,750,000 shares of Wynn Resorts' common stock available for future issuance under our stock incentive plan; and</w:t>
      </w:r>
    </w:p>
    <w:p>
      <w:pPr>
        <w:spacing w:after="0" w:line="252" w:lineRule="exact"/>
        <w:rPr>
          <w:rFonts w:ascii="Arial" w:cs="Arial" w:eastAsia="Arial" w:hAnsi="Arial"/>
          <w:sz w:val="18"/>
          <w:szCs w:val="18"/>
          <w:color w:val="auto"/>
        </w:rPr>
      </w:pPr>
    </w:p>
    <w:p>
      <w:pPr>
        <w:ind w:left="1620" w:right="500" w:hanging="532"/>
        <w:spacing w:after="0" w:line="268"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possible issuance of up to 2,418,750 additional shares of Wynn Resorts' common stock that the underwriters have the option to purchase from Wynn Resorts to cover over-allotments.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Investing in Wynn Resorts will be subject to significant risks. You should carefully consider the risks described below, together with all of the other information included in this prospectus, before deciding to purchase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remaining components of the financing for the Le Rêve project.</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Concurrent with the closing of this offering and Wynn Las Vegas' offering of second mortgage notes, Wynn Las Vegas will enter into agreements governing credit facilities providing for borrowings up to $1 billion and the FF&amp;E facility providing for additional loans up to $188.5 million, which Wynn Las Vegas may</w:t>
      </w:r>
    </w:p>
    <w:p>
      <w:pPr>
        <w:sectPr>
          <w:pgSz w:w="11900" w:h="16838" w:orient="portrait"/>
          <w:cols w:equalWidth="0" w:num="1">
            <w:col w:w="11300"/>
          </w:cols>
          <w:pgMar w:left="240" w:top="274" w:right="359" w:bottom="0" w:gutter="0" w:footer="0" w:header="0"/>
        </w:sectPr>
      </w:pPr>
    </w:p>
    <w:bookmarkStart w:id="7" w:name="page8"/>
    <w:bookmarkEnd w:id="7"/>
    <w:p>
      <w:pPr>
        <w:ind w:right="180"/>
        <w:spacing w:after="0" w:line="268" w:lineRule="auto"/>
        <w:rPr>
          <w:sz w:val="20"/>
          <w:szCs w:val="20"/>
          <w:color w:val="auto"/>
        </w:rPr>
      </w:pPr>
      <w:r>
        <w:rPr>
          <w:rFonts w:ascii="Arial" w:cs="Arial" w:eastAsia="Arial" w:hAnsi="Arial"/>
          <w:sz w:val="18"/>
          <w:szCs w:val="18"/>
          <w:color w:val="auto"/>
        </w:rPr>
        <w:t>request the FF&amp;E lenders to increase to $198.5 million if we purchase a replacement corporate aircraft. The closings of this offering, the second mortgage notes offering, the credit facilities and the FF&amp;E facility will be conditioned on each other.</w:t>
      </w:r>
    </w:p>
    <w:p>
      <w:pPr>
        <w:spacing w:after="0" w:line="186"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the closing, Wynn Resorts will contribute $374.7 million of the net proceeds of this offering and Valvino will contribute all of its existing cash on hand to Wynn Las Vegas. At the closing, Wynn Las Vegas will enter into a disbursement agreement with the agents under the credit facilities and the FF&amp;E facility and the second mortgage note trustee. Under the disbursement agreement, Wynn Las Vegas is required to first use equity proceeds and the cash on hand that Wynn Resorts and Valvino contributed to Wynn Las Vegas, other than the funds to be contributed to the completion guarantor and to be held in the liquidity reserve account, to fund the development, construction and pre-opening costs of Le Rêve. When those funds are depleted in approximately ten to twelve months after the closing of this offering, Wynn Las Vegas will be permitted to use the proceeds of the second mortgage notes. Wynn Las Vegas will not be permitted to borrow under the credit facilities or the FF&amp;E facility until it has applied all of the proceeds of the second mortgage notes offering, which is expected to be approximately 16 to 19 months after the closing of this offering.</w:t>
      </w:r>
    </w:p>
    <w:p>
      <w:pPr>
        <w:spacing w:after="0" w:line="172"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Wynn Las Vegas' ability to, from time to time, obtain a disbursement of the proceeds of the second mortgage notes or borrow under the credit facilities and the FF&amp;E facility will be subject to various conditions precedent. As such, a substantial portion of the equity proceeds will have been spent before we know whether the conditions to disbursement of funds under Wynn Las Vegas' debt facilities will have been satisfied. In addition to other customary conditions to funding for these types of facilities, Wynn Las Vegas' ability to obtain a disbursement of the funds under its debt instruments will be subject to the following conditions:</w:t>
      </w:r>
    </w:p>
    <w:p>
      <w:pPr>
        <w:spacing w:after="0" w:line="210" w:lineRule="exact"/>
        <w:rPr>
          <w:sz w:val="20"/>
          <w:szCs w:val="20"/>
          <w:color w:val="auto"/>
        </w:rPr>
      </w:pPr>
    </w:p>
    <w:p>
      <w:pPr>
        <w:jc w:val="both"/>
        <w:ind w:left="1080" w:right="20" w:hanging="532"/>
        <w:spacing w:after="0" w:line="29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80" w:right="40" w:hanging="532"/>
        <w:spacing w:after="0" w:line="370"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129" w:lineRule="exact"/>
        <w:rPr>
          <w:rFonts w:ascii="Arial" w:cs="Arial" w:eastAsia="Arial" w:hAnsi="Arial"/>
          <w:sz w:val="15"/>
          <w:szCs w:val="15"/>
          <w:color w:val="auto"/>
        </w:rPr>
      </w:pPr>
    </w:p>
    <w:p>
      <w:pPr>
        <w:ind w:left="1080" w:right="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Wynn Las Vegas, must equal or exceed the remaining costs to complete Le Rêve's construction plus a required contingency; and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cannot assure you that Wynn Las Vegas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Wynn Las Vegas' control.</w:t>
      </w:r>
    </w:p>
    <w:p>
      <w:pPr>
        <w:spacing w:after="0" w:line="194"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Any failure to satisfy the conditions to the release of the second mortgage note proceeds or drawdowns under the credit facilities or the FF&amp;E facility could severely impact our ability to complete Le Rêve and could arise before or after some or all of the proceeds of this offering intended for the development and construction of Le Rêve have been expended on the project. We may not have access to alternative sources of funds necessary to complete Le Rêve on satisfactory terms or at all. If we seek additional equity capital as a funding alternative, the interests of Wynn Resorts' stockholders could be diluted.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Wynn Las Vegas which will become due through the estimated commencement date of operations of Le Rêve have been included in our estimate of the total development cost.</w:t>
      </w:r>
    </w:p>
    <w:p>
      <w:pPr>
        <w:spacing w:after="0" w:line="152" w:lineRule="exact"/>
        <w:rPr>
          <w:sz w:val="20"/>
          <w:szCs w:val="20"/>
          <w:color w:val="auto"/>
        </w:rPr>
      </w:pPr>
    </w:p>
    <w:p>
      <w:pPr>
        <w:ind w:right="380" w:firstLine="348"/>
        <w:spacing w:after="0" w:line="303" w:lineRule="auto"/>
        <w:rPr>
          <w:sz w:val="20"/>
          <w:szCs w:val="20"/>
          <w:color w:val="auto"/>
        </w:rPr>
      </w:pPr>
      <w:r>
        <w:rPr>
          <w:rFonts w:ascii="Arial" w:cs="Arial" w:eastAsia="Arial" w:hAnsi="Arial"/>
          <w:sz w:val="15"/>
          <w:szCs w:val="15"/>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Wynn Las Vegas has a</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Wynn Las Vegas incrementally once the project is halfway completed. If Wynn Las Vegas is unable to use these contingencies or if these contingencies are not sufficient to cover these costs, we may not have the funds required to pay the excess costs. Wynn Las Vegas' inability to pay development costs as they are incurred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will negatively affect our ability to complete Le Rêve and thus may significantly impair our business operations and prospects.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it from obtaining funds from the second mortgage note proceeds secured account or, after those funds are exhausted, to draw down under the credit facilities and the FF&amp;E facility. If Wynn Las Vegas cannot obtain these funds, it will not be able to open Le Rêve to the general public on schedule or at all, which would have a significant negative impact on our financial condition and results of operations.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ectPr>
          <w:pgSz w:w="11900" w:h="16838" w:orient="portrait"/>
          <w:cols w:equalWidth="0" w:num="1">
            <w:col w:w="11420"/>
          </w:cols>
          <w:pgMar w:left="240" w:top="131" w:right="239" w:bottom="0" w:gutter="0" w:footer="0" w:header="0"/>
        </w:sectPr>
      </w:pPr>
    </w:p>
    <w:bookmarkStart w:id="8" w:name="page9"/>
    <w:bookmarkEnd w:id="8"/>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$488 million of the</w:t>
      </w:r>
    </w:p>
    <w:p>
      <w:pPr>
        <w:spacing w:after="0" w:line="3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the costs of construction of the new golf course and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pacing w:after="0" w:line="16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premises and assumptions for the detailed plans to be created. Construction will commence before completion of all drawings and specifications.</w:t>
      </w:r>
    </w:p>
    <w:p>
      <w:pPr>
        <w:spacing w:after="0" w:line="24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if the contractor defaults under the construction contract, we may be unable to complete Le Rêve on schedule or within the amount budgeted.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complete construction on schedule may have a significant negative impact on our operations and financial condition.</w:t>
      </w:r>
    </w:p>
    <w:p>
      <w:pPr>
        <w:spacing w:after="0" w:line="213"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w:t>
      </w:r>
    </w:p>
    <w:p>
      <w:pPr>
        <w:sectPr>
          <w:pgSz w:w="11900" w:h="16838" w:orient="portrait"/>
          <w:cols w:equalWidth="0" w:num="1">
            <w:col w:w="11420"/>
          </w:cols>
          <w:pgMar w:left="240" w:top="131" w:right="239" w:bottom="36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60" w:gutter="0" w:footer="0" w:header="0"/>
          <w:type w:val="continuous"/>
        </w:sectPr>
      </w:pPr>
    </w:p>
    <w:bookmarkStart w:id="9" w:name="page10"/>
    <w:bookmarkEnd w:id="9"/>
    <w:p>
      <w:pPr>
        <w:spacing w:after="0"/>
        <w:rPr>
          <w:sz w:val="20"/>
          <w:szCs w:val="20"/>
          <w:color w:val="auto"/>
        </w:rPr>
      </w:pPr>
      <w:r>
        <w:rPr>
          <w:rFonts w:ascii="Arial" w:cs="Arial" w:eastAsia="Arial" w:hAnsi="Arial"/>
          <w:sz w:val="15"/>
          <w:szCs w:val="15"/>
          <w:color w:val="auto"/>
        </w:rPr>
        <w:t>or if the performance and payment bond is insufficient to cover any shortfall, we may need to pay these excess costs in order to complete construction of Le Rêve.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40" w:firstLine="351"/>
        <w:spacing w:after="0" w:line="307" w:lineRule="auto"/>
        <w:rPr>
          <w:sz w:val="20"/>
          <w:szCs w:val="20"/>
          <w:color w:val="auto"/>
        </w:rPr>
      </w:pPr>
      <w:r>
        <w:rPr>
          <w:rFonts w:ascii="Arial" w:cs="Arial" w:eastAsia="Arial" w:hAnsi="Arial"/>
          <w:sz w:val="15"/>
          <w:szCs w:val="15"/>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Le Rêve is scheduled to open in April 2005, and our subsidiary Wynn Macau may pursue development of its first permanent casino resort in Macau in the same time period. If both projects are being built simultaneously, members of our senior management will be involved in planning and developing both projects. Developing the Macau opportunity simultaneously with Le Rêve may divert management resources from the construction and/or opening of either project. Management's inability to devote sufficient time and attention to either project may delay the construction or opening of either project. This type of delay could have a negative effect on our business and operations.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we progress toward the completion of the construction of Le Rêve, we will have a substantial amount of consolidated debt in relation to our equity, which debt will increase during the construction period. Concurrent with the closing of this offering, Wynn Las Vegas will enter into debt facilities that will result in total outstanding indebtedness of approximately $1.5 billion by the time Le Rêve is completed.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subsidiaries' substantial indebtedness could have important consequences for you. For example:</w:t>
      </w:r>
    </w:p>
    <w:p>
      <w:pPr>
        <w:spacing w:after="0" w:line="239" w:lineRule="exact"/>
        <w:rPr>
          <w:sz w:val="20"/>
          <w:szCs w:val="20"/>
          <w:color w:val="auto"/>
        </w:rPr>
      </w:pPr>
    </w:p>
    <w:p>
      <w:pPr>
        <w:ind w:left="1080" w:right="40" w:hanging="532"/>
        <w:spacing w:after="0" w:line="302"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Wynn Las Vegas does not complete construction of Le Rêve by the scheduled completion date, which may be extended in accordance with the disbursement agreement, but not beyond September 30, 2005, except for certain limited permitted exceptions due to force majeure events, fails to meet its payment obligations or otherwise defaults under the agreements governing the indebtedness, the lenders under those agreements will have the right to accelerate the indebtedness and exercise other rights and remedies against Wynn Las Vegas and the guarantors of the indebtedness.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These rights and remedies include the rights to:</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repossess and foreclose upon the assets that serve as collateral,</w:t>
      </w:r>
    </w:p>
    <w:p>
      <w:pPr>
        <w:sectPr>
          <w:pgSz w:w="11900" w:h="16838" w:orient="portrait"/>
          <w:cols w:equalWidth="0" w:num="1">
            <w:col w:w="11420"/>
          </w:cols>
          <w:pgMar w:left="240" w:top="131" w:right="239" w:bottom="0" w:gutter="0" w:footer="0" w:header="0"/>
          <w:type w:val="continuous"/>
        </w:sectPr>
      </w:pPr>
    </w:p>
    <w:bookmarkStart w:id="10" w:name="page11"/>
    <w:bookmarkEnd w:id="10"/>
    <w:p>
      <w:pPr>
        <w:ind w:left="1620" w:hanging="532"/>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judicial foreclosure against Wynn Las Vegas and the guarantors,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petition a court to appoint a receiver for Wynn Las Vegas and the guarantors or for substantially all of their assets,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they are insolvent, to initiate involuntary bankruptcy proceedings against Wynn Las Vegas and the guarantors,</w:t>
      </w:r>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99" w:lineRule="exact"/>
        <w:rPr>
          <w:sz w:val="20"/>
          <w:szCs w:val="20"/>
          <w:color w:val="auto"/>
        </w:rPr>
      </w:pPr>
    </w:p>
    <w:p>
      <w:pPr>
        <w:ind w:left="1080" w:right="1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Once Le Rêve is operating, Wynn Las Vegas will be required to use a substantial portion of its cash flow from operations to service and amortize its indebtedness, which will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reduce the available cash flow to fund working capital, capital expenditures and other general corporate purposes and distributions up to Wynn Resorts;</w:t>
      </w:r>
    </w:p>
    <w:p>
      <w:pPr>
        <w:spacing w:after="0" w:line="213" w:lineRule="exact"/>
        <w:rPr>
          <w:sz w:val="20"/>
          <w:szCs w:val="20"/>
          <w:color w:val="auto"/>
        </w:rPr>
      </w:pPr>
    </w:p>
    <w:p>
      <w:pPr>
        <w:ind w:left="1080" w:right="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Under the credit facilities and the FF&amp;E facility, a substantial portion of the interest rates Wynn Las Vegas pays will fluctuate with the current market rates and, accordingly, Wynn Las Vegas' interest expense will increase if market interest rates increase;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subsidiaries' substantial indebtedness will increase their vulnerability to general adverse economic and industry conditions;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Wynn Resorts will be a guarantor of the indebtedness under the credit facilities, the FF&amp;E facility and the second mortgage notes and as a result, Wynn Resorts will be obligated to make payments to the lenders and the holders of the second mortgage notes if Wynn Las Vegas and the other guarantors of the indebtedness fail to satisfy their obligations under the credit facilities, the FF&amp;E facilities or the second mortgage notes.</w:t>
      </w:r>
    </w:p>
    <w:p>
      <w:pPr>
        <w:spacing w:after="0" w:line="15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As a holding company, Wynn Resorts is entirely dependent upon the operations of its subsidiaries and their ability to make dividends or distributions to provide cash flow at Wynn Resorts.</w:t>
      </w:r>
    </w:p>
    <w:p>
      <w:pPr>
        <w:spacing w:after="0" w:line="18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Wynn Resorts is a holding company and its assets consist primarily of investments in its subsidiaries, including Valvino, Wynn Resorts Holdings, Wynn Las Vegas and Wynn Macau.</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will conduct substantially all of our consolidated operations and own substantially all of our consolidated assets. As a result, Wynn Resorts' cash flow will depend upon:</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or one of its intermediary holding companies will contain similar restrictions. As a result of these restrictions, or for other reasons, cash flow generated by the Macau casinos operated by Wynn Macau may not be available to service the debt of the subsidiaries developing the Le Rêve project. Similarly, any cash flow generated by the Le Rêve project may not be available to service any debt of the subsidiaries developing the Macau opportunity. See also "—Risks Related to the Offering—Wynn Resorts has never paid dividends, does not intend to pay dividends in the foreseeable future and may not pay dividends to any unsuitable person or its affiliates."</w:t>
      </w:r>
    </w:p>
    <w:p>
      <w:pPr>
        <w:spacing w:after="0" w:line="174"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Although Wynn Las Vegas will be permitted to distribute funds to Wynn Resorts to cover certain corporate overhead, and, following completion of Le Rêve, will be permitted to pay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limited management fees to Wynn Resorts if Wynn Las Vegas achieves certain financial ratios and there is not a default under the credit facilities or the indenture governing the second mortgage notes, we do not expect to have any significant cash flow at Wynn Resorts from Wynn Las Vegas for a considerable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may not generate sufficient cash flow to meet their substantial debt service and other obligations.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Before the opening of Le Rêve, which is expected to occur in April 2005, and the possible opening of one or more casinos in Macau, we and our subsidiaries will have no material operations or earnings. Consequently, we will be dependent on the proceeds of this offering, borrowings under the credit facilities and the FF&amp;E facility and the proceeds of the second mortgage note offering to meet all of Wynn Las Vegas' construction, debt service and other obligations.</w:t>
      </w:r>
    </w:p>
    <w:p>
      <w:pPr>
        <w:spacing w:after="0" w:line="142" w:lineRule="exact"/>
        <w:rPr>
          <w:sz w:val="20"/>
          <w:szCs w:val="20"/>
          <w:color w:val="auto"/>
        </w:rPr>
      </w:pPr>
    </w:p>
    <w:p>
      <w:pPr>
        <w:ind w:right="140" w:firstLine="341"/>
        <w:spacing w:after="0" w:line="370" w:lineRule="auto"/>
        <w:rPr>
          <w:sz w:val="20"/>
          <w:szCs w:val="20"/>
          <w:color w:val="auto"/>
        </w:rPr>
      </w:pPr>
      <w:r>
        <w:rPr>
          <w:rFonts w:ascii="Arial" w:cs="Arial" w:eastAsia="Arial" w:hAnsi="Arial"/>
          <w:sz w:val="15"/>
          <w:szCs w:val="15"/>
          <w:color w:val="auto"/>
        </w:rPr>
        <w:t>After Le Rêve opens, Wynn Las Vegas' ability to make interest payments under the credit facilities, the FF&amp;E facility, the second mortgage notes and other indebtedness will depend on its ability to generate sufficient cash flow from operations. We cannot assure you that Wynn Las Vegas will begin operations by the</w:t>
      </w:r>
    </w:p>
    <w:p>
      <w:pPr>
        <w:sectPr>
          <w:pgSz w:w="11900" w:h="16838" w:orient="portrait"/>
          <w:cols w:equalWidth="0" w:num="1">
            <w:col w:w="11400"/>
          </w:cols>
          <w:pgMar w:left="240" w:top="145" w:right="259" w:bottom="0" w:gutter="0" w:footer="0" w:header="0"/>
        </w:sectPr>
      </w:pPr>
    </w:p>
    <w:bookmarkStart w:id="11" w:name="page12"/>
    <w:bookmarkEnd w:id="11"/>
    <w:p>
      <w:pPr>
        <w:spacing w:after="0" w:line="12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scheduled opening date or at all, or that it will be able to generate sufficient cash flow to meet its expenses, including its debt service requirements. Wynn Las Vegas' ability to generate cash flow will depend upon many factors, including:</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future operating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services that it provides;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ability to hire and retain employees at a reasonable cost;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and regulatory factors affecting its operations and business.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Some of these factors are beyond our subsidiaries' control. Any inability of Wynn Las Vegas to meet its debt service obligations would have a material adverse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indebtedness will be secured by a substantial portion of their assets.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and second mortgage notes will be secured by liens on substantially all of the assets of our Nevada subsidiaries that are necessary for the development, construction or operation of Le Rêve. We expect that the financing documents for the Macau opportunity will similarly involve the granting of security in substantially all of the assets of Wynn Macau.</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indenture governing the second mortgage notes and any other secured debt instruments would be entitled to 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8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Nevada subsidiaries' ability to engage in certain transactions and may impair our ability to respond to changing business and economic conditions.</w:t>
      </w:r>
    </w:p>
    <w:p>
      <w:pPr>
        <w:spacing w:after="0" w:line="11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Las Vegas, Wynn Capital and specified affiliates designated as restricted entities. The restrictions that will be imposed under these debt instruments will include, among other things, limitations on the restricted entities' ability to:</w:t>
      </w:r>
    </w:p>
    <w:p>
      <w:pPr>
        <w:spacing w:after="0" w:line="208"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credit facilities will require Wynn Las Vegas and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97" w:lineRule="exact"/>
        <w:rPr>
          <w:sz w:val="20"/>
          <w:szCs w:val="20"/>
          <w:color w:val="auto"/>
        </w:rPr>
      </w:pPr>
    </w:p>
    <w:p>
      <w:pPr>
        <w:ind w:right="500" w:firstLine="348"/>
        <w:spacing w:after="0" w:line="370" w:lineRule="auto"/>
        <w:rPr>
          <w:sz w:val="20"/>
          <w:szCs w:val="20"/>
          <w:color w:val="auto"/>
        </w:rPr>
      </w:pPr>
      <w:r>
        <w:rPr>
          <w:rFonts w:ascii="Arial" w:cs="Arial" w:eastAsia="Arial" w:hAnsi="Arial"/>
          <w:sz w:val="15"/>
          <w:szCs w:val="15"/>
          <w:color w:val="auto"/>
        </w:rPr>
        <w:t>The ability of Wynn Las Vegas and the restricted entities to comply with these provisions may be affected by general economic conditions, industry conditions, other events beyond their control and delayed completion of Le Rêve. As a result, we cannot assure you that Wynn Las Vegas and the restricted</w:t>
      </w:r>
    </w:p>
    <w:p>
      <w:pPr>
        <w:sectPr>
          <w:pgSz w:w="11900" w:h="16962" w:orient="portrait"/>
          <w:cols w:equalWidth="0" w:num="1">
            <w:col w:w="11400"/>
          </w:cols>
          <w:pgMar w:left="240" w:top="131" w:right="259" w:bottom="0" w:gutter="0" w:footer="0" w:header="0"/>
        </w:sectPr>
      </w:pPr>
    </w:p>
    <w:bookmarkStart w:id="12" w:name="page13"/>
    <w:bookmarkEnd w:id="12"/>
    <w:p>
      <w:pPr>
        <w:ind w:right="40"/>
        <w:spacing w:after="0" w:line="254" w:lineRule="auto"/>
        <w:rPr>
          <w:sz w:val="20"/>
          <w:szCs w:val="20"/>
          <w:color w:val="auto"/>
        </w:rPr>
      </w:pPr>
      <w:r>
        <w:rPr>
          <w:rFonts w:ascii="Arial" w:cs="Arial" w:eastAsia="Arial" w:hAnsi="Arial"/>
          <w:sz w:val="18"/>
          <w:szCs w:val="18"/>
          <w:color w:val="auto"/>
        </w:rPr>
        <w:t>entities will be able to comply with these covenants. Failure by Wynn Las Vegas and the restricted entities to comply with the covenants contained in the credit facilities, the FF&amp;E facility or the indenture governing the second mortgage notes, including failure as a result of events beyond their control, could result in an event of default, which could materially and adversely affect our operating results and our financial condition. If Wynn Las Vegas and the restricted entities fail to comply with a financial covenant or other restriction contained in the credit facilities, the FF&amp;E facility, the indenture governing the second mortgage notes or any future financing agreements, an event of default could occur, which could result in acceleration of all of Wynn Las Vegas' and the restricted entities' indebtedness.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We have entered into an employment agreement with Mr. Wynn. However, we cannot assure you that Mr. Wynn will remain with us. If we lose the services of Mr. Wynn, or if he is unable to devote sufficient attention to our operations, our business may be significantly impaired. In addition, if Mr. Wynn is no longer either employed by us as Chief Executive Officer or serving as Chairman of the Board of Wynn Resorts, other than as a result of death or disability or other limited circumstances, it would constitute a change of control that requires us to repay the second mortgage notes and would constitute an event of default under the credit facilities and the FF&amp;E facility.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begun an expansion anticipated to consist of an approximately</w:t>
      </w:r>
    </w:p>
    <w:p>
      <w:pPr>
        <w:spacing w:after="0" w:line="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7"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w:t>
      </w:r>
    </w:p>
    <w:p>
      <w:pPr>
        <w:sectPr>
          <w:pgSz w:w="11900" w:h="16838" w:orient="portrait"/>
          <w:cols w:equalWidth="0" w:num="1">
            <w:col w:w="11420"/>
          </w:cols>
          <w:pgMar w:left="240" w:top="131" w:right="239" w:bottom="0" w:gutter="0" w:footer="0" w:header="0"/>
        </w:sectPr>
      </w:pPr>
    </w:p>
    <w:bookmarkStart w:id="13" w:name="page14"/>
    <w:bookmarkEnd w:id="13"/>
    <w:p>
      <w:pPr>
        <w:ind w:right="200"/>
        <w:spacing w:after="0" w:line="268" w:lineRule="auto"/>
        <w:rPr>
          <w:sz w:val="20"/>
          <w:szCs w:val="20"/>
          <w:color w:val="auto"/>
        </w:rPr>
      </w:pPr>
      <w:r>
        <w:rPr>
          <w:rFonts w:ascii="Arial" w:cs="Arial" w:eastAsia="Arial" w:hAnsi="Arial"/>
          <w:sz w:val="18"/>
          <w:szCs w:val="18"/>
          <w:color w:val="auto"/>
        </w:rPr>
        <w:t>popular. A decline or leveling off of the growth or popularity of hotel casino resorts or the appeal of the features offered by Le Rêve would impair our financial condition and future results of operations.</w:t>
      </w:r>
    </w:p>
    <w:p>
      <w:pPr>
        <w:spacing w:after="0" w:line="186" w:lineRule="exact"/>
        <w:rPr>
          <w:sz w:val="20"/>
          <w:szCs w:val="20"/>
          <w:color w:val="auto"/>
        </w:rPr>
      </w:pPr>
    </w:p>
    <w:p>
      <w:pPr>
        <w:jc w:val="both"/>
        <w:ind w:right="16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also will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"Business—The Macau Opportunity—Competition within Macau and from Regional Markets."</w:t>
      </w:r>
    </w:p>
    <w:p>
      <w:pPr>
        <w:spacing w:after="0" w:line="16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Because we may be entirely dependent upon a limited number of properties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do not expect to have material assets or operations other than Le Rêve and Wynn Macau's casino(s) for the foreseeable future. As a result, we likely will be entirely dependent upon Le Rêve and the Macau casino(s) for all of our cash flow.</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5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subsidiaries' ability to generate sufficient cash flow to make payments on the second mortgage notes pursuant to the indenture, on borrowings under the credit facilities or the FF&amp;E facility or with respect to our subsidiaries' other debt.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ectPr>
          <w:pgSz w:w="11900" w:h="16838" w:orient="portrait"/>
          <w:cols w:equalWidth="0" w:num="1">
            <w:col w:w="11400"/>
          </w:cols>
          <w:pgMar w:left="240" w:top="131" w:right="259" w:bottom="120" w:gutter="0" w:footer="0" w:header="0"/>
        </w:sectPr>
      </w:pPr>
    </w:p>
    <w:bookmarkStart w:id="14" w:name="page15"/>
    <w:bookmarkEnd w:id="14"/>
    <w:p>
      <w:pPr>
        <w:spacing w:after="0" w:line="88"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Le Rêve and Wynn Macau's casino(s) will be subject to extensive state and local regulation, and licensing and gaming authorities have significant control over their operations, which could have a negative effect on our business.</w:t>
      </w:r>
    </w:p>
    <w:p>
      <w:pPr>
        <w:spacing w:after="0" w:line="180"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common stock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w:t>
      </w:r>
    </w:p>
    <w:p>
      <w:pPr>
        <w:spacing w:after="0" w:line="16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 See "—Risks Related to the Offering—We may redeem your shares due to regulatory considerations, either as required by gaming authorities or in our discretion."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The Nevada Gaming Commission may require the disposition of shares of certain stockholders of Wynn Resorts in a manner that may cause us to incur debt or disrupt our stock price.</w:t>
      </w:r>
    </w:p>
    <w:p>
      <w:pPr>
        <w:spacing w:after="0" w:line="18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before giving effect to the closing of this offering, owns approximately 47.4% of Wynn Resorts' common stock. Under the Nevada gaming regulations, any beneficial owner of more than 10% of Aruze Corp.'s voting securities must be licensed or found suitable in respect of Aruze USA's ownership interest in Wynn Resorts,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w:t>
      </w:r>
    </w:p>
    <w:p>
      <w:pPr>
        <w:sectPr>
          <w:pgSz w:w="11900" w:h="16926" w:orient="portrait"/>
          <w:cols w:equalWidth="0" w:num="1">
            <w:col w:w="11420"/>
          </w:cols>
          <w:pgMar w:left="240" w:top="131" w:right="239" w:bottom="0" w:gutter="0" w:footer="0" w:header="0"/>
        </w:sectPr>
      </w:pPr>
    </w:p>
    <w:bookmarkStart w:id="15" w:name="page16"/>
    <w:bookmarkEnd w:id="15"/>
    <w:p>
      <w:pPr>
        <w:spacing w:after="0" w:line="6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 purchase or issue a promissory note to Aruze USA. Any such debt obligation on our balance sheet may negatively affect the price of our common stock. See "Certain Relationships and Related Transactions—Stockholders Agreement" and "—Buy-Out of Aruze USA Stock."</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Las Vegas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6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74"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 third party successfully challenges our ownership of, or right to use, the Le Rêve service marks with respect to casino or hotel services, our business or results of operations could be harmed.</w:t>
      </w:r>
    </w:p>
    <w:p>
      <w:pPr>
        <w:sectPr>
          <w:pgSz w:w="11900" w:h="16898" w:orient="portrait"/>
          <w:cols w:equalWidth="0" w:num="1">
            <w:col w:w="11400"/>
          </w:cols>
          <w:pgMar w:left="240" w:top="131" w:right="259" w:bottom="0" w:gutter="0" w:footer="0" w:header="0"/>
        </w:sectPr>
      </w:pPr>
    </w:p>
    <w:bookmarkStart w:id="16" w:name="page17"/>
    <w:bookmarkEnd w:id="16"/>
    <w:p>
      <w:pPr>
        <w:ind w:right="240" w:firstLine="348"/>
        <w:spacing w:after="0" w:line="298" w:lineRule="auto"/>
        <w:rPr>
          <w:sz w:val="20"/>
          <w:szCs w:val="20"/>
          <w:color w:val="auto"/>
        </w:rPr>
      </w:pPr>
      <w:r>
        <w:rPr>
          <w:rFonts w:ascii="Arial" w:cs="Arial" w:eastAsia="Arial" w:hAnsi="Arial"/>
          <w:sz w:val="16"/>
          <w:szCs w:val="16"/>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formally opposes our application for registration by a published deadline. Our application for casino services remains pending, and we expect it to be published for opposition soon.</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 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subsidiaries will need to recruit a substantial number of new employees before Le Rêve or Wynn Macau's Macau project(s) open and these employees may seek unionization.</w:t>
      </w:r>
    </w:p>
    <w:p>
      <w:pPr>
        <w:spacing w:after="0" w:line="18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Macau-related subsidiaries might employ could also seek to collectively negotiate the terms and conditions of their employment with Wynn Resorts' Macau-related subsidiaries. Unionization, pressure to unionize or other forms of collective bargaining could increase our subsidiaries'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regulatory control by the Public Utilities Commission of Nevada.</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stockholders.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We continue to explore opportunities to develop additional gaming or related businesses that could have an adverse impact on our business if unsuccessful.</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 w:right="239" w:bottom="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Risks Associated with the Macau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Macau may determine not to go forward with the Macau opportunity at any time, possibly resulting in the loss of a significant investment.</w:t>
      </w:r>
    </w:p>
    <w:p>
      <w:pPr>
        <w:spacing w:after="0" w:line="25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already invested a total of $23.8 million in Wynn Macau. In addition, we intend to invest up to $40 million of the net proceeds from this offering in Wynn Macau and to arrange for significant additional financing.</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Wynn Macau has begun planning the development of the initial phase of its first casino resort. However, it will not begin construction or operation of any casino in Macau until a number of objectives and conditions are met. Such objectives and conditions include, among other things, the following:</w:t>
      </w:r>
    </w:p>
    <w:p>
      <w:pPr>
        <w:spacing w:after="0" w:line="153" w:lineRule="exact"/>
        <w:rPr>
          <w:sz w:val="20"/>
          <w:szCs w:val="20"/>
          <w:color w:val="auto"/>
        </w:rPr>
      </w:pPr>
    </w:p>
    <w:p>
      <w:pPr>
        <w:ind w:left="1080" w:right="4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the necessary debt and/or additional equity financing to fund the development, design and construction of any casino or casinos in Macau;</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relief, through legislative and/or executive actions, from the complementary income tax and the withholding tax on dividends imposed in Macau.</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Based on discussions with Macau government officials, we understand that the Macau government will introduce proposed legislation by early 2003 that, if passed, would enable Wynn Macau to extend credit to gaming customers and enforce gaming debts in Macau, and would provide tax relief from the complementary income tax and withholding tax on dividends imposed in Macau. However, we cannot assure you that such proposed legislative changes will be enacted.</w:t>
      </w:r>
    </w:p>
    <w:p>
      <w:pPr>
        <w:spacing w:after="0" w:line="197"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Macau will not begin construction or operation of any casino in Macau if any of these objectives and conditions cannot be adequately resolved. If Wynn Macau determines not to go forward with the Macau opportunity, Wynn Resorts may lose its significant investment in Wynn Macau.</w:t>
      </w:r>
    </w:p>
    <w:p>
      <w:pPr>
        <w:spacing w:after="0" w:line="13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concession agreement does not contain a provision permitting Wynn Macau to terminate the concession agreement unilaterally or permitting Wynn Macau to cease the development or operation of casino(s) in Macau for any of the reasons described above. The obligations under the Macau concession agreement are those of Wynn Resorts' indirect subsidiary, Wynn Macau. Accordingly, Wynn Macau might be found liable for the balance of its obligation to invest a total of 4 billion patacas (approximately US $500 million) in Macau-related projects. Depending on the amount of Wynn Macau's liability, Wynn Macau may not have sufficient assets to satisfy such liability. In such circumstances, Wynn Resorts would lose its entire investment in Wynn Macau.</w:t>
      </w:r>
    </w:p>
    <w:p>
      <w:pPr>
        <w:spacing w:after="0" w:line="16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Wynn Macau constructs or operates one or more casinos in Macau, its operations will be subject to unique</w:t>
      </w:r>
      <w:r>
        <w:rPr>
          <w:rFonts w:ascii="Arial" w:cs="Arial" w:eastAsia="Arial" w:hAnsi="Arial"/>
          <w:sz w:val="16"/>
          <w:szCs w:val="16"/>
          <w:i w:val="1"/>
          <w:iCs w:val="1"/>
          <w:color w:val="auto"/>
        </w:rPr>
        <w:t xml:space="preserve"> </w:t>
      </w:r>
      <w:r>
        <w:rPr>
          <w:rFonts w:ascii="Arial" w:cs="Arial" w:eastAsia="Arial" w:hAnsi="Arial"/>
          <w:sz w:val="16"/>
          <w:szCs w:val="16"/>
          <w:color w:val="auto"/>
        </w:rPr>
        <w:t>risks, including risks related to Macau's untested regulatory framework. In light of the untested regulatory framework, Wynn Macau may need to develop operating procedures which are different from those used in United States casinos. Failure to adapt to the regulatory and gaming environment in Macau could result in the revocation of Wynn Macau's concession or otherwise negatively affect its operations in Macau. Moreover, Wynn Resorts would be subject to the risk that Macau's gaming regulatory framework will not develop in a way that would permit Wynn Resorts,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1999, after 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effective methods to protect Wynn Resorts' Macau subsidiaries from unknowingly doing business with, reputed criminal organizations;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ectPr>
          <w:pgSz w:w="11900" w:h="16838" w:orient="portrait"/>
          <w:cols w:equalWidth="0" w:num="1">
            <w:col w:w="11420"/>
          </w:cols>
          <w:pgMar w:left="240" w:top="719" w:right="239" w:bottom="0" w:gutter="0" w:footer="0" w:header="0"/>
        </w:sectPr>
      </w:pPr>
    </w:p>
    <w:bookmarkStart w:id="18" w:name="page19"/>
    <w:bookmarkEnd w:id="18"/>
    <w:p>
      <w:pPr>
        <w:spacing w:after="0" w:line="137" w:lineRule="exact"/>
        <w:rPr>
          <w:sz w:val="20"/>
          <w:szCs w:val="20"/>
          <w:color w:val="auto"/>
        </w:rPr>
      </w:pPr>
    </w:p>
    <w:p>
      <w:pPr>
        <w:jc w:val="both"/>
        <w:ind w:left="1080" w:right="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receivables and because, among other reasons, courts of many jurisdictions do not enforce gaming debts, Wynn Macau may encounter forums that will refuse to enforce such debts. Wynn Macau's inability to collect gaming debts could have a significant negative impact on its operating results.</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Macau's casino resort(s) in Macau, could be negatively impacted.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Potential Taxation of Investment in Macau. </w:t>
      </w:r>
      <w:r>
        <w:rPr>
          <w:rFonts w:ascii="Arial" w:cs="Arial" w:eastAsia="Arial" w:hAnsi="Arial"/>
          <w:sz w:val="16"/>
          <w:szCs w:val="16"/>
          <w:color w:val="auto"/>
        </w:rPr>
        <w:t>Wynn Resorts' investment in Macau is owned through a number of wholly owned and partially owned domestic</w:t>
      </w:r>
      <w:r>
        <w:rPr>
          <w:rFonts w:ascii="Arial" w:cs="Arial" w:eastAsia="Arial" w:hAnsi="Arial"/>
          <w:sz w:val="16"/>
          <w:szCs w:val="16"/>
          <w:i w:val="1"/>
          <w:iCs w:val="1"/>
          <w:color w:val="auto"/>
        </w:rPr>
        <w:t xml:space="preserve"> </w:t>
      </w:r>
      <w:r>
        <w:rPr>
          <w:rFonts w:ascii="Arial" w:cs="Arial" w:eastAsia="Arial" w:hAnsi="Arial"/>
          <w:sz w:val="16"/>
          <w:szCs w:val="16"/>
          <w:color w:val="auto"/>
        </w:rPr>
        <w:t>and foreign entities. Although we believe that transfers to these entities of the assets and stock of Wynn Macau were accomplished on a tax-free basis, there is a risk that the Internal Revenue Service could assert that any appreciation in the transferred assets or stock was taxable at the time of such transfers.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Macau-related subsidiaries. Wynn Resorts and its licensed Nevada subsidiaries also will be subject to disciplinary action by the Nevada Gaming Commission if Wynn Resorts' Macau-related subsidiaries:</w:t>
      </w:r>
    </w:p>
    <w:p>
      <w:pPr>
        <w:spacing w:after="0" w:line="210" w:lineRule="exact"/>
        <w:rPr>
          <w:sz w:val="20"/>
          <w:szCs w:val="20"/>
          <w:color w:val="auto"/>
        </w:rPr>
      </w:pPr>
    </w:p>
    <w:p>
      <w:pPr>
        <w:ind w:left="5620" w:right="4840" w:hanging="5072"/>
        <w:spacing w:after="0" w:line="613" w:lineRule="auto"/>
        <w:tabs>
          <w:tab w:leader="none" w:pos="10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knowingly violate any Macau laws relating to their Macau gaming operations; 30</w:t>
      </w:r>
    </w:p>
    <w:p>
      <w:pPr>
        <w:spacing w:after="0" w:line="181"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right="60" w:hanging="532"/>
        <w:spacing w:after="0" w:line="370"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61"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-1447165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6"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w:t>
      </w:r>
    </w:p>
    <w:p>
      <w:pPr>
        <w:sectPr>
          <w:pgSz w:w="11900" w:h="16975" w:orient="portrait"/>
          <w:cols w:equalWidth="0" w:num="1">
            <w:col w:w="11420"/>
          </w:cols>
          <w:pgMar w:left="240" w:top="145" w:right="239" w:bottom="0" w:gutter="0" w:footer="0" w:header="0"/>
        </w:sectPr>
      </w:pPr>
    </w:p>
    <w:bookmarkStart w:id="19" w:name="page20"/>
    <w:bookmarkEnd w:id="19"/>
    <w:p>
      <w:pPr>
        <w:spacing w:after="0" w:line="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 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7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casinos would face intense competition.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In addition, SJM is reported to be planning a major remodeling of the Hotel Lisboa and, through a related entity, a new Fisherman's Wharf development, which will include a casino, in the vicinity of the Macau ferry terminal. Galaxy Casino Company Limited, referred to as Galaxy, also has been awarded a concession to operate casinos in Macau. Galaxy is a joint venture between an affiliate of the operators of The Venetian in Las Vegas and a group of Hong Kong investors, which, according to news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reports, has plans to build a major casino on Taipa, the island where Macau's international airport is located, and possibly other casinos.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Macau's gaming business would also face significant regional competition from casinos located in Asia, as well as from other major casino destinations around the world. For example, Genting Highlands Resort, an entertainment complex just outside of Kuala Lumpur, Malaysia, which currently has five hotels, a casino, a theme park, a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 Manila, Philippines, fewer gaming customers might visit Macau and the results of operations of Wynn Macau's casinos could be negatively affected.</w:t>
      </w:r>
    </w:p>
    <w:p>
      <w:pPr>
        <w:spacing w:after="0" w:line="19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additional information about the competition that Wynn Macau's casino(s) will face, see "Business—The Macau Opportunity—Competition within Macau and from Regional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construction projects that may prevent completion of Wynn Macau's casino(s) on budget and on schedule.</w:t>
      </w:r>
    </w:p>
    <w:p>
      <w:pPr>
        <w:spacing w:after="0" w:line="25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Wynn Macau's construction of one or more casinos in Macau would entail significant risks associated with construction projects. These risks are similar to the risks we face in constructing Le Rêve. For examples of the construction risks that may apply to the Macau opportunity, see "—Risks Associated with Our Construction of Le Rêve—There are significant risks associated with major construction projects that may prevent completion of Le Rêve on budget and on schedule."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Unfavorable changes in currency exchange rates may increase Wynn Macau's obligations under the concession agreement and cause fluctuations in the value of our investment in Macau.</w:t>
      </w:r>
    </w:p>
    <w:p>
      <w:pPr>
        <w:spacing w:after="0" w:line="18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and the U.S. dollar, are subject to potential changes due to, among other things, changes in Chinese governmental policies and international economic and political developments.</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w:t>
      </w:r>
    </w:p>
    <w:p>
      <w:pPr>
        <w:sectPr>
          <w:pgSz w:w="11900" w:h="16881" w:orient="portrait"/>
          <w:cols w:equalWidth="0" w:num="1">
            <w:col w:w="11400"/>
          </w:cols>
          <w:pgMar w:left="240" w:top="131" w:right="259" w:bottom="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after this offering may be lower than the offering price you pay and may be volatile.</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Moreover, as construction of Le Rêve or Wynn Macau's casino progresses, developments in construction may cause fluctuation in the price of our common stock.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amounts of our common stock could be sold in the near future, which could depress our stock price.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Before this offering, there has been no public market for our common stock. We cannot predict the effect, if any, that market sales of shares of common stock or the availability of 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 the resale of all or some of these securities in a secondary offering. Immediately following the completion of this offering, Aruze USA will hold approximately 35.2% of our issued and outstanding common stock. A sale of all or some of Aruze USA's shares in a secondary offering could significantly reduce the market price of the common stock.</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of the outstanding shares of common stock belonging to officers, directors and other stockholders are currently "restricted securities" under the Securities Act. We expect that up to 40,000,000 shares of these restricted securities will be eligible for sale in the public market at prescribed times pursuant to Rule 144 under the Securities Act, or otherwise. We expect that 38,002,915 shares of these restricted securities, which are held by our affiliates, will be eligible for sale in the public market pursuant to Rule 144 under the Securities Act,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otherwise, beginning in September 2003. Sales of a significant number of these shares of common stock in the public market could reduce the market price of our common stock.</w:t>
      </w:r>
    </w:p>
    <w:p>
      <w:pPr>
        <w:spacing w:after="0" w:line="18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Wynn Resorts has never paid dividends, does not intend to pay dividends in the foreseeable future and may not pay dividends to any unsuitable person or its affiliates.</w:t>
      </w:r>
    </w:p>
    <w:p>
      <w:pPr>
        <w:spacing w:after="0" w:line="180"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Wynn Resorts has never paid dividends and does not anticipate paying any cash dividends on our common stock in the foreseeable future. We intend to retain our earnings, if any, to use in our growth and ongoing operations. In addition, Wynn Resorts is a holding company and, as a result, its ability to pay dividends is dependent on its subsidiaries' ability to provide funds to it. However, the terms of the credit facilities, the FF&amp;E facility and the indenture governing the second mortgage notes will restrict Wynn Resorts' subsidiaries' ability to provide funds to it. See "Description of Certain Indebtedness." Wynn Resorts' board of directors has the authority to issue one or more series of preferred stock without action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future direction.</w:t>
      </w:r>
    </w:p>
    <w:p>
      <w:pPr>
        <w:spacing w:after="0" w:line="254"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After this offering, Mr. Wynn and Aruze USA each will own approximately 35.2%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9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w:t>
      </w:r>
    </w:p>
    <w:p>
      <w:pPr>
        <w:spacing w:after="0" w:line="16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result of this voting arrangement, Mr. Wynn will,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 as part of a sale of Wynn Resorts or its assets and might reduce the market price of Wynn Resorts' common stock. For more information about the stockholders agreement between Mr. Wynn, Aruze USA and Baron Asset Fund, see "Certain Relationships and Related Transactions—Stockholders Agreement" and "Ownership of Capital Stock."</w:t>
      </w:r>
    </w:p>
    <w:p>
      <w:pPr>
        <w:spacing w:after="0" w:line="192"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Investors will incur immediate and substantial dilution in the book value of their investment, and may incur further dilution depending on how we decide to finance Wynn Macau's opportunity in Macau.</w:t>
      </w:r>
    </w:p>
    <w:p>
      <w:pPr>
        <w:spacing w:after="0" w:line="18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expect the initial public offering price to be substantially higher than the net tangible book value per share of the outstanding common stock. If you purchase shares of our common stock, you will incur immediate and substantial dilution in the amount of $1.83 in pro forma net tangible book value per share, based on an assumed initial public offering price of $16.00 per share, which is the mid-point of the initial public offering price range set forth on the cover of this prospectus.</w:t>
      </w:r>
    </w:p>
    <w:p>
      <w:pPr>
        <w:sectPr>
          <w:pgSz w:w="11900" w:h="16838" w:orient="portrait"/>
          <w:cols w:equalWidth="0" w:num="1">
            <w:col w:w="11400"/>
          </w:cols>
          <w:pgMar w:left="240" w:top="341" w:right="259" w:bottom="22"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22" w:gutter="0" w:footer="0" w:header="0"/>
          <w:type w:val="continuous"/>
        </w:sectPr>
      </w:pPr>
    </w:p>
    <w:bookmarkStart w:id="21" w:name="page22"/>
    <w:bookmarkEnd w:id="21"/>
    <w:p>
      <w:pPr>
        <w:ind w:right="120" w:firstLine="351"/>
        <w:spacing w:after="0" w:line="254" w:lineRule="auto"/>
        <w:rPr>
          <w:sz w:val="20"/>
          <w:szCs w:val="20"/>
          <w:color w:val="auto"/>
        </w:rPr>
      </w:pPr>
      <w:r>
        <w:rPr>
          <w:rFonts w:ascii="Arial" w:cs="Arial" w:eastAsia="Arial" w:hAnsi="Arial"/>
          <w:sz w:val="18"/>
          <w:szCs w:val="18"/>
          <w:color w:val="auto"/>
        </w:rPr>
        <w:t>It is expected that significant financing, in addition to this offering,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one of Wynn Macau's intermediary holding companies. If additional equity is raised at the Wynn Macau or intermediary holding company level, you would indirectly hold a smaller interest in Wynn Macau as the minority interest in the Macau-related entities increases. If Wynn Resorts decides to raise additional equity at the Wynn Resorts level to fund the Macau opportunity, you would suffer dilution of your interest in Wynn Resorts.</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8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Provisions of our articles of incorporation and bylaws, as well as provisions of Nevada law, could discourage, delay or prevent a merger, acquisition or other change in control of Wynn Resorts, even if a change in control would benefit our stockholders. These provisions:</w:t>
      </w:r>
    </w:p>
    <w:p>
      <w:pPr>
        <w:spacing w:after="0" w:line="199" w:lineRule="exact"/>
        <w:rPr>
          <w:sz w:val="20"/>
          <w:szCs w:val="20"/>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classify our board of directors so that only one-third of the directors are elected each year and require the vote of 66 2/3% of the outstanding stock entitled to vote in the election of directors to amend these provisions;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authorize our board of directors to issue "blank check" preferred stock to increase the number of outstanding shares and thwart a takeover attempt;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eliminate the ability of an individual holder of our common stock to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all stockholder actions be taken at a meeting of our stockholders;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stockholders at stockholder meetings;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super-majority directors' approval of the sale of all or substantially all of our assets, a voluntary dissolution or liquidation by us, or the filing of a voluntary petition of bankruptcy.</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See "Description of Capital Stock—Nevada Anti-Takeover Law and Certain Charter and Bylaw Provisions—Nevada Control Share Laws."</w:t>
      </w:r>
    </w:p>
    <w:p>
      <w:pPr>
        <w:spacing w:after="0" w:line="17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After we become a registered company under Nevada's gaming laws, approval of the Nevada Gaming Commission must be obtained with respect to changes in control. A person that seeks to acquire control of a registered company must satisfy the Nevada gaming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authorities before assuming control of a registered company. The Nevada gaming authorities may also require controlling stockholders, officers, directors and other persons having a material relationship or involvement with a person proposing to acquire control to be investigated and licensed as part of the approval process relating to the transaction. See "Regulation and Licensing—Approval of Changes in Control."</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Nevada law also provides that directors may resist a change or potential change in control if the directors determine that the change is opposed to, or not in the best interest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redeem your shares due to regulatory considerations, either as required by gaming authorities or in our discretion.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to the extent a gaming authority determines that you or your affiliates are unsuitable or to the extent deemed necessary or advisable by the board of directors, Wynn Resorts may redeem shares of its capital stock that you or your affiliates own or control. The redemption price will be the amount, if any, required by the gaming authority or, if the gaming authority does not determine the price, the sum deemed to be the fair value by the board of directors.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 However, if the gaming authorities were to find you or your affiliate unsuitable to own the voting securities of Wynn Resorts, it could also determine that you or your affiliate is unsuitable to hold a promissory note for the purchase of such voting securities by Wynn Resorts, and could determine not to approve the issuance of the promissory note to you or your affiliate. See "Risk Factors—General Risks Associated with Our Business— The Nevada Gaming Commission may require the disposition of shares of certain stockholders of Wynn Resorts in a manner that may cause us to incur debt or disrupt our stock price" and "Regulation and Licensing—Redemption of Securities Owned by an Unsuitable Person."</w:t>
      </w:r>
    </w:p>
    <w:p>
      <w:pPr>
        <w:sectPr>
          <w:pgSz w:w="11900" w:h="16838" w:orient="portrait"/>
          <w:cols w:equalWidth="0" w:num="1">
            <w:col w:w="11400"/>
          </w:cols>
          <w:pgMar w:left="240" w:top="590" w:right="259" w:bottom="751"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751"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16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entering into a new venture and new construction, including our ability to construct and open Le Rêve and Wynn Macau's casino(s) on time and on budget;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 and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 and Macau;</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Macau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of doing business in foreign countries, such as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ectPr>
          <w:pgSz w:w="11900" w:h="16838" w:orient="portrait"/>
          <w:cols w:equalWidth="0" w:num="1">
            <w:col w:w="11380"/>
          </w:cols>
          <w:pgMar w:left="240" w:top="341" w:right="279" w:bottom="0" w:gutter="0" w:footer="0" w:header="0"/>
          <w:type w:val="continuous"/>
        </w:sectPr>
      </w:pPr>
    </w:p>
    <w:bookmarkStart w:id="23" w:name="page24"/>
    <w:bookmarkEnd w:id="23"/>
    <w:p>
      <w:pPr>
        <w:ind w:right="40" w:firstLine="348"/>
        <w:spacing w:after="0" w:line="256" w:lineRule="auto"/>
        <w:rPr>
          <w:sz w:val="20"/>
          <w:szCs w:val="20"/>
          <w:color w:val="auto"/>
        </w:rPr>
      </w:pPr>
      <w:r>
        <w:rPr>
          <w:rFonts w:ascii="Arial" w:cs="Arial" w:eastAsia="Arial" w:hAnsi="Arial"/>
          <w:sz w:val="18"/>
          <w:szCs w:val="18"/>
          <w:color w:val="auto"/>
        </w:rPr>
        <w:t>We expect to receive approximately $428.1 million in net proceeds from the sale of shares of our common stock in this offering based on the sale of 28,125,000 shares at an assumed initial public offering price of $16.00 per share, the mid-point of the initial public offering price range set forth on the cover of this prospectus, after deducting underwriting discounts and commissions and estimated offering expenses. If the underwriters exercise their over-allotment option in full, we expect our net proceeds to be approximately $464.1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wholly owned subsidiaries, Wynn Las Vegas and Wynn Capital, will jointly consummate an offering of second mortgage notes. We expect Wynn Las Vegas to receive approximately $326.0 million in net proceeds from the second mortgage note offering, after deducting underwriting discounts and commissions and estimated offering expenses; and</w:t>
      </w:r>
    </w:p>
    <w:p>
      <w:pPr>
        <w:spacing w:after="0" w:line="221"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Wynn Las Vegas will enter into a $750.0 million revolving credit facility, a $250.0 million delay draw term loan facility and a $188.5 million FF&amp;E facility. Wynn Las Vegas has received commitments for the credit facility and the delay draw term loan facility, and the placement agent for the FF&amp;E facility has received commitments from the lenders who will enter into the FF&amp;E facility. See "Description of Certain Indebtedness."</w:t>
      </w:r>
    </w:p>
    <w:p>
      <w:pPr>
        <w:spacing w:after="0" w:line="16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intend to contribute to Wynn Las Vegas approximately $374.7 million of the net proceeds from this offering and all of the existing cash on hand held by Valvino. Wynn Las Vegas intends to use those contributions together with the net proceeds from the second mortgage notes offering and borrowings under the revolving credit facility, delay draw term loan facility and FF&amp;E facility to design, develop, construct, equip and open Le Rêve.</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we intend to use up to $40 million of the net proceeds from this offering as part of the financing of Wynn Macau to design, construct, develop, equip and operate one or more casino resorts in Macau.</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Las Vegas will enter into a disbursement agreement with the agents under the credit facilities and the FF&amp;E facility and the second mortgage note trustee which will require that Le Rêve project costs be funded first from contributions we will have made to Wynn Las Vegas, then from the net proceeds of the second mortgage notes offering and then from the other debt facilities. We expect Wynn Las Vegas to begin to request disbursements of the second mortgage note proceeds, subject to satisfaction of the conditions in the disbursement agreement, approximately ten to twelve months after the consummation of this offering and after expending all of the net proceeds of this offering contributed to it, other than the funds securing the completion guarantee and the funds to be deposited in the liquidity reserve account.</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 Substantial Indebtedness," "Management's Discussion and Analysis of Financial Condition and Results of Operations" and our financial statements and the accompanying notes.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we may use the additional net proceeds for general corporate purposes, including for unanticipated construction and debt service expenses relating to Le Rêve and for additional expenditures related to the Macau opportunity. We may, but are not obligated to, contribute these funds to Wynn Las Vegas.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Pending application of the net proceeds as described above, we intend to invest the net proceeds in short-term highly rated securities.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Of the $374.7 million in net proceeds from this offering that Wynn Resorts will contribute to Wynn Las Vegas, $50 million will be contributed to a special purpose subsidiary of Wynn Las Vegas which will be providing a $50 million completion guarantee in favor of the lenders under the credit facilities and the holders of the second mortgage notes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that will govern the disbursement of funds from our debt facilities to fund Le Rêve project costs, these funds will become available to Wynn Las Vegas on a gradual basis to apply to the costs of the project only after fifty percent of the Le Rêve construction work has been completed. After the completion and opening of Le Rêve, any amounts remaining in this account will be released to Wynn Resorts.</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of the $374.7 million in net proceeds from this offering that Wynn Resorts will contribute to Wynn Las Vegas, $30 million will be held in a liquidity reserve account and pledged to the lenders under the credit facilities and the second mortgage note holders to secure Wynn Las Vegas' obligation to develop and construct Le Rêve. Until the opening of Le Rêve, these funds may be applied to the costs of the project in accordance with the disbursement agreement. Following the completion and opening of Le Rêve, these funds will be available to meet Wynn Las Vegas' debt service needs in connection with Le Rêve. Once Wynn Las Vegas has met prescribed cash flow tests for a period of four consecutive fiscal quarters after the completion and opening of Le Rêve, any remaining funds will be used to reduce the outstanding balance of the revolving credit facility, but without reducing the revolving credit facility commitment.</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Approximately $294.7 million of the $374.7 million in net proceeds from this offering that Wynn Resorts will contribute to Wynn Las Vegas will be used, along with the cash on hand that Valvino will contribute to Wynn Las Vegas, to fund the development and construction of Le Rêve, including pre-opening and debt service payments. We expect that these net proceeds will be used to fund the initial phases of construction of Le Rêve, including contractor monthly payment applications, design fees and operational payroll.</w:t>
      </w:r>
    </w:p>
    <w:p>
      <w:pPr>
        <w:spacing w:after="0" w:line="197"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following table sets forth estimated sources and uses of funds to design, develop, construct, equip and open Le Rêve and for other operations related primarily to the Le Rêve project and includes certain amounts invested and reserved for investment in connection with the financing of the design, construction, development, equipping and operation of one or more casinos in Macau; however, substantial additional financing will be required for the Macau opportunity. The table includes all sources and uses of funds since the inception of Wynn Resorts and our subsidiaries. The table assumes that the financing transactions, including this offering, closed on October 1, 2002. For purposes of calculating total construction costs, the revolving credit facility balance and interest and commitment fees, this</w:t>
      </w:r>
    </w:p>
    <w:p>
      <w:pPr>
        <w:sectPr>
          <w:pgSz w:w="11900" w:h="16838" w:orient="portrait"/>
          <w:cols w:equalWidth="0" w:num="1">
            <w:col w:w="11400"/>
          </w:cols>
          <w:pgMar w:left="240" w:top="131" w:right="259" w:bottom="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31" w:right="259" w:bottom="0" w:gutter="0" w:footer="0" w:header="0"/>
          <w:type w:val="continuous"/>
        </w:sectPr>
      </w:pPr>
    </w:p>
    <w:bookmarkStart w:id="24" w:name="page25"/>
    <w:bookmarkEnd w:id="24"/>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table also includes certain final construction cost payments that we assume will be made after the opening of Le Rêve.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80" w:type="dxa"/>
            <w:vAlign w:val="bottom"/>
          </w:tcPr>
          <w:p>
            <w:pPr>
              <w:ind w:left="860"/>
              <w:spacing w:after="0"/>
              <w:rPr>
                <w:sz w:val="20"/>
                <w:szCs w:val="20"/>
                <w:color w:val="auto"/>
              </w:rPr>
            </w:pPr>
            <w:r>
              <w:rPr>
                <w:rFonts w:ascii="Arial" w:cs="Arial" w:eastAsia="Arial" w:hAnsi="Arial"/>
                <w:sz w:val="14"/>
                <w:szCs w:val="14"/>
                <w:b w:val="1"/>
                <w:bCs w:val="1"/>
                <w:color w:val="auto"/>
              </w:rPr>
              <w:t>Sources (in millions)</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tcPr>
          <w:p>
            <w:pPr>
              <w:ind w:left="2140"/>
              <w:spacing w:after="0"/>
              <w:rPr>
                <w:sz w:val="20"/>
                <w:szCs w:val="20"/>
                <w:color w:val="auto"/>
              </w:rPr>
            </w:pPr>
            <w:r>
              <w:rPr>
                <w:rFonts w:ascii="Arial" w:cs="Arial" w:eastAsia="Arial" w:hAnsi="Arial"/>
                <w:sz w:val="14"/>
                <w:szCs w:val="14"/>
                <w:b w:val="1"/>
                <w:bCs w:val="1"/>
                <w:color w:val="auto"/>
                <w:w w:val="86"/>
              </w:rPr>
              <w:t>Uses (in millions)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costs: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Delay draw term loan facility</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FF&amp;E,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signage and electronic</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Interest income (2)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Construction period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utilities &amp; security</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contingency (4)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Total construction costs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 and buildings (5)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Pre-opening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Owner-acquired FF&amp;E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Entertainment production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expenditures (6)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Aircraft acquisition and</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loan repayment (7)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commitment fees (8)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Working capital needs at opening</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completion guarantee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Liquidity reserve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Macau (9)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60" w:type="dxa"/>
            <w:vAlign w:val="bottom"/>
            <w:gridSpan w:val="4"/>
          </w:tcPr>
          <w:p>
            <w:pPr>
              <w:ind w:left="180"/>
              <w:spacing w:after="0"/>
              <w:rPr>
                <w:sz w:val="20"/>
                <w:szCs w:val="20"/>
                <w:color w:val="auto"/>
              </w:rPr>
            </w:pPr>
            <w:r>
              <w:rPr>
                <w:rFonts w:ascii="Arial" w:cs="Arial" w:eastAsia="Arial" w:hAnsi="Arial"/>
                <w:sz w:val="18"/>
                <w:szCs w:val="18"/>
                <w:color w:val="auto"/>
                <w:w w:val="95"/>
              </w:rPr>
              <w:t>Reserved for future investment in Macau (10)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fees and expenses (11)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18"/>
                <w:szCs w:val="18"/>
                <w:color w:val="auto"/>
              </w:rPr>
              <w:t>Total Sources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2,554.5</w:t>
            </w: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Total Uses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2,554.5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-5314315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-5314315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-5314315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-5314315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-2827020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-2827020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-477520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-477520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-477520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-168910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-168910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-168910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-168910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34"/>
        </w:numPr>
        <w:rPr>
          <w:rFonts w:ascii="Arial" w:cs="Arial" w:eastAsia="Arial" w:hAnsi="Arial"/>
          <w:sz w:val="27"/>
          <w:szCs w:val="27"/>
          <w:color w:val="auto"/>
          <w:vertAlign w:val="subscript"/>
        </w:rPr>
      </w:pPr>
      <w:r>
        <w:rPr>
          <w:rFonts w:ascii="Arial" w:cs="Arial" w:eastAsia="Arial" w:hAnsi="Arial"/>
          <w:sz w:val="14"/>
          <w:szCs w:val="14"/>
          <w:color w:val="auto"/>
        </w:rPr>
        <w:t>Includes (a) Valvino member net contributions of approximately $586.1 million and (b) the anticipated gross proceeds from this offering of approximately $450 million.</w:t>
      </w:r>
    </w:p>
    <w:p>
      <w:pPr>
        <w:spacing w:after="0" w:line="84" w:lineRule="exact"/>
        <w:rPr>
          <w:rFonts w:ascii="Arial" w:cs="Arial" w:eastAsia="Arial" w:hAnsi="Arial"/>
          <w:sz w:val="27"/>
          <w:szCs w:val="27"/>
          <w:color w:val="auto"/>
          <w:vertAlign w:val="subscript"/>
        </w:rPr>
      </w:pPr>
    </w:p>
    <w:p>
      <w:pPr>
        <w:ind w:left="540" w:right="60" w:hanging="532"/>
        <w:spacing w:after="0" w:line="188" w:lineRule="auto"/>
        <w:tabs>
          <w:tab w:leader="none" w:pos="540" w:val="left"/>
        </w:tabs>
        <w:numPr>
          <w:ilvl w:val="0"/>
          <w:numId w:val="34"/>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pacing w:after="0" w:line="71" w:lineRule="exact"/>
        <w:rPr>
          <w:rFonts w:ascii="Arial" w:cs="Arial" w:eastAsia="Arial" w:hAnsi="Arial"/>
          <w:sz w:val="26"/>
          <w:szCs w:val="26"/>
          <w:color w:val="auto"/>
          <w:vertAlign w:val="subscript"/>
        </w:rPr>
      </w:pPr>
    </w:p>
    <w:p>
      <w:pPr>
        <w:ind w:left="540" w:right="160" w:hanging="532"/>
        <w:spacing w:after="0" w:line="186" w:lineRule="auto"/>
        <w:tabs>
          <w:tab w:leader="none" w:pos="540" w:val="left"/>
        </w:tabs>
        <w:numPr>
          <w:ilvl w:val="0"/>
          <w:numId w:val="34"/>
        </w:numPr>
        <w:rPr>
          <w:rFonts w:ascii="Arial" w:cs="Arial" w:eastAsia="Arial" w:hAnsi="Arial"/>
          <w:sz w:val="24"/>
          <w:szCs w:val="24"/>
          <w:color w:val="auto"/>
          <w:vertAlign w:val="subscript"/>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70" w:lineRule="exact"/>
        <w:rPr>
          <w:rFonts w:ascii="Arial" w:cs="Arial" w:eastAsia="Arial" w:hAnsi="Arial"/>
          <w:sz w:val="24"/>
          <w:szCs w:val="24"/>
          <w:color w:val="auto"/>
          <w:vertAlign w:val="subscript"/>
        </w:rPr>
      </w:pPr>
    </w:p>
    <w:p>
      <w:pPr>
        <w:ind w:left="540" w:hanging="532"/>
        <w:spacing w:after="0" w:line="186" w:lineRule="auto"/>
        <w:tabs>
          <w:tab w:leader="none" w:pos="540" w:val="left"/>
        </w:tabs>
        <w:numPr>
          <w:ilvl w:val="0"/>
          <w:numId w:val="34"/>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Le Rêve project not covered by the construction contract. This amount does not include the owner's contingency of approximately $7.6 million under the construction contract.</w:t>
      </w:r>
    </w:p>
    <w:p>
      <w:pPr>
        <w:ind w:left="540" w:hanging="532"/>
        <w:spacing w:after="0" w:line="198" w:lineRule="auto"/>
        <w:tabs>
          <w:tab w:leader="none" w:pos="540" w:val="left"/>
        </w:tabs>
        <w:numPr>
          <w:ilvl w:val="0"/>
          <w:numId w:val="34"/>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Le Rêve project, including the golf course land, buildings and water rights.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27"/>
          <w:szCs w:val="27"/>
          <w:color w:val="auto"/>
          <w:vertAlign w:val="subscript"/>
        </w:rPr>
      </w:pPr>
      <w:r>
        <w:rPr>
          <w:rFonts w:ascii="Arial" w:cs="Arial" w:eastAsia="Arial" w:hAnsi="Arial"/>
          <w:sz w:val="14"/>
          <w:szCs w:val="14"/>
          <w:color w:val="auto"/>
        </w:rPr>
        <w:t>Consists primarily of operating costs of the previous facility at the Le Rêve site before closure of that facility and facility closure expenditures.</w:t>
      </w:r>
    </w:p>
    <w:p>
      <w:pPr>
        <w:spacing w:after="0" w:line="70" w:lineRule="exact"/>
        <w:rPr>
          <w:rFonts w:ascii="Arial" w:cs="Arial" w:eastAsia="Arial" w:hAnsi="Arial"/>
          <w:sz w:val="27"/>
          <w:szCs w:val="27"/>
          <w:color w:val="auto"/>
          <w:vertAlign w:val="subscript"/>
        </w:rPr>
      </w:pPr>
    </w:p>
    <w:p>
      <w:pPr>
        <w:ind w:left="540" w:right="340" w:hanging="532"/>
        <w:spacing w:after="0" w:line="204" w:lineRule="auto"/>
        <w:tabs>
          <w:tab w:leader="none" w:pos="540" w:val="left"/>
        </w:tabs>
        <w:numPr>
          <w:ilvl w:val="0"/>
          <w:numId w:val="35"/>
        </w:numPr>
        <w:rPr>
          <w:rFonts w:ascii="Arial" w:cs="Arial" w:eastAsia="Arial" w:hAnsi="Arial"/>
          <w:sz w:val="24"/>
          <w:szCs w:val="24"/>
          <w:color w:val="auto"/>
          <w:vertAlign w:val="subscript"/>
        </w:rPr>
      </w:pPr>
      <w:r>
        <w:rPr>
          <w:rFonts w:ascii="Arial" w:cs="Arial" w:eastAsia="Arial" w:hAnsi="Arial"/>
          <w:sz w:val="12"/>
          <w:szCs w:val="12"/>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interest payments on the Bank of America loan anticipated to be made prior to the closing of this offering. Borrowings under the FF&amp;E facility, but not proceeds from this offering, will be used to repay the outstanding balance of this loan.</w:t>
      </w:r>
    </w:p>
    <w:p>
      <w:pPr>
        <w:spacing w:after="0" w:line="84" w:lineRule="exact"/>
        <w:rPr>
          <w:rFonts w:ascii="Arial" w:cs="Arial" w:eastAsia="Arial" w:hAnsi="Arial"/>
          <w:sz w:val="24"/>
          <w:szCs w:val="24"/>
          <w:color w:val="auto"/>
          <w:vertAlign w:val="subscript"/>
        </w:rPr>
      </w:pPr>
    </w:p>
    <w:p>
      <w:pPr>
        <w:ind w:left="540" w:hanging="532"/>
        <w:spacing w:after="0" w:line="204" w:lineRule="auto"/>
        <w:tabs>
          <w:tab w:leader="none" w:pos="540" w:val="left"/>
        </w:tabs>
        <w:numPr>
          <w:ilvl w:val="0"/>
          <w:numId w:val="35"/>
        </w:numPr>
        <w:rPr>
          <w:rFonts w:ascii="Arial" w:cs="Arial" w:eastAsia="Arial" w:hAnsi="Arial"/>
          <w:sz w:val="24"/>
          <w:szCs w:val="24"/>
          <w:color w:val="auto"/>
          <w:vertAlign w:val="subscript"/>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4.25% margin for the delay draw term loan facility.</w:t>
      </w:r>
    </w:p>
    <w:p>
      <w:pPr>
        <w:spacing w:after="0" w:line="71" w:lineRule="exact"/>
        <w:rPr>
          <w:rFonts w:ascii="Arial" w:cs="Arial" w:eastAsia="Arial" w:hAnsi="Arial"/>
          <w:sz w:val="24"/>
          <w:szCs w:val="24"/>
          <w:color w:val="auto"/>
          <w:vertAlign w:val="subscript"/>
        </w:rPr>
      </w:pPr>
    </w:p>
    <w:p>
      <w:pPr>
        <w:ind w:left="540" w:hanging="532"/>
        <w:spacing w:after="0" w:line="186" w:lineRule="auto"/>
        <w:tabs>
          <w:tab w:leader="none" w:pos="540" w:val="left"/>
        </w:tabs>
        <w:numPr>
          <w:ilvl w:val="0"/>
          <w:numId w:val="35"/>
        </w:numPr>
        <w:rPr>
          <w:rFonts w:ascii="Arial" w:cs="Arial" w:eastAsia="Arial" w:hAnsi="Arial"/>
          <w:sz w:val="24"/>
          <w:szCs w:val="24"/>
          <w:color w:val="auto"/>
          <w:vertAlign w:val="subscript"/>
        </w:rPr>
      </w:pPr>
      <w:r>
        <w:rPr>
          <w:rFonts w:ascii="Arial" w:cs="Arial" w:eastAsia="Arial" w:hAnsi="Arial"/>
          <w:sz w:val="12"/>
          <w:szCs w:val="12"/>
          <w:color w:val="auto"/>
        </w:rPr>
        <w:t>Represents expenditures and commitments in connection with negotiation of the Macau concession agreement, including Wynn Macau's share of a capital contribution required by Macau law. Does not include amounts necessary to finance the design, construction, development, equipping and operation of casino(s) in Macau.</w:t>
      </w:r>
    </w:p>
    <w:p>
      <w:pPr>
        <w:ind w:left="540" w:hanging="532"/>
        <w:spacing w:after="0" w:line="187" w:lineRule="auto"/>
        <w:tabs>
          <w:tab w:leader="none" w:pos="540" w:val="left"/>
        </w:tabs>
        <w:numPr>
          <w:ilvl w:val="0"/>
          <w:numId w:val="35"/>
        </w:numPr>
        <w:rPr>
          <w:rFonts w:ascii="Arial" w:cs="Arial" w:eastAsia="Arial" w:hAnsi="Arial"/>
          <w:sz w:val="27"/>
          <w:szCs w:val="27"/>
          <w:color w:val="auto"/>
          <w:vertAlign w:val="subscript"/>
        </w:rPr>
      </w:pPr>
      <w:r>
        <w:rPr>
          <w:rFonts w:ascii="Arial" w:cs="Arial" w:eastAsia="Arial" w:hAnsi="Arial"/>
          <w:sz w:val="14"/>
          <w:szCs w:val="14"/>
          <w:color w:val="auto"/>
        </w:rPr>
        <w:t>We intend to invest up to $40 million of the net proceeds from this offering in Wynn Macau as part of the financing of the Macau opportunity.</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5"/>
        </w:numPr>
        <w:rPr>
          <w:rFonts w:ascii="Arial" w:cs="Arial" w:eastAsia="Arial" w:hAnsi="Arial"/>
          <w:sz w:val="23"/>
          <w:szCs w:val="23"/>
          <w:color w:val="auto"/>
          <w:vertAlign w:val="subscript"/>
        </w:rPr>
      </w:pPr>
      <w:r>
        <w:rPr>
          <w:rFonts w:ascii="Arial" w:cs="Arial" w:eastAsia="Arial" w:hAnsi="Arial"/>
          <w:sz w:val="12"/>
          <w:szCs w:val="12"/>
          <w:color w:val="auto"/>
        </w:rPr>
        <w:t>Includes fees and expenses related to (a) this offering, (b) the second mortgage note offering and (c) the revolving credit facility, the delay draw term loan facility and the FF&amp;E facility.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Wynn Resorts has never declared or paid cash dividends on its capital stock. We currently intend to retain all available funds and any future consolidated earnings to fund the development and growth of our business and, therefore, Wynn Resorts does not anticipate paying any cash dividends on its shares of</w:t>
      </w:r>
    </w:p>
    <w:p>
      <w:pPr>
        <w:sectPr>
          <w:pgSz w:w="11900" w:h="16935" w:orient="portrait"/>
          <w:cols w:equalWidth="0" w:num="1">
            <w:col w:w="11400"/>
          </w:cols>
          <w:pgMar w:left="240" w:top="725" w:right="259" w:bottom="0" w:gutter="0" w:footer="0" w:header="0"/>
        </w:sectPr>
      </w:pPr>
    </w:p>
    <w:bookmarkStart w:id="25" w:name="page26"/>
    <w:bookmarkEnd w:id="25"/>
    <w:p>
      <w:pPr>
        <w:spacing w:after="0" w:line="255" w:lineRule="auto"/>
        <w:rPr>
          <w:sz w:val="20"/>
          <w:szCs w:val="20"/>
          <w:color w:val="auto"/>
        </w:rPr>
      </w:pPr>
      <w:r>
        <w:rPr>
          <w:rFonts w:ascii="Arial" w:cs="Arial" w:eastAsia="Arial" w:hAnsi="Arial"/>
          <w:sz w:val="18"/>
          <w:szCs w:val="18"/>
          <w:color w:val="auto"/>
        </w:rPr>
        <w:t>common stock in the foreseeable future. Wynn Resorts is a holding company and, as a result, its ability to pay dividends is dependent on its subsidiaries' ability to provide funds to it. 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will contain similar restrictions. Wynn Resorts' future dividend policy will also depend on the requirements of any future financing agreements to which it may be a party and other factors considered relevant by its board of directors.</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Nevada Revised Statutes generally provide that distributions may not be made if after any distribution Wynn Resorts would not be able to pay its debts as they become due in the usual course of business or its total assets would be less than the sum of its total liabilities plus any amounts needed to satisfy the preferential rights of stockholders if it were dissolved at the time of the distribution. Wynn Resorts' board of directors has the authority to issue one or more series of preferred stock without actions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Wynn Resorts' capitalization as of June 30, 2002:</w:t>
      </w:r>
    </w:p>
    <w:p>
      <w:pPr>
        <w:spacing w:after="0" w:line="239" w:lineRule="exact"/>
        <w:rPr>
          <w:sz w:val="20"/>
          <w:szCs w:val="20"/>
          <w:color w:val="auto"/>
        </w:rPr>
      </w:pPr>
    </w:p>
    <w:p>
      <w:pPr>
        <w:ind w:left="1620" w:hanging="532"/>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 (representing Valvino's long-term debt and members' equity);</w:t>
      </w:r>
    </w:p>
    <w:p>
      <w:pPr>
        <w:spacing w:after="0" w:line="252" w:lineRule="exact"/>
        <w:rPr>
          <w:rFonts w:ascii="Arial" w:cs="Arial" w:eastAsia="Arial" w:hAnsi="Arial"/>
          <w:sz w:val="18"/>
          <w:szCs w:val="18"/>
          <w:color w:val="auto"/>
        </w:rPr>
      </w:pPr>
    </w:p>
    <w:p>
      <w:pPr>
        <w:ind w:left="1620" w:right="40" w:hanging="532"/>
        <w:spacing w:after="0" w:line="255"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28,125,000 shares of Wynn Resorts' common stock in this offering at an assumed initial public offering price of $16.00 per share, which is the mid-point of the initial public offering price range set forth on the cover of this prospectus, the expected concurrent sale of $365 million in aggregate principal amount at maturity of the second mortgage notes and the intended application of the net proceeds of both offerings, net of underwriting discounts and commissions and estimated expenses;</w:t>
      </w:r>
    </w:p>
    <w:p>
      <w:pPr>
        <w:spacing w:after="0" w:line="210" w:lineRule="exact"/>
        <w:rPr>
          <w:rFonts w:ascii="Arial" w:cs="Arial" w:eastAsia="Arial" w:hAnsi="Arial"/>
          <w:sz w:val="18"/>
          <w:szCs w:val="18"/>
          <w:color w:val="auto"/>
        </w:rPr>
      </w:pPr>
    </w:p>
    <w:p>
      <w:pPr>
        <w:ind w:left="1620" w:right="240" w:hanging="532"/>
        <w:spacing w:after="0" w:line="256"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facility, the second mortgage note offering and the FF&amp;E facility expected to be necessary for the construction of Le Rêve has occurred. See "Use of Proceeds." We have assumed that approximately $710.2 million of the $750 million revolving credit facility will be drawn for the construction of Le Rêve; and</w:t>
      </w:r>
    </w:p>
    <w:p>
      <w:pPr>
        <w:spacing w:after="0" w:line="210" w:lineRule="exact"/>
        <w:rPr>
          <w:rFonts w:ascii="Arial" w:cs="Arial" w:eastAsia="Arial" w:hAnsi="Arial"/>
          <w:sz w:val="18"/>
          <w:szCs w:val="18"/>
          <w:color w:val="auto"/>
        </w:rPr>
      </w:pPr>
    </w:p>
    <w:p>
      <w:pPr>
        <w:ind w:left="1620" w:right="520" w:hanging="532"/>
        <w:spacing w:after="0" w:line="268"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each case, without giving effect to any financing necessary to develop the Macau opportunity, except for Wynn Resorts' intended investment of up to $40 million of the net proceeds from this offering in the Macau opportunity.</w:t>
      </w:r>
    </w:p>
    <w:p>
      <w:pPr>
        <w:spacing w:after="0" w:line="186"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 June 30, 2002</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7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88"/>
              </w:rPr>
              <w:t>Actual</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7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84"/>
              </w:rPr>
              <w:t>(As restated,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12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jc w:val="center"/>
              <w:ind w:left="344"/>
              <w:spacing w:after="0"/>
              <w:rPr>
                <w:sz w:val="20"/>
                <w:szCs w:val="20"/>
                <w:color w:val="auto"/>
              </w:rPr>
            </w:pPr>
            <w:r>
              <w:rPr>
                <w:rFonts w:ascii="Arial" w:cs="Arial" w:eastAsia="Arial" w:hAnsi="Arial"/>
                <w:sz w:val="14"/>
                <w:szCs w:val="14"/>
                <w:b w:val="1"/>
                <w:bCs w:val="1"/>
                <w:color w:val="auto"/>
                <w:w w:val="84"/>
              </w:rPr>
              <w:t>see Note 12)</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Note Offerings</w:t>
            </w:r>
          </w:p>
        </w:tc>
        <w:tc>
          <w:tcPr>
            <w:tcW w:w="12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710.2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Delay draw term loan facility</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FF&amp;E facility(1)</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Second mortgage notes</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Other long-term debt(1)(2)</w:t>
            </w:r>
          </w:p>
        </w:tc>
        <w:tc>
          <w:tcPr>
            <w:tcW w:w="1200" w:type="dxa"/>
            <w:vAlign w:val="bottom"/>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544.9(3)</w:t>
            </w:r>
          </w:p>
        </w:tc>
        <w:tc>
          <w:tcPr>
            <w:tcW w:w="32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color w:val="auto"/>
              </w:rPr>
              <w:t>972.8(4)(5)</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972.8(4)(5)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573.7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-2613025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-2613025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-1986915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-1986915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-1986915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-1986915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-1986915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-1986915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-923290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-923290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-923290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-923290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-923290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-923290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-477520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-477520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-477520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-477520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right="480" w:hanging="532"/>
        <w:spacing w:after="0" w:line="186" w:lineRule="auto"/>
        <w:tabs>
          <w:tab w:leader="none" w:pos="540" w:val="left"/>
        </w:tabs>
        <w:numPr>
          <w:ilvl w:val="0"/>
          <w:numId w:val="37"/>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a wholly owned subsidiary of Wynn Las Vegas.</w:t>
      </w:r>
    </w:p>
    <w:p>
      <w:pPr>
        <w:spacing w:after="0" w:line="70" w:lineRule="exact"/>
        <w:rPr>
          <w:rFonts w:ascii="Arial" w:cs="Arial" w:eastAsia="Arial" w:hAnsi="Arial"/>
          <w:sz w:val="24"/>
          <w:szCs w:val="24"/>
          <w:color w:val="auto"/>
          <w:vertAlign w:val="subscript"/>
        </w:rPr>
      </w:pPr>
    </w:p>
    <w:p>
      <w:pPr>
        <w:ind w:left="540" w:right="100" w:hanging="532"/>
        <w:spacing w:after="0" w:line="188" w:lineRule="auto"/>
        <w:tabs>
          <w:tab w:leader="none" w:pos="540" w:val="left"/>
        </w:tabs>
        <w:numPr>
          <w:ilvl w:val="0"/>
          <w:numId w:val="37"/>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 an annuity issued by ITT Sheraton in connection with the acquisition of a parcel of land in 1994. The annuity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40"/>
        <w:spacing w:after="0" w:line="239" w:lineRule="auto"/>
        <w:rPr>
          <w:sz w:val="20"/>
          <w:szCs w:val="20"/>
          <w:color w:val="auto"/>
        </w:rPr>
      </w:pPr>
      <w:r>
        <w:rPr>
          <w:rFonts w:ascii="Arial" w:cs="Arial" w:eastAsia="Arial" w:hAnsi="Arial"/>
          <w:sz w:val="14"/>
          <w:szCs w:val="14"/>
          <w:color w:val="auto"/>
        </w:rPr>
        <w:t>bears interest at an annual rate of 8% and requires payment of $5,000 per month until February 2009. Valvino assumed the obligations under the annuity in connection with its acquisition of the Desert Inn Resort &amp; Casino.</w:t>
      </w:r>
    </w:p>
    <w:p>
      <w:pPr>
        <w:ind w:left="540" w:hanging="532"/>
        <w:spacing w:after="0"/>
        <w:tabs>
          <w:tab w:leader="none" w:pos="540" w:val="left"/>
        </w:tabs>
        <w:numPr>
          <w:ilvl w:val="0"/>
          <w:numId w:val="38"/>
        </w:numPr>
        <w:rPr>
          <w:rFonts w:ascii="Arial" w:cs="Arial" w:eastAsia="Arial" w:hAnsi="Arial"/>
          <w:sz w:val="27"/>
          <w:szCs w:val="27"/>
          <w:color w:val="auto"/>
          <w:vertAlign w:val="subscript"/>
        </w:rPr>
      </w:pPr>
      <w:r>
        <w:rPr>
          <w:rFonts w:ascii="Arial" w:cs="Arial" w:eastAsia="Arial" w:hAnsi="Arial"/>
          <w:sz w:val="14"/>
          <w:szCs w:val="14"/>
          <w:color w:val="auto"/>
        </w:rPr>
        <w:t>Represents Valvino's members' equity as follows: (a) contributed capital of $586.1 million and (b) deficit accumulated during the developement stage of ($41.1) million.</w:t>
      </w:r>
    </w:p>
    <w:p>
      <w:pPr>
        <w:spacing w:after="0" w:line="84" w:lineRule="exact"/>
        <w:rPr>
          <w:rFonts w:ascii="Arial" w:cs="Arial" w:eastAsia="Arial" w:hAnsi="Arial"/>
          <w:sz w:val="27"/>
          <w:szCs w:val="27"/>
          <w:color w:val="auto"/>
          <w:vertAlign w:val="subscript"/>
        </w:rPr>
      </w:pPr>
    </w:p>
    <w:p>
      <w:pPr>
        <w:ind w:left="540" w:right="80" w:hanging="532"/>
        <w:spacing w:after="0" w:line="186" w:lineRule="auto"/>
        <w:tabs>
          <w:tab w:leader="none" w:pos="540" w:val="left"/>
        </w:tabs>
        <w:numPr>
          <w:ilvl w:val="0"/>
          <w:numId w:val="38"/>
        </w:numPr>
        <w:rPr>
          <w:rFonts w:ascii="Arial" w:cs="Arial" w:eastAsia="Arial" w:hAnsi="Arial"/>
          <w:sz w:val="24"/>
          <w:szCs w:val="24"/>
          <w:color w:val="auto"/>
          <w:vertAlign w:val="subscript"/>
        </w:rPr>
      </w:pPr>
      <w:r>
        <w:rPr>
          <w:rFonts w:ascii="Arial" w:cs="Arial" w:eastAsia="Arial" w:hAnsi="Arial"/>
          <w:sz w:val="12"/>
          <w:szCs w:val="12"/>
          <w:color w:val="auto"/>
        </w:rPr>
        <w:t>Represents Valvino's members' equity as follows: (a) contributed capital of $586.1 million, (b) deficit accumulated during the development stage of ($41.1) million and (c) expected net proceeds from this offering of $428.1 million.</w:t>
      </w:r>
    </w:p>
    <w:p>
      <w:pPr>
        <w:sectPr>
          <w:pgSz w:w="11900" w:h="16838" w:orient="portrait"/>
          <w:cols w:equalWidth="0" w:num="1">
            <w:col w:w="11380"/>
          </w:cols>
          <w:pgMar w:left="240" w:top="131" w:right="279" w:bottom="0" w:gutter="0" w:footer="0" w:header="0"/>
        </w:sectPr>
      </w:pPr>
    </w:p>
    <w:bookmarkStart w:id="26" w:name="page27"/>
    <w:bookmarkEnd w:id="26"/>
    <w:p>
      <w:pPr>
        <w:ind w:left="540" w:right="40" w:hanging="532"/>
        <w:spacing w:after="0" w:line="233"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Wynn Resorts' stockholders' equity on a pro forma and pro forma, as adjusted basis, as follows: (a) preferred stock, $0.01 par value per share, 40,000,000 shares authorized, no shares issued and outstanding, (b) common stock, $0.01 par value per share, 400,000,000 shares authorized, 68,125,000 shares issued and outstanding, (c) additional paid in capital of $427.4 million and (d) deficit accumulated during the development stage of $(41.1)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net tangible book value of our common stock on June 30, 2002 was $537.5 million, or approximately $13.44 per share. Net tangible book value per share represents the amount of our total tangible assets less total liabilities (not including any indebtedness being incurred concurrently with this offering), divided 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assumed initial public offering price of $16.00 per share, which is the mid-point of the initial public offering price range set forth on the cover of this prospectus, and after deducting estimated underwriting discounts and commissions and offering expenses payable by us, our net tangible book value at June 30, 2002 would have been approximately $965.6 million, or $14.17 per share. This represents an immediate increase in net tangible book value of $0.73 per share to existing stockholders and an immediate dilution in net tangible book value of $1.83 per share to new investors purchasing shares of common stock in this offering. The following table illustrates this dilution on a per share basis:</w:t>
      </w:r>
    </w:p>
    <w:p>
      <w:pPr>
        <w:spacing w:after="0" w:line="182"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tangible book value per share at June 30, 2002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13.44</w:t>
            </w:r>
          </w:p>
        </w:tc>
        <w:tc>
          <w:tcPr>
            <w:tcW w:w="6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this offering</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0.73</w:t>
            </w:r>
          </w:p>
        </w:tc>
        <w:tc>
          <w:tcPr>
            <w:tcW w:w="6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4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bl>
    <w:p>
      <w:pPr>
        <w:spacing w:after="0" w:line="20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summarizes, on a pro forma basis to reflect the issuance of shares in this offering as of June 30,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(in millions)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4"/>
          </w:tcPr>
          <w:p>
            <w:pPr>
              <w:ind w:left="30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24"/>
                <w:szCs w:val="2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00" w:type="dxa"/>
            <w:vAlign w:val="bottom"/>
            <w:shd w:val="clear" w:color="auto" w:fill="CCEEFF"/>
          </w:tcPr>
          <w:p>
            <w:pPr>
              <w:jc w:val="center"/>
              <w:ind w:left="380"/>
              <w:spacing w:after="0"/>
              <w:rPr>
                <w:sz w:val="20"/>
                <w:szCs w:val="20"/>
                <w:color w:val="auto"/>
              </w:rPr>
            </w:pPr>
            <w:r>
              <w:rPr>
                <w:rFonts w:ascii="Arial" w:cs="Arial" w:eastAsia="Arial" w:hAnsi="Arial"/>
                <w:sz w:val="18"/>
                <w:szCs w:val="18"/>
                <w:color w:val="auto"/>
                <w:w w:val="89"/>
              </w:rPr>
              <w:t>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New investors</w:t>
            </w:r>
          </w:p>
        </w:tc>
        <w:tc>
          <w:tcPr>
            <w:tcW w:w="800" w:type="dxa"/>
            <w:vAlign w:val="bottom"/>
          </w:tcPr>
          <w:p>
            <w:pPr>
              <w:jc w:val="center"/>
              <w:ind w:left="420"/>
              <w:spacing w:after="0"/>
              <w:rPr>
                <w:sz w:val="20"/>
                <w:szCs w:val="20"/>
                <w:color w:val="auto"/>
              </w:rPr>
            </w:pPr>
            <w:r>
              <w:rPr>
                <w:rFonts w:ascii="Arial" w:cs="Arial" w:eastAsia="Arial" w:hAnsi="Arial"/>
                <w:sz w:val="18"/>
                <w:szCs w:val="18"/>
                <w:color w:val="auto"/>
                <w:w w:val="85"/>
              </w:rPr>
              <w:t>28.1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center"/>
              <w:ind w:left="420"/>
              <w:spacing w:after="0"/>
              <w:rPr>
                <w:sz w:val="20"/>
                <w:szCs w:val="20"/>
                <w:color w:val="auto"/>
              </w:rPr>
            </w:pPr>
            <w:r>
              <w:rPr>
                <w:rFonts w:ascii="Arial" w:cs="Arial" w:eastAsia="Arial" w:hAnsi="Arial"/>
                <w:sz w:val="18"/>
                <w:szCs w:val="18"/>
                <w:color w:val="auto"/>
                <w:w w:val="85"/>
              </w:rPr>
              <w:t>68.1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-1549400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-1549400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-1017905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-1017905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-1017905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-1017905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-768985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-768985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-768985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-768985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-768985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-768985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-768985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-768985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-768985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-768985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-340360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-340360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-340360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-340360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-340360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-340360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-340360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-340360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-340360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-340360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1" w:lineRule="exact"/>
        <w:rPr>
          <w:sz w:val="20"/>
          <w:szCs w:val="20"/>
          <w:color w:val="auto"/>
        </w:rPr>
      </w:pPr>
    </w:p>
    <w:p>
      <w:pPr>
        <w:ind w:left="540" w:right="120" w:hanging="532"/>
        <w:spacing w:after="0" w:line="188" w:lineRule="auto"/>
        <w:tabs>
          <w:tab w:leader="none" w:pos="540" w:val="left"/>
        </w:tabs>
        <w:numPr>
          <w:ilvl w:val="0"/>
          <w:numId w:val="40"/>
        </w:numPr>
        <w:rPr>
          <w:rFonts w:ascii="Arial" w:cs="Arial" w:eastAsia="Arial" w:hAnsi="Arial"/>
          <w:sz w:val="26"/>
          <w:szCs w:val="26"/>
          <w:color w:val="auto"/>
          <w:vertAlign w:val="subscript"/>
        </w:rPr>
      </w:pPr>
      <w:r>
        <w:rPr>
          <w:rFonts w:ascii="Arial" w:cs="Arial" w:eastAsia="Arial" w:hAnsi="Arial"/>
          <w:sz w:val="13"/>
          <w:szCs w:val="13"/>
          <w:color w:val="auto"/>
        </w:rPr>
        <w:t>Includes the contribution by Mr. Wynn in April 2002 of his interest in Wynn Macau, which was valued at approximately $56 million by the parties in the negotiation of the contribution of Mr. Wynn's interest. See "Management's Discussion &amp; Analysis of Financial Condition and Results of Operations—Liquidity and Capital Resources—Material Transactions Affecting Liquidity and Capital Resources."</w:t>
      </w:r>
    </w:p>
    <w:p>
      <w:pPr>
        <w:spacing w:after="0" w:line="19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preceding discussion and tables assume no exercise by the underwriters of their over-allotment option. We intend to reserve 9,750,000 shares for issuance under our stock incentive plan and, following the completion of this offering, we plan to grant 189,723 shares of restricted stock outside of the stock incentive plan to Franco Dragone, the executive producer and principal creator of the new entertainment production for Le Rêve. To the extent the over-allotment option is exercised, or any shares are issued under the stock incentive plan or to Mr. Dragone, there may be further dilution to new investors.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hotel casino resort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54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w:t>
      </w:r>
    </w:p>
    <w:p>
      <w:pPr>
        <w:sectPr>
          <w:pgSz w:w="11900" w:h="16838" w:orient="portrait"/>
          <w:cols w:equalWidth="0" w:num="1">
            <w:col w:w="11420"/>
          </w:cols>
          <w:pgMar w:left="240" w:top="129" w:right="239" w:bottom="0" w:gutter="0" w:footer="0" w:header="0"/>
        </w:sectPr>
      </w:pPr>
    </w:p>
    <w:bookmarkStart w:id="27" w:name="page28"/>
    <w:bookmarkEnd w:id="27"/>
    <w:p>
      <w:pPr>
        <w:ind w:right="360"/>
        <w:spacing w:after="0" w:line="268" w:lineRule="auto"/>
        <w:rPr>
          <w:sz w:val="20"/>
          <w:szCs w:val="20"/>
          <w:color w:val="auto"/>
        </w:rPr>
      </w:pPr>
      <w:r>
        <w:rPr>
          <w:rFonts w:ascii="Arial" w:cs="Arial" w:eastAsia="Arial" w:hAnsi="Arial"/>
          <w:sz w:val="18"/>
          <w:szCs w:val="18"/>
          <w:color w:val="auto"/>
        </w:rPr>
        <w:t>1998, is marked by its eight-acre lake of dancing fountains inspired by Lake Como of Northern Italy, as well as the show "O" produced and performed by the Cirque du Soleil organization.</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Under Mr. Wynn, Mirage Resorts was ranked as the second most admired company in the United States in the March 3, 1997 issue of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In that issue,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310" w:lineRule="auto"/>
        <w:rPr>
          <w:sz w:val="20"/>
          <w:szCs w:val="20"/>
          <w:color w:val="auto"/>
        </w:rPr>
      </w:pPr>
      <w:r>
        <w:rPr>
          <w:rFonts w:ascii="Arial" w:cs="Arial" w:eastAsia="Arial" w:hAnsi="Arial"/>
          <w:sz w:val="15"/>
          <w:szCs w:val="15"/>
          <w:b w:val="1"/>
          <w:bCs w:val="1"/>
          <w:i w:val="1"/>
          <w:iCs w:val="1"/>
          <w:color w:val="auto"/>
        </w:rPr>
        <w:t xml:space="preserve">Aruze USA. </w:t>
      </w:r>
      <w:r>
        <w:rPr>
          <w:rFonts w:ascii="Arial" w:cs="Arial" w:eastAsia="Arial" w:hAnsi="Arial"/>
          <w:sz w:val="15"/>
          <w:szCs w:val="15"/>
          <w:color w:val="auto"/>
        </w:rPr>
        <w:t>Aruze USA, a Nevada corporation, is a wholly owned subsidiary of Aruze Corp., a Japanese manufacturer of pachislot and pachinko machines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video game software. As of October 23, 2002, Aruze Corp. had a market capitalization of approximately ¥131 billion, or approximately $1.1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62"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prospectus.(1)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4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89"/>
              </w:rPr>
              <w:t>2000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left="289"/>
              <w:spacing w:after="0" w:line="149" w:lineRule="exact"/>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12"/>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5"/>
                <w:szCs w:val="15"/>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Consolidated Statement of Operations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2"/>
              <w:spacing w:after="0"/>
              <w:rPr>
                <w:sz w:val="20"/>
                <w:szCs w:val="20"/>
                <w:color w:val="auto"/>
              </w:rPr>
            </w:pPr>
            <w:r>
              <w:rPr>
                <w:rFonts w:ascii="Arial" w:cs="Arial" w:eastAsia="Arial" w:hAnsi="Arial"/>
                <w:sz w:val="18"/>
                <w:szCs w:val="18"/>
                <w:color w:val="auto"/>
              </w:rPr>
              <w:t>87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1,157</w:t>
            </w: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686</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2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(20,060)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(13,403)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(10,616)</w:t>
            </w:r>
          </w:p>
        </w:tc>
        <w:tc>
          <w:tcPr>
            <w:tcW w:w="2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(17,726)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(12,776)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(86.27)</w:t>
            </w: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5"/>
          </w:tcPr>
          <w:p>
            <w:pPr>
              <w:jc w:val="right"/>
              <w:ind w:right="700"/>
              <w:spacing w:after="0" w:line="136" w:lineRule="exact"/>
              <w:rPr>
                <w:sz w:val="20"/>
                <w:szCs w:val="20"/>
                <w:color w:val="auto"/>
              </w:rPr>
            </w:pPr>
            <w:r>
              <w:rPr>
                <w:rFonts w:ascii="Arial" w:cs="Arial" w:eastAsia="Arial" w:hAnsi="Arial"/>
                <w:sz w:val="14"/>
                <w:szCs w:val="14"/>
                <w:b w:val="1"/>
                <w:bCs w:val="1"/>
                <w:color w:val="auto"/>
                <w:w w:val="85"/>
              </w:rPr>
              <w:t>December 31, 2000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right"/>
              <w:ind w:right="120"/>
              <w:spacing w:after="0" w:line="136" w:lineRule="exact"/>
              <w:rPr>
                <w:sz w:val="20"/>
                <w:szCs w:val="20"/>
                <w:color w:val="auto"/>
              </w:rPr>
            </w:pPr>
            <w:r>
              <w:rPr>
                <w:rFonts w:ascii="Arial" w:cs="Arial" w:eastAsia="Arial" w:hAnsi="Arial"/>
                <w:sz w:val="14"/>
                <w:szCs w:val="14"/>
                <w:b w:val="1"/>
                <w:bCs w:val="1"/>
                <w:color w:val="auto"/>
              </w:rPr>
              <w:t>December 31, 2001</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7"/>
          </w:tcPr>
          <w:p>
            <w:pPr>
              <w:jc w:val="right"/>
              <w:ind w:right="880"/>
              <w:spacing w:after="0" w:line="136" w:lineRule="exact"/>
              <w:rPr>
                <w:sz w:val="20"/>
                <w:szCs w:val="20"/>
                <w:color w:val="auto"/>
              </w:rPr>
            </w:pPr>
            <w:r>
              <w:rPr>
                <w:rFonts w:ascii="Arial" w:cs="Arial" w:eastAsia="Arial" w:hAnsi="Arial"/>
                <w:sz w:val="14"/>
                <w:szCs w:val="14"/>
                <w:b w:val="1"/>
                <w:bCs w:val="1"/>
                <w:color w:val="auto"/>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1"/>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387,084</w:t>
            </w:r>
          </w:p>
        </w:tc>
        <w:tc>
          <w:tcPr>
            <w:tcW w:w="80" w:type="dxa"/>
            <w:vAlign w:val="bottom"/>
          </w:tcPr>
          <w:p>
            <w:pPr>
              <w:spacing w:after="0"/>
              <w:rPr>
                <w:sz w:val="18"/>
                <w:szCs w:val="18"/>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388,543</w:t>
            </w:r>
          </w:p>
        </w:tc>
        <w:tc>
          <w:tcPr>
            <w:tcW w:w="580" w:type="dxa"/>
            <w:vAlign w:val="bottom"/>
          </w:tcPr>
          <w:p>
            <w:pPr>
              <w:jc w:val="right"/>
              <w:ind w:right="39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586,036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381,956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384,230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544,948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-2552700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-2552700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-2552700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-2552700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-2552700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-2552700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-2552700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-2552700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-2552700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-966470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-966470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-966470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-966470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-966470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-966470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340" w:hanging="532"/>
        <w:spacing w:after="0" w:line="186" w:lineRule="auto"/>
        <w:tabs>
          <w:tab w:leader="none" w:pos="540" w:val="left"/>
        </w:tabs>
        <w:numPr>
          <w:ilvl w:val="0"/>
          <w:numId w:val="41"/>
        </w:numPr>
        <w:rPr>
          <w:rFonts w:ascii="Arial" w:cs="Arial" w:eastAsia="Arial" w:hAnsi="Arial"/>
          <w:sz w:val="24"/>
          <w:szCs w:val="24"/>
          <w:color w:val="auto"/>
          <w:vertAlign w:val="subscript"/>
        </w:rPr>
      </w:pPr>
      <w:r>
        <w:rPr>
          <w:rFonts w:ascii="Arial" w:cs="Arial" w:eastAsia="Arial" w:hAnsi="Arial"/>
          <w:sz w:val="12"/>
          <w:szCs w:val="12"/>
          <w:color w:val="auto"/>
        </w:rPr>
        <w:t>As of June 30, 2002, Wynn Resorts had no assets, liabilities or operations. Prior to the contribution of the Valvino membership interests to Wynn Resorts, Wynn Resorts did not have any financial transactions reflected in its financial statements other than the initial issuance of one share of common stock and, therefore, financial statements of Wynn Resorts are not included herein.</w:t>
      </w:r>
    </w:p>
    <w:p>
      <w:pPr>
        <w:ind w:left="540" w:hanging="532"/>
        <w:spacing w:after="0" w:line="198" w:lineRule="auto"/>
        <w:tabs>
          <w:tab w:leader="none" w:pos="540" w:val="left"/>
        </w:tabs>
        <w:numPr>
          <w:ilvl w:val="0"/>
          <w:numId w:val="41"/>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ectPr>
          <w:pgSz w:w="11900" w:h="16838" w:orient="portrait"/>
          <w:cols w:equalWidth="0" w:num="1">
            <w:col w:w="11420"/>
          </w:cols>
          <w:pgMar w:left="240" w:top="131" w:right="239" w:bottom="0" w:gutter="0" w:footer="0" w:header="0"/>
        </w:sectPr>
      </w:pPr>
    </w:p>
    <w:bookmarkStart w:id="28" w:name="page29"/>
    <w:bookmarkEnd w:id="28"/>
    <w:p>
      <w:pPr>
        <w:ind w:firstLine="341"/>
        <w:spacing w:after="0" w:line="259" w:lineRule="auto"/>
        <w:rPr>
          <w:sz w:val="20"/>
          <w:szCs w:val="20"/>
          <w:color w:val="auto"/>
        </w:rPr>
      </w:pPr>
      <w:r>
        <w:rPr>
          <w:rFonts w:ascii="Arial" w:cs="Arial" w:eastAsia="Arial" w:hAnsi="Arial"/>
          <w:sz w:val="18"/>
          <w:szCs w:val="18"/>
          <w:color w:val="auto"/>
        </w:rPr>
        <w:t>As discussed in Note 12 to the consolidated financial statements, the accompanying financial statements as of June 30, 2002 and December 31, 2001 and 2000 and for the six months ended June 30, 2002 and 2001, the year ended December 31, 2001 and the periods from inception to December 31, 2000 and June 30, 2002, have been restated. The following discussion gives effect to the restated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We have included the financial statements of Valvino in this prospectus. In September 2002, Wynn Resorts, an entity formed in June 2002, became the parent entity of Valvino when all of the members of Valvino contributed 100% of the membership interests (210,834 shares) to Wynn Resorts in exchange for 40,000,000 shares of Wynn Resorts common stock. Valvino has had no significant operations to date. In June 2000, Valvino acquired the Desert Inn Resort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Casino assets from Starwood Hotels &amp; Resorts Worldwide, Inc. Valvino ceased operating the Desert Inn Resort &amp; Casino after approximately ten weeks. Valvino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demolished some of the buildings constituting the former Desert Inn Resort &amp; Casino hotel in anticipation of the construction of Le Rêve.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structures have been and will continue to be utilized as offices at least through the completion of Le Rêve. Since Valvino ceased operating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our efforts have been devoted principally to the development activities described below with respect to Le Rêve and Wynn Macau's opportunity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Macau. In addition, the financial position and operating results of World Travel and Las Vegas Jet, which include principally the operation and charter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corporate aircraft, are included in Valvino's financial statements. Moreover, we continue to operate an art gallery displaying works from The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Collection, which consists of artwork from the personal art collection of Stephen and Elaine Wynn. Until summer 2002, we also operated the golf course located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site of the former Desert Inn Resort &amp; Casino. Valvino's historical operating results will not be indicative of future operating results.</w:t>
      </w:r>
    </w:p>
    <w:p>
      <w:pPr>
        <w:spacing w:after="0" w:line="219"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Valvino was organized in April 2000.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April 2005.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Wynn Macau also has spent considerable time preparing and presenting to the Macau government a proposal to obtain a provisional concession to engage in gaming activities in Macau and negotiating the concession agreement and land concession. On June 24, 2002, Wynn Macau entered into a 20-year concession agreement with the government of Macau permitting Wynn Macau to construct and operate one or more casinos in Macau. The concession agreement obligates Wynn Macau to invest no less than a total of 4 billion patacas (approximately US $500 million at the October 24, 2002 exchange rate of approximately eight Macau patacas to one U.S. dollar) in Macau-related projects by June 26, 2009 and to commence operations of its first permanent casino resort in Macau no later than December 2006. Wynn Macau, the entity which will own and operate Wynn Resorts' Macau operations, is majority-owned by Wynn Resorts through a series of wholly owned and partially owned domestic and foreign subsidiaries, none of which is a guarantor of the second mortgage notes or the other debt facilities related to Le Rêve.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Wynn Resorts was recently formed with Stephen A. Wynn owning one share of common stock of the corporation. As of June 30, 2002, Wynn Resorts had no assets, liabilities or operations. Prior to the contribution of the Valvino membership interests to Wynn Resorts, upon which Valvino became a wholly owned subsidiary, Wynn Resorts did not have any financial transactions reflected in its financial statements other than the initial issuance of one share of common stock and therefore financial statements of Wynn Resorts are not included herein. Upon the contribution, approximately 189.7 shares of Wynn Resorts' common stock, were issued in exchange for each common share of Valvino membership interests. Wynn Resorts' consolidated financial statements will reflect the financial position and results of operations of Valvino and its subsidiaries.</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exchange of Wynn Resorts shares for contributed Valvino membership interests was a tax-free contribution under the Internal Revenue Code and was accounted for as a nonsubstantive recapitalization. Accordingly, Wynn Resorts will recognize the assets and liabilities transferred at their carrying value in the books and records of Valvino at the time of contribution. The financial statements of Wynn Resorts will report the results of operations for the period in which the transfer occurred as if the contribution of equity interests had occurred at the beginning of the period. Financial information for prior periods will be restated to furnish comparative information. Management does not expect the consolidated financial statements of Wynn Resorts to differ from the consolidated financial statements of Valvino and its subsidiaries included herein.</w:t>
      </w:r>
    </w:p>
    <w:p>
      <w:pPr>
        <w:spacing w:after="0" w:line="174"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("SEC") are met.</w:t>
      </w:r>
    </w:p>
    <w:p>
      <w:pPr>
        <w:spacing w:after="0" w:line="139"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separate financial statements of World Travel and Las Vegas Jet, acquired by Valvino in May 2002, are not included in this registration statement as none of the significant subsidiary tests as provided for in the applicable SEC regulations are met.</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ectPr>
          <w:pgSz w:w="11900" w:h="16838" w:orient="portrait"/>
          <w:cols w:equalWidth="0" w:num="1">
            <w:col w:w="11420"/>
          </w:cols>
          <w:pgMar w:left="240" w:top="131" w:right="239" w:bottom="0" w:gutter="0" w:footer="0" w:header="0"/>
          <w:type w:val="continuous"/>
        </w:sectPr>
      </w:pPr>
    </w:p>
    <w:bookmarkStart w:id="29" w:name="page30"/>
    <w:bookmarkEnd w:id="29"/>
    <w:p>
      <w:pPr>
        <w:ind w:right="20" w:firstLine="348"/>
        <w:spacing w:after="0" w:line="290" w:lineRule="auto"/>
        <w:rPr>
          <w:sz w:val="20"/>
          <w:szCs w:val="20"/>
          <w:color w:val="auto"/>
        </w:rPr>
      </w:pPr>
      <w:r>
        <w:rPr>
          <w:rFonts w:ascii="Arial" w:cs="Arial" w:eastAsia="Arial" w:hAnsi="Arial"/>
          <w:sz w:val="16"/>
          <w:szCs w:val="16"/>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7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$12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4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Valvino recognized a loss of approximately $17.7 million related to pre-opening costs and depreciation of facilities acquired in the acquisition of the Desert Inn Resort &amp; Casino, for the year ended December 31, 2001, an approximate increase of 67% from the loss incurred during the period from inception (April 21, 2000) to December 2000 of approximately $10.6 million.</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$1 million from the period from inception to December 31, 2000 primarily as a result of increased charter revenues to third parties recognized by Las Vegas Jet, LLC, which was previously wholly owned by Mr. Wynn, for approximately $715,000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 approximately $8 million for the year ended December 31, 2001 as compared to the period from inception to December 31, 2000.</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2000, primarily because a majority of the costs incurred for the period from inception to December 31, 2000 related to the closing of the Desert Inn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ectPr>
          <w:pgSz w:w="11900" w:h="16838" w:orient="portrait"/>
          <w:cols w:equalWidth="0" w:num="1">
            <w:col w:w="11380"/>
          </w:cols>
          <w:pgMar w:left="240" w:top="131" w:right="279" w:bottom="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bookmarkStart w:id="30" w:name="page31"/>
    <w:bookmarkEnd w:id="30"/>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$12.8 million as compared to an approximate $8.2 million net loss accumulated during the development stage for the six months ended June 2001.</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revenues for the six months ended June 30, 2002 increased approximately $260,000 from the six months ended June 30, 2001 as a result of increased airplane lease revenue recognized in the 2002 period than the 2001 period and an increase in revenues from the art gallery and the retail shop, which were opened in November 2001.</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expenses for the six months ended June 30, 2002 increased approximately $3.9 million as compared to the same period in 2001 primarily due to an approximate $3.6 million increase in pre-opening costs.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$1.2 million from the six months ended June 30, 2001, primarily as a result of an approximate $750,000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Since Valvino's inception on April 21, 2000, there have been a number of transactions that have had a significant impact on Valvino's liquidity. Our operations have required substantial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capital investment for the acquisition of the land on which Le Rêve will be located and development of the project.</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590" w:right="279" w:bottom="0" w:gutter="0" w:footer="0" w:header="0"/>
        </w:sectPr>
      </w:pPr>
    </w:p>
    <w:bookmarkStart w:id="31" w:name="page32"/>
    <w:bookmarkEnd w:id="31"/>
    <w:p>
      <w:pPr>
        <w:ind w:left="1080"/>
        <w:spacing w:after="0" w:line="253" w:lineRule="auto"/>
        <w:rPr>
          <w:sz w:val="20"/>
          <w:szCs w:val="20"/>
          <w:color w:val="auto"/>
        </w:rPr>
      </w:pPr>
      <w:r>
        <w:rPr>
          <w:rFonts w:ascii="Arial" w:cs="Arial" w:eastAsia="Arial" w:hAnsi="Arial"/>
          <w:sz w:val="18"/>
          <w:szCs w:val="18"/>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and an additional $8.6 million in cash. Mr. Wynn's 90% interest in Wynn Macau, whose principal asset was a provisional license to negotiate a concession agreement with the Macau government, had no historical cost basis.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For financial statement purposes, as a combination of</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80"/>
        <w:spacing w:after="0" w:line="286" w:lineRule="auto"/>
        <w:rPr>
          <w:sz w:val="20"/>
          <w:szCs w:val="20"/>
          <w:color w:val="auto"/>
        </w:rPr>
      </w:pPr>
      <w:r>
        <w:rPr>
          <w:rFonts w:ascii="Arial" w:cs="Arial" w:eastAsia="Arial" w:hAnsi="Arial"/>
          <w:sz w:val="16"/>
          <w:szCs w:val="16"/>
          <w:color w:val="auto"/>
        </w:rPr>
        <w:t>entities under common control, the contribution of Mr. Wynn's 90% interest in Wynn Macau was recorded at carryover basis (with the primary asset recorded in the financial statements being the approximate $22.5 million of cash) rather than fair value. However, Mr. Wynn's resulting</w:t>
      </w:r>
    </w:p>
    <w:p>
      <w:pPr>
        <w:ind w:left="1080" w:right="40"/>
        <w:spacing w:after="0" w:line="261" w:lineRule="auto"/>
        <w:rPr>
          <w:sz w:val="20"/>
          <w:szCs w:val="20"/>
          <w:color w:val="auto"/>
        </w:rPr>
      </w:pPr>
      <w:r>
        <w:rPr>
          <w:rFonts w:ascii="Arial" w:cs="Arial" w:eastAsia="Arial" w:hAnsi="Arial"/>
          <w:sz w:val="18"/>
          <w:szCs w:val="18"/>
          <w:color w:val="auto"/>
        </w:rPr>
        <w:t>47.5% ownership interest in Valvino, after these contributions, reflects the fair value of his investment in Wynn Macau relative to the fair value of the contributions from Aruze USA and Baron Asset Fund;</w:t>
      </w:r>
    </w:p>
    <w:p>
      <w:pPr>
        <w:spacing w:after="0" w:line="205"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81355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4"/>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44"/>
        </w:numPr>
        <w:rPr>
          <w:rFonts w:ascii="Arial" w:cs="Arial" w:eastAsia="Arial" w:hAnsi="Arial"/>
          <w:sz w:val="21"/>
          <w:szCs w:val="21"/>
          <w:color w:val="auto"/>
          <w:vertAlign w:val="subscript"/>
        </w:rPr>
      </w:pPr>
      <w:r>
        <w:rPr>
          <w:rFonts w:ascii="Arial" w:cs="Arial" w:eastAsia="Arial" w:hAnsi="Arial"/>
          <w:sz w:val="11"/>
          <w:szCs w:val="11"/>
          <w:color w:val="auto"/>
        </w:rPr>
        <w:t>These amounts reflect the book capital accounts as determined under federal partnership tax principles.</w:t>
      </w:r>
    </w:p>
    <w:p>
      <w:pPr>
        <w:spacing w:after="0" w:line="85" w:lineRule="exact"/>
        <w:rPr>
          <w:rFonts w:ascii="Arial" w:cs="Arial" w:eastAsia="Arial" w:hAnsi="Arial"/>
          <w:sz w:val="21"/>
          <w:szCs w:val="21"/>
          <w:color w:val="auto"/>
          <w:vertAlign w:val="subscript"/>
        </w:rPr>
      </w:pPr>
    </w:p>
    <w:p>
      <w:pPr>
        <w:ind w:left="540" w:right="60" w:hanging="532"/>
        <w:spacing w:after="0" w:line="186"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pacing w:after="0" w:line="195"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At June 30, 2002, Valvino had approximately $187.9 million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borrowings under the delay draw term loan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the expected offering of second mortgage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cash on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w:t>
      </w:r>
    </w:p>
    <w:p>
      <w:pPr>
        <w:sectPr>
          <w:pgSz w:w="11900" w:h="16838" w:orient="portrait"/>
          <w:cols w:equalWidth="0" w:num="1">
            <w:col w:w="11380"/>
          </w:cols>
          <w:pgMar w:left="240" w:top="131" w:right="279" w:bottom="0" w:gutter="0" w:footer="0" w:header="0"/>
        </w:sectPr>
      </w:pPr>
    </w:p>
    <w:bookmarkStart w:id="32" w:name="page33"/>
    <w:bookmarkEnd w:id="32"/>
    <w:p>
      <w:pPr>
        <w:ind w:right="320" w:firstLine="348"/>
        <w:spacing w:after="0" w:line="259" w:lineRule="auto"/>
        <w:rPr>
          <w:sz w:val="20"/>
          <w:szCs w:val="20"/>
          <w:color w:val="auto"/>
        </w:rPr>
      </w:pPr>
      <w:r>
        <w:rPr>
          <w:rFonts w:ascii="Arial" w:cs="Arial" w:eastAsia="Arial" w:hAnsi="Arial"/>
          <w:sz w:val="18"/>
          <w:szCs w:val="18"/>
          <w:color w:val="auto"/>
        </w:rPr>
        <w:t>The following table summarizes certain information regarding our subsidiaries'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w w:val="86"/>
              </w:rPr>
              <w:t>Payments Due By Period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Less than</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00"/>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1 Year</w:t>
            </w:r>
          </w:p>
        </w:tc>
        <w:tc>
          <w:tcPr>
            <w:tcW w:w="60" w:type="dxa"/>
            <w:vAlign w:val="bottom"/>
          </w:tcPr>
          <w:p>
            <w:pPr>
              <w:spacing w:after="0"/>
              <w:rPr>
                <w:sz w:val="15"/>
                <w:szCs w:val="15"/>
                <w:color w:val="auto"/>
              </w:rPr>
            </w:pPr>
          </w:p>
        </w:tc>
        <w:tc>
          <w:tcPr>
            <w:tcW w:w="1000" w:type="dxa"/>
            <w:vAlign w:val="bottom"/>
            <w:gridSpan w:val="5"/>
          </w:tcPr>
          <w:p>
            <w:pPr>
              <w:ind w:left="160"/>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5"/>
                <w:szCs w:val="15"/>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4-5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Delay draw term loan facility(2)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1,514.0</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tcPr>
          <w:p>
            <w:pPr>
              <w:spacing w:after="0"/>
              <w:rPr>
                <w:sz w:val="24"/>
                <w:szCs w:val="24"/>
                <w:color w:val="auto"/>
              </w:rPr>
            </w:pP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1,513.8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15"/>
          </w:tcPr>
          <w:p>
            <w:pPr>
              <w:jc w:val="center"/>
              <w:ind w:right="380"/>
              <w:spacing w:after="0"/>
              <w:rPr>
                <w:sz w:val="20"/>
                <w:szCs w:val="20"/>
                <w:color w:val="auto"/>
              </w:rPr>
            </w:pPr>
            <w:r>
              <w:rPr>
                <w:rFonts w:ascii="Arial" w:cs="Arial" w:eastAsia="Arial" w:hAnsi="Arial"/>
                <w:sz w:val="14"/>
                <w:szCs w:val="14"/>
                <w:b w:val="1"/>
                <w:bCs w:val="1"/>
                <w:color w:val="auto"/>
                <w:w w:val="88"/>
              </w:rPr>
              <w:t>Amount of Commitment Expiration Per Period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1400" w:type="dxa"/>
            <w:vAlign w:val="bottom"/>
            <w:gridSpan w:val="5"/>
          </w:tcPr>
          <w:p>
            <w:pPr>
              <w:ind w:left="300"/>
              <w:spacing w:after="0" w:line="149"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0"/>
              </w:rPr>
              <w:t>Committed</w:t>
            </w:r>
          </w:p>
        </w:tc>
        <w:tc>
          <w:tcPr>
            <w:tcW w:w="20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1 Year</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ind w:left="80"/>
              <w:spacing w:after="0"/>
              <w:rPr>
                <w:sz w:val="20"/>
                <w:szCs w:val="20"/>
                <w:color w:val="auto"/>
              </w:rPr>
            </w:pPr>
            <w:r>
              <w:rPr>
                <w:rFonts w:ascii="Arial" w:cs="Arial" w:eastAsia="Arial" w:hAnsi="Arial"/>
                <w:sz w:val="14"/>
                <w:szCs w:val="14"/>
                <w:b w:val="1"/>
                <w:bCs w:val="1"/>
                <w:color w:val="auto"/>
              </w:rPr>
              <w:t>1-3 Years</w:t>
            </w: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4-5 Years</w:t>
            </w:r>
          </w:p>
        </w:tc>
        <w:tc>
          <w:tcPr>
            <w:tcW w:w="160" w:type="dxa"/>
            <w:vAlign w:val="bottom"/>
          </w:tcPr>
          <w:p>
            <w:pPr>
              <w:spacing w:after="0"/>
              <w:rPr>
                <w:sz w:val="15"/>
                <w:szCs w:val="15"/>
                <w:color w:val="auto"/>
              </w:rPr>
            </w:pPr>
          </w:p>
        </w:tc>
        <w:tc>
          <w:tcPr>
            <w:tcW w:w="1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5"/>
          </w:tcPr>
          <w:p>
            <w:pPr>
              <w:jc w:val="center"/>
              <w:ind w:left="186"/>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center"/>
              <w:ind w:left="66"/>
              <w:spacing w:after="0"/>
              <w:rPr>
                <w:sz w:val="20"/>
                <w:szCs w:val="20"/>
                <w:color w:val="auto"/>
              </w:rPr>
            </w:pPr>
            <w:r>
              <w:rPr>
                <w:rFonts w:ascii="Arial" w:cs="Arial" w:eastAsia="Arial" w:hAnsi="Arial"/>
                <w:sz w:val="18"/>
                <w:szCs w:val="18"/>
                <w:color w:val="auto"/>
                <w:w w:val="94"/>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—(7)</w:t>
            </w:r>
          </w:p>
        </w:tc>
        <w:tc>
          <w:tcPr>
            <w:tcW w:w="3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500" w:type="dxa"/>
            <w:vAlign w:val="bottom"/>
            <w:gridSpan w:val="3"/>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commercial commitments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1,431.5</w:t>
            </w: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259.8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-3813175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-3813175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-3470275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-3470275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-3470275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-3470275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-3470275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-3470275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-3470275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-3470275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-3470275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-3470275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-3470275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-3470275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-2381250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-2381250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-2381250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-2381250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-2381250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-2381250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-2381250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-2381250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-2381250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-2381250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-1729740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-1729740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-1292225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-1292225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-1292225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-1292225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-1292225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-1292225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-1292225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-1292225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-1292225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-477520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-477520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-477520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jc w:val="both"/>
        <w:ind w:left="540" w:right="40" w:hanging="532"/>
        <w:spacing w:after="0" w:line="204"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We anticipate that we will draw down approximately $710.2 million under the revolving credit facility to fund the design, construction, development, equipping and opening of Le Rêve, assuming that Le Rêve is completed on schedule. Once the total extensions of credit under the revolving credit facility equal or exceed $200 million, lead arrangers holding a majority of the commitments of the lead arrangers under that facility will have the right to convert between $100 million and $400 million of the outstanding revolving loans into term loans on the same terms and conditions as</w:t>
      </w:r>
    </w:p>
    <w:p>
      <w:pPr>
        <w:spacing w:after="0" w:line="192" w:lineRule="exact"/>
        <w:rPr>
          <w:rFonts w:ascii="Arial" w:cs="Arial" w:eastAsia="Arial" w:hAnsi="Arial"/>
          <w:sz w:val="24"/>
          <w:szCs w:val="24"/>
          <w:color w:val="auto"/>
          <w:vertAlign w:val="subscript"/>
        </w:rPr>
      </w:pPr>
    </w:p>
    <w:p>
      <w:pPr>
        <w:ind w:left="540" w:right="160"/>
        <w:spacing w:after="0" w:line="239" w:lineRule="auto"/>
        <w:rPr>
          <w:rFonts w:ascii="Arial" w:cs="Arial" w:eastAsia="Arial" w:hAnsi="Arial"/>
          <w:sz w:val="24"/>
          <w:szCs w:val="24"/>
          <w:color w:val="auto"/>
          <w:vertAlign w:val="subscript"/>
        </w:rPr>
      </w:pPr>
      <w:r>
        <w:rPr>
          <w:rFonts w:ascii="Arial" w:cs="Arial" w:eastAsia="Arial" w:hAnsi="Arial"/>
          <w:sz w:val="14"/>
          <w:szCs w:val="14"/>
          <w:color w:val="auto"/>
        </w:rPr>
        <w:t>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152" w:lineRule="exact"/>
        <w:rPr>
          <w:rFonts w:ascii="Arial" w:cs="Arial" w:eastAsia="Arial" w:hAnsi="Arial"/>
          <w:sz w:val="24"/>
          <w:szCs w:val="24"/>
          <w:color w:val="auto"/>
          <w:vertAlign w:val="subscript"/>
        </w:rPr>
      </w:pPr>
    </w:p>
    <w:p>
      <w:pPr>
        <w:ind w:left="540" w:right="400" w:hanging="532"/>
        <w:spacing w:after="0" w:line="186"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70" w:lineRule="exact"/>
        <w:rPr>
          <w:rFonts w:ascii="Arial" w:cs="Arial" w:eastAsia="Arial" w:hAnsi="Arial"/>
          <w:sz w:val="24"/>
          <w:szCs w:val="24"/>
          <w:color w:val="auto"/>
          <w:vertAlign w:val="subscript"/>
        </w:rPr>
      </w:pPr>
    </w:p>
    <w:p>
      <w:pPr>
        <w:ind w:left="540" w:right="200" w:hanging="532"/>
        <w:spacing w:after="0" w:line="214"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Wynn Las Vegas' placement agent for the FF&amp;E facility, Banc of America Leasing &amp; Capital LLC, has received commitments from the lenders who will enter into the $188.5 million FF&amp;E facility. This facility will close concurrently with the closing of this offering. Wynn Las Vegas intends to use approximately $28.5 million of borrowings under the FF&amp;E facility to refinance a loan made by Bank of America, N.A. to World Travel, LLC, a wholly owned subsidiary of Wynn Las Vegas. The Bank of America loan is secured by an aircraft mortgage on World Travel's Bombardier Global Express aircraft and calls for 47 monthly principal payments of $158,333 commencing March 1, 2003 and the payment of the approximately $21.1 million remaining principal on March 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100"/>
        <w:spacing w:after="0" w:line="239" w:lineRule="auto"/>
        <w:rPr>
          <w:sz w:val="20"/>
          <w:szCs w:val="20"/>
          <w:color w:val="auto"/>
        </w:rPr>
      </w:pPr>
      <w:r>
        <w:rPr>
          <w:rFonts w:ascii="Arial" w:cs="Arial" w:eastAsia="Arial" w:hAnsi="Arial"/>
          <w:sz w:val="14"/>
          <w:szCs w:val="14"/>
          <w:color w:val="auto"/>
        </w:rPr>
        <w:t>2007. See "Certain Relationships and Related Transactions—Aircraft Arrangements." World Travel intends to issue Wynn Las Vegas an intercompany note in the amount of the funds received by it to repay the Bank of America loan.</w:t>
      </w:r>
    </w:p>
    <w:p>
      <w:pPr>
        <w:spacing w:after="0" w:line="139" w:lineRule="exact"/>
        <w:rPr>
          <w:sz w:val="20"/>
          <w:szCs w:val="20"/>
          <w:color w:val="auto"/>
        </w:rPr>
      </w:pPr>
    </w:p>
    <w:p>
      <w:pPr>
        <w:ind w:left="540" w:right="80" w:hanging="532"/>
        <w:spacing w:after="0" w:line="186" w:lineRule="auto"/>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84"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Wynn Las Vegas'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48"/>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71" w:lineRule="exact"/>
        <w:rPr>
          <w:rFonts w:ascii="Arial" w:cs="Arial" w:eastAsia="Arial" w:hAnsi="Arial"/>
          <w:sz w:val="27"/>
          <w:szCs w:val="27"/>
          <w:color w:val="auto"/>
          <w:vertAlign w:val="subscript"/>
        </w:rPr>
      </w:pPr>
    </w:p>
    <w:p>
      <w:pPr>
        <w:ind w:left="540" w:right="260" w:hanging="532"/>
        <w:spacing w:after="0" w:line="188" w:lineRule="auto"/>
        <w:tabs>
          <w:tab w:leader="none" w:pos="540" w:val="left"/>
        </w:tabs>
        <w:numPr>
          <w:ilvl w:val="0"/>
          <w:numId w:val="48"/>
        </w:numPr>
        <w:rPr>
          <w:rFonts w:ascii="Arial" w:cs="Arial" w:eastAsia="Arial" w:hAnsi="Arial"/>
          <w:sz w:val="26"/>
          <w:szCs w:val="26"/>
          <w:color w:val="auto"/>
          <w:vertAlign w:val="subscript"/>
        </w:rPr>
      </w:pPr>
      <w:r>
        <w:rPr>
          <w:rFonts w:ascii="Arial" w:cs="Arial" w:eastAsia="Arial" w:hAnsi="Arial"/>
          <w:sz w:val="13"/>
          <w:szCs w:val="13"/>
          <w:color w:val="auto"/>
        </w:rPr>
        <w:t>The Macau concession agreement requires Wynn Macau to invest approximately US $500 millon (using the exchange rate as of October 24, 2002) on one or more casino projects over a seven year period. Wynn Macau is obligated to operate its first casino in Macau by December 2006. The full contractual commitment is shown as having to be made after five years, but the timing of the expenditures is subject to change.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LLC, Bear, Stearns &amp; Co. Inc. and certain of their affiliates for a revolving credit facility of $750 million and a delay draw term loan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as part of the financing of Le Rêve. These lenders or their affiliates are also serving as joint book-running managers of this offering and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notes offering. The revolving credit facility will mature on the sixth anniversary of the closing of the credit facilities. Borrowings under the delay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facility will be available for 27 months after the closing of the credit facilities and will be repayable in quarterly installments from the first full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after completion of Le Rêve until the seventh anniversary of the closing of the credit facilities in amounts to be determined. The credit facilities will close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concurrently with the closing of this offering. All amounts outstanding under the credit facilities will bear interest, at Wynn Las Vegas' option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limitations), at either (1) a base rate equal to the greater of the prime lending rate as stated in the British Banking Association Telerate page 5 and 0.5% in excess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federal funds rate or (2) the Eurodollar rate, as determined by the administrative agent, in both cases plus certain margins. For each year after Le Rêve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commences operations, Wynn Las Vegas will be required to prepay its borrowings under the credit facilities with a percentage of its excess cash flow (as it will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credit facilities), initially 75%, reducing to 50% and then to 0% as Wynn Las Vegas meets certain leverage ratios. The availability of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facilities is subject to certain conditions, including the negotiation and execution of definitive agreements, the progress of the construction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customary funding conditions for facilities of this kind.</w:t>
      </w:r>
    </w:p>
    <w:p>
      <w:pPr>
        <w:spacing w:after="0" w:line="21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will be secured by liens on substantially all of the assets of our subsidiaries that are necessary for the development, construction or operation of Le Rêve, including the real property underlying Le Rêve and the</w:t>
      </w:r>
    </w:p>
    <w:p>
      <w:pPr>
        <w:sectPr>
          <w:pgSz w:w="11900" w:h="16838" w:orient="portrait"/>
          <w:cols w:equalWidth="0" w:num="1">
            <w:col w:w="11400"/>
          </w:cols>
          <w:pgMar w:left="240" w:top="131" w:right="259" w:bottom="0" w:gutter="0" w:footer="0" w:header="0"/>
        </w:sectPr>
      </w:pPr>
    </w:p>
    <w:bookmarkStart w:id="33" w:name="page34"/>
    <w:bookmarkEnd w:id="33"/>
    <w:p>
      <w:pPr>
        <w:ind w:right="680"/>
        <w:spacing w:after="0" w:line="268" w:lineRule="auto"/>
        <w:rPr>
          <w:sz w:val="20"/>
          <w:szCs w:val="20"/>
          <w:color w:val="auto"/>
        </w:rPr>
      </w:pPr>
      <w:r>
        <w:rPr>
          <w:rFonts w:ascii="Arial" w:cs="Arial" w:eastAsia="Arial" w:hAnsi="Arial"/>
          <w:sz w:val="18"/>
          <w:szCs w:val="18"/>
          <w:color w:val="auto"/>
        </w:rPr>
        <w:t>golf course and the 20-acre parcel fronting Las Vegas Boulevard adjacent to the site of Le Rêve. For a description of the terms of the credit facilities, see "Description of Certain Indebtedness—Credit Facilities."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Wynn Las Vegas' placement agent for the FF&amp;E facility, Banc of America Leasing &amp; Capital LLC, has received commitments from the lenders who will enter into the $188.5 million FF&amp;E facility. The FF&amp;E facility will provide financing or refinancing for furniture, fixtures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proceeds of this offering or other funds. With respect to borrowings under the FF&amp;E facility, Wynn Las Vegas will have the same interest rates and elections at corresponding levels as under the credit facilities.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is a condition to the consummation of this offering. For more information, see "Use of Proceeds," "Certain Relationships and Related Transactions—Aircraft Arrangements" and "Description of Certain Indebtedness."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Concurrent with this offering, Wynn Las Vegas and Wynn Capital, our indirect subsidiaries, are jointly offering $365 million in aggregate principal amount at maturity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Certain Indebtedness—Second Mortgage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Guarantee by Wynn Resorts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Resorts will fully and unconditionally guarantee the payment in full of the credit facilities, the FF&amp;E facility and the second mortgage notes on an unsecured basis, but will not be subject to the restrictive covenants in its subsidiaries' debt facilities. If Wynn Resorts grants specified liens to secure other guarantees or indebtedness before Wynn Las Vegas has achieved a total debt to earnings before interest, tax, depreciation and amortization ratio of 3.0 to 1.0 or less and a credit facilities rating of BB+ or higher by Standard &amp; Poor's and Ba1 or higher by Moody's Investors Service, subject to certain limited exceptions, then the credit faclilites, the FF&amp;E facility and the second mortgage notes will be secured by comparable liens on the same Wynn Resorts' assets. Wynn Resorts' domestic and foreign subsidiaries related to the Macau opportunity will not be guarantors and will not be subject to the covenants in the second mortgage notes or the credit facilities.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representatives for the lenders under the credit facilities and the trustee for the second mortgage notes may release the liens on the approximately 137-acre golf course parcel and related water rights. The credit facility and the indenture will provide that the liens will be released after the third anniversary of commencing operations at Le Rêve once Wynn Las Vegas has achieved a total debt to earnings before interest, tax, depreciation and amortization ratio of 3.0 to 1.0 or less and if the credit facilities are rated BB+ or higher by Standard &amp; Poor's and Ba1 or higher by Moody's Investors Service immediately after giving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effect to the release and Wynn Las Vegas satisfies certain conditions relating to water required for the Le Rêve casino water features.</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Wynn Las Vegas satisfies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and Wynn Las Vegas satisfies certain conditions relating to water required for the Le Rêve casino water features and the golf course. Upon release by the representative for the lenders under the credit facilities of these portions of the golf course, the trustee for the second mortgage note holders will automatically release their second priority liens on that property as well. In addition, the credit facilities and the indenture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Wynn Las Vegas fair market value for the property and Wynn Las Vegas satisfies certain conditions relating to water required for the Le Rêve casino water features and the golf course.</w:t>
      </w:r>
    </w:p>
    <w:p>
      <w:pPr>
        <w:spacing w:after="0" w:line="177" w:lineRule="exact"/>
        <w:rPr>
          <w:sz w:val="20"/>
          <w:szCs w:val="20"/>
          <w:color w:val="auto"/>
        </w:rPr>
      </w:pPr>
    </w:p>
    <w:p>
      <w:pPr>
        <w:ind w:right="60" w:firstLine="351"/>
        <w:spacing w:after="0" w:line="308" w:lineRule="auto"/>
        <w:rPr>
          <w:sz w:val="20"/>
          <w:szCs w:val="20"/>
          <w:color w:val="auto"/>
        </w:rPr>
      </w:pPr>
      <w:r>
        <w:rPr>
          <w:rFonts w:ascii="Arial" w:cs="Arial" w:eastAsia="Arial" w:hAnsi="Arial"/>
          <w:sz w:val="15"/>
          <w:szCs w:val="15"/>
          <w:color w:val="auto"/>
        </w:rPr>
        <w:t>Finally, the credit facilities will provide that the liens on the 20-acre parcel fronting Las Vegas Boulevard adjacent to the site of Le Rêve will be released by representatives for the lenders under the credit facilities if Wynn Las Vegas meets certain earnings before interest, taxes, depreciation and amortization targets for four consecutive calendar quarters after the commencement of operations at Le Rêve and Wynn Las Vegas satisfies certain conditions relating to water required for the Le Rêve casino water features and the golf course. In addition, the representatives of the lenders, by action of a specified percentage of the lenders, may release the liens on the 20-acre parcel if Wynn Las Vegas meets certain earnings before interest, taxes, depreciation and amortization targets for two consecutive calendar quarters after the commencement of operations at Le Rêve and Wynn Las Vegas satisfies certain conditions relating to water required for the Le Rêve casino water features and the golf course.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subsidiaries' indebtedness will be secured by a substantial portion of their assets."</w:t>
      </w:r>
    </w:p>
    <w:p>
      <w:pPr>
        <w:sectPr>
          <w:pgSz w:w="11900" w:h="16838" w:orient="portrait"/>
          <w:cols w:equalWidth="0" w:num="1">
            <w:col w:w="11400"/>
          </w:cols>
          <w:pgMar w:left="240" w:top="131" w:right="259" w:bottom="45" w:gutter="0" w:footer="0" w:header="0"/>
        </w:sectPr>
      </w:pPr>
    </w:p>
    <w:bookmarkStart w:id="34" w:name="page35"/>
    <w:bookmarkEnd w:id="34"/>
    <w:p>
      <w:pPr>
        <w:spacing w:after="0" w:line="6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these assets are released from the liens under Wynn Las Vegas' indebtedness, then those parcels will provide a basis for future development of our business in Las Vegas, including a possible second hotel casino as a Phase II development on the 20-acre parcel.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Wynn Las Vegas intends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Wynn Las Vegas is required to use a substantial portion of the cash equity contribution received from us before accessing the proceeds from the offering of the second mortgage notes or borrowing under the credit facilities or the FF&amp;E facility. We do not expect that Wynn Las Vegas will request disbursements of the second mortgage note proceeds until approximately ten to twelve months after the closing of this offering or borrow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under the credit facilities or the FF&amp;E facility for approximately 16 to 19 months after the closing.</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Wynn Las Vegas'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the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207"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93"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Rêve project in the event that one of our major stockholders is unable to qualify for such license;</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Wynn Las Vegas and our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remaining components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 Risks Associated with Our Construction of Le Rêve—The development costs of Le Rêve are estimates only, and actual development costs may be higher than expected." The disbursement agreement will contain conditions precedent to Wynn Las Vegas entering into scope change orders that will increase or decrease the anticipated costs of the project. These conditions will require Wynn Las Vegas to fund equity into an account subject to a security interest in favor of the lenders under the credit facilities and the holders of the second mortgage notes or to allocate realized cost savings then available under the project budget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amount equal to the anticipated incremental cost of the change orders. In addition, if Wynn Las Vegas does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the indenture governing the second mortgage notes and the FF&amp;E facility, and the holders of the indebtedness will have the right to accelerate the indebtedness and exercise other rights and remedies against Wynn Las Vegas, and against Wynn Resorts as a guarantor of the indebtedness under the credit facilities, FF&amp;E facility and the second mortgage notes, or if liens on assets of Wynn Resorts secure the credit facilities or the second mortgage notes. See "Risk Factors—Risks Related to Our Substantial Indebtedness— We are highly leveraged and future cash flow may not be sufficient for our subsidiaries to meet their obligations, and we might have difficulty obtaining more financing."</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Following the completion of Le Rêve, we expect Wynn Las Vegas to fund its operations and capital requirements from operating cash flow and borrowings under the revolving credit facility. Assuming that Le Rêve opens in April 2005, we expect that the aggregate principal amount outstanding under the credit facilities, the FF&amp;E facility and the second mortgage notes will be approximately $1.5 billion. If completion of the project is delayed, then Wynn Las Vegas' debt service obligations accruing prior to the actual opening of Le Rêve will increase correspondingly. We cannot assure you, however, that Wynn Las Vegas' business will generate sufficient cash flow from operations or that future borrowings available to Wynn Las Vegas under the credit facilities will be sufficient to enable Wynn Las Vegas to service and repay its indebtedness and to fund its other liquidity needs. We may need to refinance all or a portion of Wynn Las Vegas' indebtedness on or before maturity. We cannot assure you that we will be able to refinance any of the indebtedness, including the credit facilities, the FF&amp;E</w:t>
      </w:r>
    </w:p>
    <w:p>
      <w:pPr>
        <w:sectPr>
          <w:pgSz w:w="11900" w:h="16906" w:orient="portrait"/>
          <w:cols w:equalWidth="0" w:num="1">
            <w:col w:w="11420"/>
          </w:cols>
          <w:pgMar w:left="240" w:top="131" w:right="239" w:bottom="0" w:gutter="0" w:footer="0" w:header="0"/>
        </w:sectPr>
      </w:pPr>
    </w:p>
    <w:bookmarkStart w:id="35" w:name="page36"/>
    <w:bookmarkEnd w:id="35"/>
    <w:p>
      <w:pPr>
        <w:ind w:right="100"/>
        <w:spacing w:after="0" w:line="268" w:lineRule="auto"/>
        <w:rPr>
          <w:sz w:val="20"/>
          <w:szCs w:val="20"/>
          <w:color w:val="auto"/>
        </w:rPr>
      </w:pPr>
      <w:r>
        <w:rPr>
          <w:rFonts w:ascii="Arial" w:cs="Arial" w:eastAsia="Arial" w:hAnsi="Arial"/>
          <w:sz w:val="18"/>
          <w:szCs w:val="18"/>
          <w:color w:val="auto"/>
        </w:rPr>
        <w:t>facility or the second mortgage notes on acceptable terms or at all. See "Risk Factors—Risks Related to Our Substantial Indebtedness—Our subsidiaries may not generate sufficient cash flow to meet their substantial debt service and other obligations."</w:t>
      </w:r>
    </w:p>
    <w:p>
      <w:pPr>
        <w:spacing w:after="0" w:line="18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$50 million of the net proceeds of this offering will be contributed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we will contribute $30 million of the net proceeds of this offering to Wynn Las Vegas to be held in a liquidity reserve account and pledged to the lenders under the credit facilities and second mortgage note holders to secure Wynn Las Vegas' obligation to develop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and construct Le Rêve. Until the opening of Le Rêve, these funds may be applied to the costs of the project,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notes holders, will be permitted to exercise remedies against such sums and apply such sums against the obligations under their respective documents. Following the completion and opening of Le Rêve, these funds will be available to meet Wynn Las Vegas' debt service needs in connection with the operation of Le Rêve. Once Wynn Las Vegas has met prescribed earnings before interest, taxes, depreciation and amortization targets for a period of four consecutive fiscal quarters after the opening of Le Rêve, any remaining funds will be used to reduce the outstanding balance of the revolving credit facility, but without reducing the revolving credit facility commitment.</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Macau has entered into a 20-year concession agreement with the government of Macau permitting it to construct and operate one or more casinos in Macau. The concession agreement obligates Wynn Macau to invest 4 billion patacas (approximately US $500 million)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20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The indirect minority investors in Wynn Macau have agreed to participate in this additional investment along with Wynn Resorts to the extent of their proportionate effective interests in Wynn Macau. It is expected that significant additional financing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Wynn Macau's intermediary holding companies. At the present time, Wynn Macau has not yet determined the amount of financing that will be required to complete the initial phase. If Wynn Resorts decides to raise additional equity at the Wynn Resorts level or at the Wynn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Macau or intermediary holding company level to fund the Macau opportunity, its stockholders would suffer direct or indirect dilution of their interests. Wynn Macau currently has no commitments relating to any third party financing. Except for Wynn Resorts, we do not expect financing for any such project to be provided by or through any of the issuers or guarantors of the second mortgage notes or any other financing relating to the Le Rêve project.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subsidiaries' primary exposure to market risk will be interest rate risk associated with the revolving credit facility, the delay draw term loan facility and the FF&amp;E facility, each of which will bear interest based on floating rates. Our subsidiaries will attempt to manage their interest rate risk by managing the mix of their long-term fixed rate borrowings and variable rate borrowings. Our subsidiaries are required to obtain interest rate protection through interest rate swap arrangements with respect to 50% of the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ectPr>
          <w:pgSz w:w="11900" w:h="16838" w:orient="portrait"/>
          <w:cols w:equalWidth="0" w:num="1">
            <w:col w:w="11420"/>
          </w:cols>
          <w:pgMar w:left="240" w:top="131" w:right="239" w:bottom="0" w:gutter="0" w:footer="0" w:header="0"/>
        </w:sectPr>
      </w:pPr>
    </w:p>
    <w:bookmarkStart w:id="36" w:name="page37"/>
    <w:bookmarkEnd w:id="36"/>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Foreign Currency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 Rêve. </w:t>
      </w:r>
      <w:r>
        <w:rPr>
          <w:rFonts w:ascii="Arial" w:cs="Arial" w:eastAsia="Arial" w:hAnsi="Arial"/>
          <w:sz w:val="16"/>
          <w:szCs w:val="16"/>
          <w:color w:val="auto"/>
        </w:rPr>
        <w:t>We are constructing and will own and operate Le Rêve, which we have designed to be the preeminent luxury hotel and destination casino resort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 Rêve is the concept of Stephen A. Wynn, one of Wynn Resorts' principal stockholders and its Chairman of the Board and Chief Executive Officer. 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8"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October 2002, with an opening to the general public scheduled for April 2005.</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The Macau Opportunity. </w:t>
      </w:r>
      <w:r>
        <w:rPr>
          <w:rFonts w:ascii="Arial" w:cs="Arial" w:eastAsia="Arial" w:hAnsi="Arial"/>
          <w:sz w:val="16"/>
          <w:szCs w:val="16"/>
          <w:color w:val="auto"/>
        </w:rPr>
        <w:t>Wynn Macau, a Macau company and majority-owned indirect subsidiary of Wynn Resorts, recently entered into a 20-year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based on the October 24, 2002 exchange rate)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We believe that Mr. Wynn's involvement with Le Rêve and the Macau opportunity provides a distinct advantage over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enterprises in Las Vegas and Macau. We believe that Mr. Wynn is widely viewed as the premier designer, developer and operator of destination casino resorts in Las Vegas and, as such, has in effect developed a "brand name" status in the gaming industry.</w:t>
      </w:r>
    </w:p>
    <w:p>
      <w:pPr>
        <w:spacing w:after="0" w:line="16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w:t>
      </w:r>
    </w:p>
    <w:p>
      <w:pPr>
        <w:sectPr>
          <w:pgSz w:w="11900" w:h="16872" w:orient="portrait"/>
          <w:cols w:equalWidth="0" w:num="1">
            <w:col w:w="11420"/>
          </w:cols>
          <w:pgMar w:left="240" w:top="125" w:right="239" w:bottom="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approximately $6.4 billion. The public filings and press releases of Mirage Resorts and MGM Mirage report that in fiscal year 1999, the last full year of</w:t>
      </w:r>
    </w:p>
    <w:p>
      <w:pPr>
        <w:spacing w:after="0" w:line="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Approx. 2,700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Approx. Showroom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du 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setting</w:t>
            </w:r>
          </w:p>
        </w:tc>
      </w:tr>
      <w:tr>
        <w:trPr>
          <w:trHeight w:val="222"/>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Art gallery(10)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-3372485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-3372485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-3372485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-3372485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-3372485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-3372485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 Ferrari/Maserati</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dealership(11)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50"/>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50"/>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 xml:space="preserve">Based on information located at </w:t>
      </w:r>
      <w:r>
        <w:rPr>
          <w:rFonts w:ascii="Arial" w:cs="Arial" w:eastAsia="Arial" w:hAnsi="Arial"/>
          <w:sz w:val="8"/>
          <w:szCs w:val="8"/>
          <w:i w:val="1"/>
          <w:iCs w:val="1"/>
          <w:color w:val="auto"/>
        </w:rPr>
        <w:t>www.mirage.com</w:t>
      </w:r>
      <w:r>
        <w:rPr>
          <w:rFonts w:ascii="Arial" w:cs="Arial" w:eastAsia="Arial" w:hAnsi="Arial"/>
          <w:sz w:val="8"/>
          <w:szCs w:val="8"/>
          <w:color w:val="auto"/>
        </w:rPr>
        <w:t xml:space="preserve"> as of May 23, 2002.</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50"/>
        </w:numPr>
        <w:rPr>
          <w:rFonts w:ascii="Arial" w:cs="Arial" w:eastAsia="Arial" w:hAnsi="Arial"/>
          <w:sz w:val="12"/>
          <w:szCs w:val="12"/>
          <w:color w:val="auto"/>
          <w:vertAlign w:val="subscript"/>
        </w:rPr>
      </w:pPr>
      <w:r>
        <w:rPr>
          <w:rFonts w:ascii="Arial" w:cs="Arial" w:eastAsia="Arial" w:hAnsi="Arial"/>
          <w:sz w:val="8"/>
          <w:szCs w:val="8"/>
          <w:color w:val="auto"/>
        </w:rPr>
        <w:t>Featuring works from The Wynn Collection.</w:t>
      </w:r>
    </w:p>
    <w:p>
      <w:pPr>
        <w:ind w:left="540" w:hanging="532"/>
        <w:spacing w:after="0" w:line="185" w:lineRule="auto"/>
        <w:tabs>
          <w:tab w:leader="none" w:pos="540" w:val="left"/>
        </w:tabs>
        <w:numPr>
          <w:ilvl w:val="0"/>
          <w:numId w:val="50"/>
        </w:numPr>
        <w:rPr>
          <w:rFonts w:ascii="Arial" w:cs="Arial" w:eastAsia="Arial" w:hAnsi="Arial"/>
          <w:sz w:val="18"/>
          <w:szCs w:val="18"/>
          <w:color w:val="auto"/>
          <w:vertAlign w:val="subscript"/>
        </w:rPr>
      </w:pPr>
      <w:r>
        <w:rPr>
          <w:rFonts w:ascii="Arial" w:cs="Arial" w:eastAsia="Arial" w:hAnsi="Arial"/>
          <w:sz w:val="10"/>
          <w:szCs w:val="10"/>
          <w:color w:val="auto"/>
        </w:rPr>
        <w:t>We are in the process of seeking a zoning ordinance amendment to permit us to operate the dealership at the Le Rêve site.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 guests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197"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Pursue the Opportunity to be One of Three Casino Operators in Macau. </w:t>
      </w:r>
      <w:r>
        <w:rPr>
          <w:rFonts w:ascii="Arial" w:cs="Arial" w:eastAsia="Arial" w:hAnsi="Arial"/>
          <w:sz w:val="16"/>
          <w:szCs w:val="16"/>
          <w:color w:val="auto"/>
        </w:rPr>
        <w:t>Currently, Wynn Macau is one of only three concessionaires permitted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casinos in Macau, an established gaming market with access to gaming patrons principally from Hong Kong and mainland China. Wynn Macau has already begun planning for the development of the initial phase of its first Macau casino resort. See "Business—The Macau Opportunity."</w:t>
      </w:r>
    </w:p>
    <w:p>
      <w:pPr>
        <w:spacing w:after="0" w:line="16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Wynn Las Vegas meets prescribed cash flow tests for four consecutive calendar quarters after commencement of operations at Le Rêve and Wynn Las Vegas satisfies certain conditions relating to water required for the Le Rêve casino water features and the golf course, the 20-acre parcel will be released from the liens under the credit facilities and second mortgage notes and, in that event, we may decide to develop the parcel in the future, either on our own or through a joint venture. For example, in the future, we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ectPr>
          <w:pgSz w:w="11900" w:h="16838" w:orient="portrait"/>
          <w:cols w:equalWidth="0" w:num="1">
            <w:col w:w="11420"/>
          </w:cols>
          <w:pgMar w:left="240" w:top="131" w:right="239" w:bottom="164" w:gutter="0" w:footer="0" w:header="0"/>
        </w:sectPr>
      </w:pPr>
    </w:p>
    <w:bookmarkStart w:id="38" w:name="page39"/>
    <w:bookmarkEnd w:id="38"/>
    <w:p>
      <w:pPr>
        <w:ind w:firstLine="351"/>
        <w:spacing w:after="0" w:line="289" w:lineRule="auto"/>
        <w:rPr>
          <w:sz w:val="20"/>
          <w:szCs w:val="20"/>
          <w:color w:val="auto"/>
        </w:rPr>
      </w:pPr>
      <w:r>
        <w:rPr>
          <w:rFonts w:ascii="Arial" w:cs="Arial" w:eastAsia="Arial" w:hAnsi="Arial"/>
          <w:sz w:val="16"/>
          <w:szCs w:val="16"/>
          <w:color w:val="auto"/>
        </w:rPr>
        <w:t>Similarly, three years after commencement of operations at Le Rêve and upon Wynn Las Vegas' satisfaction of prescribed maximum leverage ratio and minimum credit rating requirements and Wynn Las Vegas satisfies certain conditions relating to water required for the Le Rêve casino water features, the land underlying the golf course, which is owned by Wynn Resorts Holdings, a wholly owned indirect subsidiary of Wynn Resorts, will be released from the liens under the credit facilities and the indenture governing the second mortgage notes and could be transferred by Wynn Resorts Holdings to Wynn Resorts or another entity. Should the land be released from the liens, the golf course parcel and our related property rights present further opportunities for future development by Wynn Resorts. In addition, portions of the golf course land may be released from the liens to permit residential or other non-gaming development if Wynn Las Vegas satisfies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2" w:lineRule="exact"/>
        <w:rPr>
          <w:sz w:val="20"/>
          <w:szCs w:val="20"/>
          <w:color w:val="auto"/>
        </w:rPr>
      </w:pPr>
    </w:p>
    <w:p>
      <w:pPr>
        <w:jc w:val="both"/>
        <w:ind w:right="660" w:firstLine="351"/>
        <w:spacing w:after="0" w:line="306" w:lineRule="auto"/>
        <w:rPr>
          <w:sz w:val="20"/>
          <w:szCs w:val="20"/>
          <w:color w:val="auto"/>
        </w:rPr>
      </w:pPr>
      <w:r>
        <w:rPr>
          <w:rFonts w:ascii="Arial" w:cs="Arial" w:eastAsia="Arial" w:hAnsi="Arial"/>
          <w:sz w:val="16"/>
          <w:szCs w:val="16"/>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w:t>
      </w:r>
    </w:p>
    <w:p>
      <w:pPr>
        <w:spacing w:after="0" w:line="16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Capitalize on Our Experienced Management and Design Teams. </w:t>
      </w:r>
      <w:r>
        <w:rPr>
          <w:rFonts w:ascii="Arial" w:cs="Arial" w:eastAsia="Arial" w:hAnsi="Arial"/>
          <w:sz w:val="16"/>
          <w:szCs w:val="16"/>
          <w:color w:val="auto"/>
        </w:rPr>
        <w:t>The members of our management team have extensive experience in developing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large-scale hotels and casinos, and many of them worked with Mr. Wynn at Mirage Resorts. In addition to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each of whose background is described in "Management," our management team includes:</w:t>
      </w:r>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addition, the members of our design team have extensive experience in designing, constructing and completing major hotel casino resorts. See "—Design and Construction Team."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and design teams provide a substantial competitive advantage.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Strategy</w:t>
      </w:r>
    </w:p>
    <w:p>
      <w:pPr>
        <w:spacing w:after="0" w:line="231"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April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ectPr>
          <w:pgSz w:w="11900" w:h="16838" w:orient="portrait"/>
          <w:cols w:equalWidth="0" w:num="1">
            <w:col w:w="11420"/>
          </w:cols>
          <w:pgMar w:left="240" w:top="131" w:right="239" w:bottom="0" w:gutter="0" w:footer="0" w:header="0"/>
        </w:sectPr>
      </w:pPr>
    </w:p>
    <w:bookmarkStart w:id="39" w:name="page40"/>
    <w:bookmarkEnd w:id="39"/>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00" w:hanging="532"/>
        <w:spacing w:after="0" w:line="286"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7"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59"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Macau,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Amenities.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w:t>
      </w:r>
    </w:p>
    <w:p>
      <w:pPr>
        <w:sectPr>
          <w:pgSz w:w="11900" w:h="16838" w:orient="portrait"/>
          <w:cols w:equalWidth="0" w:num="1">
            <w:col w:w="11420"/>
          </w:cols>
          <w:pgMar w:left="240" w:top="131" w:right="239" w:bottom="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pacing w:after="0" w:line="172"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Carefully Manage Construction Costs and Risks. </w:t>
      </w:r>
      <w:r>
        <w:rPr>
          <w:rFonts w:ascii="Arial" w:cs="Arial" w:eastAsia="Arial" w:hAnsi="Arial"/>
          <w:sz w:val="18"/>
          <w:szCs w:val="18"/>
          <w:color w:val="auto"/>
        </w:rPr>
        <w:t>Wynn Design &amp; Development, a wholly owned indirect subsidiary of Wynn Resorts, is responsible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74"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7" w:lineRule="exact"/>
        <w:rPr>
          <w:rFonts w:ascii="Arial" w:cs="Arial" w:eastAsia="Arial" w:hAnsi="Arial"/>
          <w:sz w:val="18"/>
          <w:szCs w:val="18"/>
          <w:color w:val="auto"/>
        </w:rPr>
      </w:pPr>
    </w:p>
    <w:p>
      <w:pPr>
        <w:ind w:left="1080" w:right="440" w:hanging="532"/>
        <w:spacing w:after="0" w:line="283"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this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0" w:lineRule="exact"/>
        <w:rPr>
          <w:rFonts w:ascii="Arial" w:cs="Arial" w:eastAsia="Arial" w:hAnsi="Arial"/>
          <w:sz w:val="16"/>
          <w:szCs w:val="16"/>
          <w:color w:val="auto"/>
        </w:rPr>
      </w:pPr>
    </w:p>
    <w:p>
      <w:pPr>
        <w:ind w:left="1080" w:right="20" w:hanging="532"/>
        <w:spacing w:after="0" w:line="25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liquidity reserve account to be held by Wynn Las Vegas which will be funded by $30 million of the net proceeds of this offering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20" w:lineRule="exact"/>
        <w:rPr>
          <w:rFonts w:ascii="Arial" w:cs="Arial" w:eastAsia="Arial" w:hAnsi="Arial"/>
          <w:sz w:val="18"/>
          <w:szCs w:val="18"/>
          <w:color w:val="auto"/>
        </w:rPr>
      </w:pPr>
    </w:p>
    <w:p>
      <w:pPr>
        <w:ind w:left="1080" w:right="320" w:hanging="532"/>
        <w:spacing w:after="0" w:line="25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$34.3 million owner's contingency that Wynn Las Vegas may use, subject to the limitations set forth in the disbursement agreement, to cover owner-created delays and owner-originated changes in the scope of the work and other cost overruns;</w:t>
      </w:r>
    </w:p>
    <w:p>
      <w:pPr>
        <w:spacing w:after="0" w:line="7"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$30.8 million under Wynn Las Vegas' revolving credit facility that may be used to pay interest under the credit facilities and the second mortgage notes and other financing fees if completion is delayed.</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280" w:firstLine="341"/>
        <w:spacing w:after="0" w:line="370" w:lineRule="auto"/>
        <w:rPr>
          <w:sz w:val="20"/>
          <w:szCs w:val="20"/>
          <w:color w:val="auto"/>
        </w:rPr>
      </w:pPr>
      <w:r>
        <w:rPr>
          <w:rFonts w:ascii="Arial" w:cs="Arial" w:eastAsia="Arial" w:hAnsi="Arial"/>
          <w:sz w:val="15"/>
          <w:szCs w:val="15"/>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w:t>
      </w:r>
    </w:p>
    <w:p>
      <w:pPr>
        <w:sectPr>
          <w:pgSz w:w="11900" w:h="16838" w:orient="portrait"/>
          <w:cols w:equalWidth="0" w:num="1">
            <w:col w:w="11420"/>
          </w:cols>
          <w:pgMar w:left="240" w:top="131" w:right="239" w:bottom="0" w:gutter="0" w:footer="0" w:header="0"/>
        </w:sectPr>
      </w:pPr>
    </w:p>
    <w:bookmarkStart w:id="41" w:name="page42"/>
    <w:bookmarkEnd w:id="41"/>
    <w:p>
      <w:pPr>
        <w:spacing w:after="0" w:line="4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Wynn Las Vegas' indebtedness.</w:t>
      </w:r>
    </w:p>
    <w:p>
      <w:pPr>
        <w:spacing w:after="0" w:line="11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The Hotel. </w:t>
      </w:r>
      <w:r>
        <w:rPr>
          <w:rFonts w:ascii="Arial" w:cs="Arial" w:eastAsia="Arial" w:hAnsi="Arial"/>
          <w:sz w:val="18"/>
          <w:szCs w:val="18"/>
          <w:color w:val="auto"/>
        </w:rPr>
        <w:t>We have designed Le Rêve's hotel tower to contain 45 floors of hotel rooms and suites on top of a three-story low-rise building housing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retail outlets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97"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approximately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pacing w:after="0" w:line="15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an additional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18 to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7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18 to 21 fairway lanai suites will be situated in a three-story structure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72"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Restaurants, Lounges, Bars and Nightclub. </w:t>
      </w:r>
      <w:r>
        <w:rPr>
          <w:rFonts w:ascii="Arial" w:cs="Arial" w:eastAsia="Arial" w:hAnsi="Arial"/>
          <w:sz w:val="15"/>
          <w:szCs w:val="15"/>
          <w:color w:val="auto"/>
        </w:rPr>
        <w:t>We plan to offer 18 food and beverage outlets, including six fine-dining restaurants and an approximately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w:t>
      </w:r>
    </w:p>
    <w:p>
      <w:pPr>
        <w:sectPr>
          <w:pgSz w:w="11900" w:h="16882" w:orient="portrait"/>
          <w:cols w:equalWidth="0" w:num="1">
            <w:col w:w="11420"/>
          </w:cols>
          <w:pgMar w:left="240" w:top="131" w:right="239" w:bottom="0" w:gutter="0" w:footer="0" w:header="0"/>
        </w:sectPr>
      </w:pPr>
    </w:p>
    <w:bookmarkStart w:id="42" w:name="page43"/>
    <w:bookmarkEnd w:id="42"/>
    <w:p>
      <w:pPr>
        <w:spacing w:after="0" w:line="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Management, LLC to provide the cuisine and services of Daniel Boulud, who was named "Chef of the Year" by </w:t>
      </w:r>
      <w:r>
        <w:rPr>
          <w:rFonts w:ascii="Arial" w:cs="Arial" w:eastAsia="Arial" w:hAnsi="Arial"/>
          <w:sz w:val="18"/>
          <w:szCs w:val="18"/>
          <w:i w:val="1"/>
          <w:iCs w:val="1"/>
          <w:color w:val="auto"/>
        </w:rPr>
        <w:t>Bon Appetit Magazine</w:t>
      </w:r>
      <w:r>
        <w:rPr>
          <w:rFonts w:ascii="Arial" w:cs="Arial" w:eastAsia="Arial" w:hAnsi="Arial"/>
          <w:sz w:val="18"/>
          <w:szCs w:val="18"/>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8"/>
          <w:szCs w:val="18"/>
          <w:i w:val="1"/>
          <w:iCs w:val="1"/>
          <w:color w:val="auto"/>
        </w:rPr>
        <w:t>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Herald Tribune </w:t>
      </w:r>
      <w:r>
        <w:rPr>
          <w:rFonts w:ascii="Arial" w:cs="Arial" w:eastAsia="Arial" w:hAnsi="Arial"/>
          <w:sz w:val="18"/>
          <w:szCs w:val="18"/>
          <w:color w:val="auto"/>
        </w:rPr>
        <w:t>in 1993 and received</w:t>
      </w:r>
      <w:r>
        <w:rPr>
          <w:rFonts w:ascii="Arial" w:cs="Arial" w:eastAsia="Arial" w:hAnsi="Arial"/>
          <w:sz w:val="18"/>
          <w:szCs w:val="18"/>
          <w:i w:val="1"/>
          <w:iCs w:val="1"/>
          <w:color w:val="auto"/>
        </w:rPr>
        <w:t xml:space="preserve"> Gourmet Magazine's </w:t>
      </w:r>
      <w:r>
        <w:rPr>
          <w:rFonts w:ascii="Arial" w:cs="Arial" w:eastAsia="Arial" w:hAnsi="Arial"/>
          <w:sz w:val="18"/>
          <w:szCs w:val="18"/>
          <w:color w:val="auto"/>
        </w:rPr>
        <w:t>"Top Table" award in 1997.</w:t>
      </w:r>
    </w:p>
    <w:p>
      <w:pPr>
        <w:spacing w:after="0" w:line="225"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firstLine="351"/>
        <w:spacing w:after="0" w:line="251"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Transactions—Art Gallery."</w:t>
      </w:r>
    </w:p>
    <w:p>
      <w:pPr>
        <w:spacing w:after="0" w:line="20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letters of intent,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If advance notification is not practicable, we must notify Ferrari North America and Maserati North America promptly after we learn of any sale of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upon the completion of this offering, is expected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For more information about the stockholders agreement between Mr. Wynn, Aruze USA and Baron Asset Fund, see "Certain Relationships and Related Transactions—Stockholders Agreement" and "Ownership of Capital Stock."</w:t>
      </w:r>
    </w:p>
    <w:p>
      <w:pPr>
        <w:spacing w:after="0" w:line="15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 Under the letters of intent, we are required to (1) file a petition with Clark County for the amendment of the applicable land use ordinance by December 1, 2002, (2) file, as soon as possible after the amendment of the land use ordinance, the necessary application for land use approval and (3) obtain both the ordinance amendment and the land use approval no later than October 1, 2003.</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Convention, Meeting and Reception Facilities. </w:t>
      </w:r>
      <w:r>
        <w:rPr>
          <w:rFonts w:ascii="Arial" w:cs="Arial" w:eastAsia="Arial" w:hAnsi="Arial"/>
          <w:sz w:val="15"/>
          <w:szCs w:val="15"/>
          <w:color w:val="auto"/>
        </w:rPr>
        <w:t>Le Rêve expects to feature approximately 223,000 square feet of convention, meeting and reception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142"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ectPr>
          <w:pgSz w:w="11900" w:h="16839" w:orient="portrait"/>
          <w:cols w:equalWidth="0" w:num="1">
            <w:col w:w="11400"/>
          </w:cols>
          <w:pgMar w:left="240" w:top="131" w:right="259" w:bottom="0" w:gutter="0" w:footer="0" w:header="0"/>
        </w:sectPr>
      </w:pPr>
    </w:p>
    <w:bookmarkStart w:id="43" w:name="page44"/>
    <w:bookmarkEnd w:id="43"/>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we expect that there will be approximately 4,050 parking spaces available to guests and employees of Le Rêve.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Resorts' indirect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2"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W. Todd Nisbet, Executive Vice President—Project Director. </w:t>
      </w:r>
      <w:r>
        <w:rPr>
          <w:rFonts w:ascii="Arial" w:cs="Arial" w:eastAsia="Arial" w:hAnsi="Arial"/>
          <w:sz w:val="16"/>
          <w:szCs w:val="16"/>
          <w:color w:val="auto"/>
        </w:rPr>
        <w:t>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0"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8" w:lineRule="exact"/>
        <w:rPr>
          <w:rFonts w:ascii="Arial" w:cs="Arial" w:eastAsia="Arial" w:hAnsi="Arial"/>
          <w:sz w:val="16"/>
          <w:szCs w:val="16"/>
          <w:color w:val="auto"/>
        </w:rPr>
      </w:pPr>
    </w:p>
    <w:p>
      <w:pPr>
        <w:ind w:left="1080" w:right="80" w:hanging="532"/>
        <w:spacing w:after="0" w:line="25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DeRuyter O. Butler, Executive Vice President—Architecture. </w:t>
      </w:r>
      <w:r>
        <w:rPr>
          <w:rFonts w:ascii="Arial" w:cs="Arial" w:eastAsia="Arial" w:hAnsi="Arial"/>
          <w:sz w:val="18"/>
          <w:szCs w:val="18"/>
          <w:color w:val="auto"/>
        </w:rPr>
        <w:t>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7" w:lineRule="exact"/>
        <w:rPr>
          <w:rFonts w:ascii="Arial" w:cs="Arial" w:eastAsia="Arial" w:hAnsi="Arial"/>
          <w:sz w:val="18"/>
          <w:szCs w:val="18"/>
          <w:color w:val="auto"/>
        </w:rPr>
      </w:pPr>
    </w:p>
    <w:p>
      <w:pPr>
        <w:ind w:left="1080" w:right="40" w:hanging="532"/>
        <w:spacing w:after="0" w:line="252"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Roger P. Thomas, Executive Vice President—Design. </w:t>
      </w:r>
      <w:r>
        <w:rPr>
          <w:rFonts w:ascii="Arial" w:cs="Arial" w:eastAsia="Arial" w:hAnsi="Arial"/>
          <w:sz w:val="18"/>
          <w:szCs w:val="18"/>
          <w:color w:val="auto"/>
        </w:rPr>
        <w:t>Mr. Thomas, who served as Senior Vice President—Design for Atlandia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Furnishings for over 15 years, was responsible for the interior design of The Mirage, including the standard rooms, suites and villas, the spa and salon, the Siegfried &amp; Roy and Danny Gans showrooms and the expansion of the convention center. In addition, Mr. Thomas was responsible for the interior design of Bellagio and the Golden Nugget—Las Vegas and much of the interior design at Treasure Island at The Mirage, including the redecoration of the original tower, the casino and the lobby.</w:t>
      </w:r>
    </w:p>
    <w:p>
      <w:pPr>
        <w:spacing w:after="0" w:line="20"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Janellen Sachs Radoff, Vice President—Design. </w:t>
      </w:r>
      <w:r>
        <w:rPr>
          <w:rFonts w:ascii="Arial" w:cs="Arial" w:eastAsia="Arial" w:hAnsi="Arial"/>
          <w:sz w:val="16"/>
          <w:szCs w:val="16"/>
          <w:color w:val="auto"/>
        </w:rPr>
        <w:t>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scheduled groundbreaking for Le Rêve to occur in October 2002, with an opening to the general public scheduled for April 2005.</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Design &amp; Development, an indirect wholly owned subsidiary of Wynn Resorts,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320" w:firstLine="351"/>
        <w:spacing w:after="0" w:line="291"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because of,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74"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$488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62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ectPr>
          <w:pgSz w:w="11900" w:h="16838" w:orient="portrait"/>
          <w:cols w:equalWidth="0" w:num="1">
            <w:col w:w="11400"/>
          </w:cols>
          <w:pgMar w:left="240" w:top="131" w:right="259" w:bottom="0" w:gutter="0" w:footer="0" w:header="0"/>
        </w:sectPr>
      </w:pPr>
    </w:p>
    <w:bookmarkStart w:id="44" w:name="page45"/>
    <w:bookmarkEnd w:id="44"/>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38"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8.4% to date. We have received bids with respect to items comprising another approximately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67"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43"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260" w:hanging="532"/>
        <w:spacing w:after="0" w:line="298"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this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93"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this offering pledged to the lenders under the credit facilities and second mortgage note holders to secure Wynn Las Vegas'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obligation to develop and construct Le Rêve and to be applied to the costs of the project in accordance with the disbursement agreement;</w:t>
      </w:r>
    </w:p>
    <w:p>
      <w:pPr>
        <w:spacing w:after="0" w:line="262" w:lineRule="exact"/>
        <w:rPr>
          <w:sz w:val="20"/>
          <w:szCs w:val="20"/>
          <w:color w:val="auto"/>
        </w:rPr>
      </w:pPr>
    </w:p>
    <w:p>
      <w:pPr>
        <w:ind w:left="1080" w:right="2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and the second mortgage notes and the holders of the indebtedness will have the right to accelerate the indebtedness and exercise other rights and remedies against our subsidiaries. See "Risk Factors— Risks Related to Our Substantial Indebtedness—We are highly leveraged and future cash flow may not be sufficient for our subsidiaries to meet their obligations, and we might have difficulty obtaining more financing."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ectPr>
          <w:pgSz w:w="11900" w:h="16838" w:orient="portrait"/>
          <w:cols w:equalWidth="0" w:num="1">
            <w:col w:w="11400"/>
          </w:cols>
          <w:pgMar w:left="240" w:top="145" w:right="259" w:bottom="100" w:gutter="0" w:footer="0" w:header="0"/>
        </w:sectPr>
      </w:pPr>
    </w:p>
    <w:bookmarkStart w:id="45" w:name="page46"/>
    <w:bookmarkEnd w:id="45"/>
    <w:p>
      <w:pPr>
        <w:ind w:right="20" w:firstLine="348"/>
        <w:spacing w:after="0" w:line="285"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the agreement will be amended into two agreements—a license agreement between Wynn Las Vegas and Calitri and a production services agreement between Wynn Las Vegas and Productions du Dragon, S.A. Under the latter agreement, Productions du Dragon will be required to employ Franco Dragone as the executive producer and principal creator of the show. The concept of the show, which involves a water-based production in Le Rêve's showroom, has already been approved by Mr. Wynn and is under development and pre-production. Under the license agreement, Wynn Las Vegas will pay Calitri a $2 million creation fee, $1 million of which has been paid, and fund parts of the development and production budgets. Wynn Las Vegas will pay the remaining $1 million of the creation fee after the completion of this offering. In addition, Calitri will receive 10% of the net ticket revenue and 20% of the show's net profits. The show's net profits will include net ticket revenue and revenue from food and beverages sold in or immediately adjacent to the showroom, less the 10% of the net ticket revenue Wynn Las Vegas must pay to Calitri, amortization of construction costs and other operating expenses. Under the production services agreement, when amended, Productions du Dragon will receive an additional 30% of the show's net profits. Under the license agreement, it is further expected that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it is also currently contemplated that, if the production fails to satisfy certain revenue requirements, Wynn Las Vegas will be able to terminate both of the agreements prior to the end of the term. The term of both agreements will be ten years after the opening date of the show, which will coincide with the opening of Le Rêve. In addition, it is contemplated that the production services agreement, as amended, will provide Wynn Las Vegas with an option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renew both of the agreements for an additional five-year term. The production services agreement terminates upon termination of the license agreement unless the option for the second production or other project described below is exercised and a separate production services agreement for that second production or other show has not been executed.</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Wynn Las Vegas or one of our other subsidiaries will be required to pay an additional $1 million if we exercise the option. If the option is exercised, the optionee will be obligated to use Productions du Dragon for production services.</w:t>
      </w:r>
    </w:p>
    <w:p>
      <w:pPr>
        <w:spacing w:after="0" w:line="194"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Following the completion of this offering, Wynn Resorts plans to grant Mr. Dragone an award of 189,723 shares of restricted stock. This restricted stock award is intended to be part of the compensation paid to Mr. Dragone for his role as the executive producer and 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w:t>
      </w:r>
    </w:p>
    <w:p>
      <w:pPr>
        <w:spacing w:after="0" w:line="3" w:lineRule="exact"/>
        <w:rPr>
          <w:sz w:val="20"/>
          <w:szCs w:val="20"/>
          <w:color w:val="auto"/>
        </w:rPr>
      </w:pPr>
    </w:p>
    <w:p>
      <w:pPr>
        <w:ind w:right="20" w:firstLine="8"/>
        <w:spacing w:after="0" w:line="252" w:lineRule="auto"/>
        <w:tabs>
          <w:tab w:leader="none" w:pos="2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Dragone has not successfully opened another production show for us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hotel total occupancy rates for all days exceeded on average 90.6% for the years 1990 to 1999, averaged 92.5% in 2000 and 88.9% in 2001.</w:t>
      </w:r>
    </w:p>
    <w:p>
      <w:pPr>
        <w:sectPr>
          <w:pgSz w:w="11900" w:h="16838" w:orient="portrait"/>
          <w:cols w:equalWidth="0" w:num="1">
            <w:col w:w="11420"/>
          </w:cols>
          <w:pgMar w:left="240" w:top="131"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946785</wp:posOffset>
            </wp:positionH>
            <wp:positionV relativeFrom="page">
              <wp:posOffset>88900</wp:posOffset>
            </wp:positionV>
            <wp:extent cx="5668645" cy="25298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firstLine="341"/>
        <w:spacing w:after="0" w:line="335" w:lineRule="auto"/>
        <w:rPr>
          <w:sz w:val="20"/>
          <w:szCs w:val="20"/>
          <w:color w:val="auto"/>
        </w:rPr>
      </w:pPr>
      <w:r>
        <w:rPr>
          <w:rFonts w:ascii="Arial" w:cs="Arial" w:eastAsia="Arial" w:hAnsi="Arial"/>
          <w:sz w:val="15"/>
          <w:szCs w:val="15"/>
          <w:color w:val="auto"/>
        </w:rPr>
        <w:t>According to the Nevada State Gaming Control Board, Las Vegas Strip gaming revenue has increased from approximately $3.6 billion in 1996 to approximately $4.7 billion in 2001, a 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95250</wp:posOffset>
            </wp:positionV>
            <wp:extent cx="5454015" cy="27355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w:t>
      </w:r>
    </w:p>
    <w:p>
      <w:pPr>
        <w:sectPr>
          <w:pgSz w:w="11900" w:h="16838" w:orient="portrait"/>
          <w:cols w:equalWidth="0" w:num="1">
            <w:col w:w="11380"/>
          </w:cols>
          <w:pgMar w:left="240" w:top="1440" w:right="279" w:bottom="0" w:gutter="0" w:footer="0" w:header="0"/>
        </w:sectPr>
      </w:pPr>
    </w:p>
    <w:bookmarkStart w:id="47" w:name="page48"/>
    <w:bookmarkEnd w:id="47"/>
    <w:p>
      <w:pPr>
        <w:ind w:right="780"/>
        <w:spacing w:after="0" w:line="268" w:lineRule="auto"/>
        <w:rPr>
          <w:sz w:val="20"/>
          <w:szCs w:val="20"/>
          <w:color w:val="auto"/>
        </w:rPr>
      </w:pPr>
      <w:r>
        <w:rPr>
          <w:rFonts w:ascii="Arial" w:cs="Arial" w:eastAsia="Arial" w:hAnsi="Arial"/>
          <w:sz w:val="18"/>
          <w:szCs w:val="18"/>
          <w:color w:val="auto"/>
        </w:rPr>
        <w:t>estimated completion date in early 2003. We believe that Las Vegas will continue to evolve as one of the country's preferred trade show and convention destinations.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3"/>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3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3"/>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Las Vegas Hotel Occupancy</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88.9%</w:t>
            </w:r>
          </w:p>
        </w:tc>
        <w:tc>
          <w:tcPr>
            <w:tcW w:w="14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Hotel/Motel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60" w:type="dxa"/>
            <w:vAlign w:val="bottom"/>
            <w:gridSpan w:val="3"/>
          </w:tcPr>
          <w:p>
            <w:pPr>
              <w:spacing w:after="0"/>
              <w:rPr>
                <w:sz w:val="20"/>
                <w:szCs w:val="20"/>
                <w:color w:val="auto"/>
              </w:rPr>
            </w:pPr>
            <w:r>
              <w:rPr>
                <w:rFonts w:ascii="Arial" w:cs="Arial" w:eastAsia="Arial" w:hAnsi="Arial"/>
                <w:sz w:val="14"/>
                <w:szCs w:val="14"/>
                <w:color w:val="auto"/>
              </w:rPr>
              <w:t>Room Supply</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-1583690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-1583690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-1583690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-1583690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-1583690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-1583690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-1583690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-1583690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-1583690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-1583690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-1583690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-1583690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-1583690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-1583690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2"/>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2"/>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 Rêve Competition</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 hotels on the Las Vegas Strip and those in downtown Las Vegas, as well as a large number of hotels and motels in and near Las Vegas.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"—The Macau Opportunity—Competition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ectPr>
          <w:pgSz w:w="11900" w:h="16838" w:orient="portrait"/>
          <w:cols w:equalWidth="0" w:num="1">
            <w:col w:w="11420"/>
          </w:cols>
          <w:pgMar w:left="240" w:top="131" w:right="239" w:bottom="79" w:gutter="0" w:footer="0" w:header="0"/>
        </w:sectPr>
      </w:pPr>
    </w:p>
    <w:bookmarkStart w:id="48" w:name="page49"/>
    <w:bookmarkEnd w:id="48"/>
    <w:p>
      <w:pPr>
        <w:spacing w:after="0" w:line="86"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Retail Competition. </w:t>
      </w:r>
      <w:r>
        <w:rPr>
          <w:rFonts w:ascii="Arial" w:cs="Arial" w:eastAsia="Arial" w:hAnsi="Arial"/>
          <w:sz w:val="16"/>
          <w:szCs w:val="16"/>
          <w:color w:val="auto"/>
        </w:rPr>
        <w:t>Le Rêve's retail stores will operate in a highly competitive environment. Le Rêve's retail stores will compete with other retail stores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7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Business—The casino, hotel, convention and other facilities at Le Rêve will face intense competition."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 and Strategy</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Macau, a Macau company and majority-owned indirect subsidiary of Wynn Resorts,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98" w:lineRule="exact"/>
        <w:rPr>
          <w:sz w:val="20"/>
          <w:szCs w:val="20"/>
          <w:color w:val="auto"/>
        </w:rPr>
      </w:pPr>
    </w:p>
    <w:p>
      <w:pPr>
        <w:ind w:right="280" w:firstLine="348"/>
        <w:spacing w:after="0" w:line="314"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 If Wynn Macau does not invest 4 billion patacas in casino projects by June 26, 2009, it is obligated to invest the remaining amount in projects related 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its gaming operations in Macau that the Macau government approves, or in projects of public interest designated by the Macau government. The currency used in the concession agreement is the Macau pataca. We have converted all pataca references into U.S. dollars using an exchange rate of approximately eight Macau patacas to one U.S. dollar (which is the middle of the buy and sell rates on October 24, 2002, as reported by the Monetary Authority of Macau).</w:t>
      </w:r>
    </w:p>
    <w:p>
      <w:pPr>
        <w:spacing w:after="0" w:line="161" w:lineRule="exact"/>
        <w:rPr>
          <w:sz w:val="20"/>
          <w:szCs w:val="20"/>
          <w:color w:val="auto"/>
        </w:rPr>
      </w:pPr>
    </w:p>
    <w:p>
      <w:pPr>
        <w:ind w:right="140" w:firstLine="348"/>
        <w:spacing w:after="0" w:line="318" w:lineRule="auto"/>
        <w:rPr>
          <w:sz w:val="20"/>
          <w:szCs w:val="20"/>
          <w:color w:val="auto"/>
        </w:rPr>
      </w:pPr>
      <w:r>
        <w:rPr>
          <w:rFonts w:ascii="Arial" w:cs="Arial" w:eastAsia="Arial" w:hAnsi="Arial"/>
          <w:sz w:val="15"/>
          <w:szCs w:val="15"/>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already begun planning for the</w:t>
      </w:r>
    </w:p>
    <w:p>
      <w:pPr>
        <w:sectPr>
          <w:pgSz w:w="11900" w:h="16924" w:orient="portrait"/>
          <w:cols w:equalWidth="0" w:num="1">
            <w:col w:w="11420"/>
          </w:cols>
          <w:pgMar w:left="240" w:top="131" w:right="239" w:bottom="0" w:gutter="0" w:footer="0" w:header="0"/>
        </w:sectPr>
      </w:pPr>
    </w:p>
    <w:bookmarkStart w:id="49" w:name="page50"/>
    <w:bookmarkEnd w:id="49"/>
    <w:p>
      <w:pPr>
        <w:spacing w:after="0" w:line="306" w:lineRule="auto"/>
        <w:rPr>
          <w:sz w:val="20"/>
          <w:szCs w:val="20"/>
          <w:color w:val="auto"/>
        </w:rPr>
      </w:pPr>
      <w:r>
        <w:rPr>
          <w:rFonts w:ascii="Arial" w:cs="Arial" w:eastAsia="Arial" w:hAnsi="Arial"/>
          <w:sz w:val="16"/>
          <w:szCs w:val="16"/>
          <w:color w:val="auto"/>
        </w:rPr>
        <w:t>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61"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5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 phase of Wynn Macau's first casino resort. At the present time, Wynn Macau has not yet determined the amount of financing that will be required to complete the initial phase.</w:t>
      </w:r>
    </w:p>
    <w:p>
      <w:pPr>
        <w:spacing w:after="0" w:line="197" w:lineRule="exact"/>
        <w:rPr>
          <w:sz w:val="20"/>
          <w:szCs w:val="20"/>
          <w:color w:val="auto"/>
        </w:rPr>
      </w:pPr>
    </w:p>
    <w:p>
      <w:pPr>
        <w:jc w:val="both"/>
        <w:ind w:right="400" w:firstLine="348"/>
        <w:spacing w:after="0" w:line="256" w:lineRule="auto"/>
        <w:rPr>
          <w:sz w:val="20"/>
          <w:szCs w:val="20"/>
          <w:color w:val="auto"/>
        </w:rPr>
      </w:pPr>
      <w:r>
        <w:rPr>
          <w:rFonts w:ascii="Arial" w:cs="Arial" w:eastAsia="Arial" w:hAnsi="Arial"/>
          <w:sz w:val="18"/>
          <w:szCs w:val="18"/>
          <w:color w:val="auto"/>
        </w:rPr>
        <w:t>Wynn Macau will not begin construction or operation of any casino in Macau if it does not obtain the ability to extend credit to gaming customers and enforce gaming debts in Macau and if it does not obtain relief from the complementary income tax and the withholding tax on dividends imposed in Macau. Based on our discussions with government officials, we believe legislative changes relating to these matters will be introduced by early 2003. However, we cannot assure you that such proposed legislative changes will be enacted.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Ownership Structure of Macau-Related Entities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chart illustrates the organizational structure of Wynn Resorts' Macau-related subsidiaries immediately after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099175" cy="59023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99175" cy="590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27"/>
          <w:szCs w:val="27"/>
          <w:color w:val="auto"/>
          <w:vertAlign w:val="subscript"/>
        </w:rPr>
      </w:pPr>
      <w:r>
        <w:rPr>
          <w:rFonts w:ascii="Arial" w:cs="Arial" w:eastAsia="Arial" w:hAnsi="Arial"/>
          <w:sz w:val="14"/>
          <w:szCs w:val="14"/>
          <w:color w:val="auto"/>
        </w:rPr>
        <w:t>Wynn Resorts International, Ltd. holds one share of Wynn Resorts (Macau), Limited as nominee for Wynn Resorts (Macau) Holdings, Ltd.</w:t>
      </w:r>
    </w:p>
    <w:p>
      <w:pPr>
        <w:sectPr>
          <w:pgSz w:w="11900" w:h="16838" w:orient="portrait"/>
          <w:cols w:equalWidth="0" w:num="1">
            <w:col w:w="11380"/>
          </w:cols>
          <w:pgMar w:left="240" w:top="131" w:right="279" w:bottom="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80"/>
          </w:cols>
          <w:pgMar w:left="240" w:top="131" w:right="279" w:bottom="0" w:gutter="0" w:footer="0" w:header="0"/>
          <w:type w:val="continuous"/>
        </w:sectPr>
      </w:pPr>
    </w:p>
    <w:bookmarkStart w:id="50" w:name="page51"/>
    <w:bookmarkEnd w:id="50"/>
    <w:p>
      <w:pPr>
        <w:ind w:firstLine="348"/>
        <w:spacing w:after="0" w:line="30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Wynn Resorts' Ownership of Macau-Related Entities. </w:t>
      </w:r>
      <w:r>
        <w:rPr>
          <w:rFonts w:ascii="Arial" w:cs="Arial" w:eastAsia="Arial" w:hAnsi="Arial"/>
          <w:sz w:val="16"/>
          <w:szCs w:val="16"/>
          <w:color w:val="auto"/>
        </w:rPr>
        <w:t>Wynn Resorts currently owns an approximately 82.5% economic interest in Wynn Macau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various subsidiaries and effectively controls 90% of the vote of Wynn Macau. In the aggregate, Wynn Resorts has contributed approximately $23.8 million, including shares of Wynn Macau with an aggregate par value of approximately $337,500, to the Macau-related entities.</w:t>
      </w:r>
    </w:p>
    <w:p>
      <w:pPr>
        <w:spacing w:after="0" w:line="161" w:lineRule="exact"/>
        <w:rPr>
          <w:sz w:val="20"/>
          <w:szCs w:val="20"/>
          <w:color w:val="auto"/>
        </w:rPr>
      </w:pPr>
    </w:p>
    <w:p>
      <w:pPr>
        <w:ind w:right="240" w:firstLine="348"/>
        <w:spacing w:after="0" w:line="290" w:lineRule="auto"/>
        <w:rPr>
          <w:sz w:val="20"/>
          <w:szCs w:val="20"/>
          <w:color w:val="auto"/>
        </w:rPr>
      </w:pPr>
      <w:r>
        <w:rPr>
          <w:rFonts w:ascii="Arial" w:cs="Arial" w:eastAsia="Arial" w:hAnsi="Arial"/>
          <w:sz w:val="16"/>
          <w:szCs w:val="16"/>
          <w:color w:val="auto"/>
        </w:rPr>
        <w:t>Wynn Resorts owns 100% of Wynn Group Asia, Inc., a Nevada corporation. Wynn Group Asia owns 100% of Wynn Resorts International, Ltd., a Manx company. Wynn Resorts International holds certain shares of Wynn Macau directly, representing approximately 39% of the capital and voting power and approximately 49% of the dividends and other distributions in excess of capital contributed. Wynn Resorts International also owns approximately 33.5% of the capital and dividend participation in and effectively controls approximately 51% of the vote of, Wynn Macau indirectly through its majority-owned subsidiary, Wynn Resorts (Macau) Holdings, Ltd., a Manx company. Wynn Resorts International is also entitled to a liquidation preference in Wynn Resorts (Macau) Holdings that effectively represents an additional 10% interest in the capital of Wynn Macau. Wynn Resorts (Macau) Holdings owns 100% of Wynn Resorts (Macau), Limited, a Hong Kong company. Wynn Resorts (Macau), Limited in turn owns approximately 51% of Wynn Macau.</w:t>
      </w:r>
    </w:p>
    <w:p>
      <w:pPr>
        <w:spacing w:after="0" w:line="172"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As part of the financing of the Macau opportunity, we intend to invest up to $40 million of the net proceeds from this offering in Wynn Macau. The indirect minority investors in Wynn Macau have agreed to participate in this additional investment along with Wynn Resorts to the extent of their proportionate effective interests in Wynn Macau.</w:t>
      </w:r>
    </w:p>
    <w:p>
      <w:pPr>
        <w:spacing w:after="0" w:line="194" w:lineRule="exact"/>
        <w:rPr>
          <w:sz w:val="20"/>
          <w:szCs w:val="20"/>
          <w:color w:val="auto"/>
        </w:rPr>
      </w:pPr>
    </w:p>
    <w:p>
      <w:pPr>
        <w:ind w:right="20" w:firstLine="351"/>
        <w:spacing w:after="0" w:line="282" w:lineRule="auto"/>
        <w:rPr>
          <w:sz w:val="20"/>
          <w:szCs w:val="20"/>
          <w:color w:val="auto"/>
        </w:rPr>
      </w:pPr>
      <w:r>
        <w:rPr>
          <w:rFonts w:ascii="Arial" w:cs="Arial" w:eastAsia="Arial" w:hAnsi="Arial"/>
          <w:sz w:val="16"/>
          <w:szCs w:val="16"/>
          <w:b w:val="1"/>
          <w:bCs w:val="1"/>
          <w:i w:val="1"/>
          <w:iCs w:val="1"/>
          <w:color w:val="auto"/>
        </w:rPr>
        <w:t xml:space="preserve">Minority Ownership of the Macau-Related Entities. </w:t>
      </w:r>
      <w:r>
        <w:rPr>
          <w:rFonts w:ascii="Arial" w:cs="Arial" w:eastAsia="Arial" w:hAnsi="Arial"/>
          <w:sz w:val="16"/>
          <w:szCs w:val="16"/>
          <w:color w:val="auto"/>
        </w:rPr>
        <w:t>Mr. Wong Chi Seng, who is the executive director of Wynn Macau, owns, in the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10% of the rights to capital and dividends and effectively controls approximately 10% of the vote of Wynn Macau. Other investors own, indirectly, approximately 7.5% of the rights to dividends and capital of Wynn Macau. The direct and indirect minority interests of Wynn Macau are held at two levels: at the Wynn Resorts (Macau) Holdings level and directly at the Wynn Macau level. Mr. Wong Chi Seng indirectly owns shares representing approximately 11.8% of the voting power and 19.6% of the capital and dividend participation in Wynn Resorts (Macau) Holdings. In exchange for these shares, Mr. Wong contributed to Wynn Resorts (Macau) Holdings approximately $385,000, including shares of Wynn Macau with an aggregate par value of approximately $37,500. According to Macau law, the position of executive director and at least 10% of the voting shares and capital of Wynn Macau must be held by a resident of Macau. Mr. Wong, a Macau resident, serves as the executive director of Wynn Macau and purchased his shares in Wynn Macau for an aggregate of approximately $2.5 million.</w:t>
      </w:r>
    </w:p>
    <w:p>
      <w:pPr>
        <w:spacing w:after="0" w:line="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Mr. Wong's shares have the same voting rights as do the other shares in Wynn Macau, but they are limited in their participation in dividends to up to one pataca per year, in the aggregate, and limited in other distributions to their share of the capital contributed.</w:t>
      </w:r>
    </w:p>
    <w:p>
      <w:pPr>
        <w:spacing w:after="0" w:line="19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Other investors, who are related to each other, collectively contributed cash of approximately $2.2 million and own shares representing approximately 8.9% of the voting power and 14.7% of capital and dividend participation in Wynn Resorts (Macau) Holdings.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Macau Market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Macau Special Administrative Region of the People's Republic of China is located in the southern part of Guangdong Province.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Macau peninsula and the islands of Taipa and Coloane, which are connected to the peninsula by bridges, and totals approximately 9 square miles in size. Macau is approximately 37 miles southwest of Hong Kong and immediately adjacent to the Zhuhai Special Economic Zone, from which Macau is visible and easily accessible. The CIA World Factbook estimates that Macau's population in 2001 was approximately 454,000.</w:t>
      </w:r>
    </w:p>
    <w:p>
      <w:pPr>
        <w:sectPr>
          <w:pgSz w:w="11900" w:h="16838" w:orient="portrait"/>
          <w:cols w:equalWidth="0" w:num="1">
            <w:col w:w="11420"/>
          </w:cols>
          <w:pgMar w:left="240" w:top="374" w:right="2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1761490</wp:posOffset>
            </wp:positionH>
            <wp:positionV relativeFrom="page">
              <wp:posOffset>88900</wp:posOffset>
            </wp:positionV>
            <wp:extent cx="4039235" cy="5617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4039235" cy="561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Macau was a colony of Portugal for approximately 450 years. In December 1999, Portugal transferred administration of Macau to China, which re-established the territory as a special administrative region. Macau has been a gaming destination for at least 40 years.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Popular regional gaming destination. </w:t>
      </w:r>
      <w:r>
        <w:rPr>
          <w:rFonts w:ascii="Arial" w:cs="Arial" w:eastAsia="Arial" w:hAnsi="Arial"/>
          <w:sz w:val="18"/>
          <w:szCs w:val="18"/>
          <w:color w:val="auto"/>
        </w:rPr>
        <w:t>According to the Macau Statistics and Census Service Monthly Bulletin of Statistics, over 10 million people visited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in 2001, increasing from approximately 7.4 million in 1999. According to the U.S. &amp; Foreign Commercial Service American Consulate General, Hong Kong, in 2000, casinos in Macau generated approximately US $2.1 billion in gaming revenue. Macau casinos are primarily table game-oriented and include many private VIP rooms, but contain relatively few slot machines.</w:t>
      </w:r>
    </w:p>
    <w:p>
      <w:pPr>
        <w:spacing w:after="0" w:line="19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 stayed overnight in hotels and guestrooms, the average length of stay was only one to two nights.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statistics relating to the visitation of Macau by tourists: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Macau Annual Tourism Statistical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Annual Growth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2001</w:t>
            </w:r>
          </w:p>
        </w:tc>
        <w:tc>
          <w:tcPr>
            <w:tcW w:w="17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1999-2001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Visitor Arrivals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7,443,924</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9,162,212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10,278,973</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Overnight Guests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2,253,445</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2,689,843</w:t>
            </w:r>
          </w:p>
        </w:tc>
        <w:tc>
          <w:tcPr>
            <w:tcW w:w="1240" w:type="dxa"/>
            <w:vAlign w:val="bottom"/>
          </w:tcPr>
          <w:p>
            <w:pPr>
              <w:jc w:val="right"/>
              <w:spacing w:after="0"/>
              <w:rPr>
                <w:sz w:val="20"/>
                <w:szCs w:val="20"/>
                <w:color w:val="auto"/>
              </w:rPr>
            </w:pPr>
            <w:r>
              <w:rPr>
                <w:rFonts w:ascii="Arial" w:cs="Arial" w:eastAsia="Arial" w:hAnsi="Arial"/>
                <w:sz w:val="18"/>
                <w:szCs w:val="18"/>
                <w:color w:val="auto"/>
              </w:rPr>
              <w:t>2,766,853</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-443230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-443230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-443230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-443230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Source:</w:t>
      </w:r>
      <w:r>
        <w:rPr>
          <w:sz w:val="20"/>
          <w:szCs w:val="20"/>
          <w:color w:val="auto"/>
        </w:rPr>
        <w:tab/>
      </w:r>
      <w:r>
        <w:rPr>
          <w:rFonts w:ascii="Arial" w:cs="Arial" w:eastAsia="Arial" w:hAnsi="Arial"/>
          <w:sz w:val="12"/>
          <w:szCs w:val="12"/>
          <w:color w:val="auto"/>
        </w:rPr>
        <w:t>Macau Statistics and Census Service Monthly Bulletin of Statistics</w:t>
      </w:r>
    </w:p>
    <w:p>
      <w:pPr>
        <w:sectPr>
          <w:pgSz w:w="11900" w:h="16838" w:orient="portrait"/>
          <w:cols w:equalWidth="0" w:num="1">
            <w:col w:w="11400"/>
          </w:cols>
          <w:pgMar w:left="240" w:top="1440" w:right="259" w:bottom="0" w:gutter="0" w:footer="0" w:header="0"/>
        </w:sectPr>
      </w:pPr>
    </w:p>
    <w:p>
      <w:pPr>
        <w:spacing w:after="0" w:line="20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Proximity to, and ease of access from, major Asian capitals. </w:t>
      </w:r>
      <w:r>
        <w:rPr>
          <w:rFonts w:ascii="Arial" w:cs="Arial" w:eastAsia="Arial" w:hAnsi="Arial"/>
          <w:sz w:val="16"/>
          <w:szCs w:val="16"/>
          <w:color w:val="auto"/>
        </w:rPr>
        <w:t>Gaming customers traveling to Macau typically come from nearby countries in Asia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Hong Kong, mainland China, Taiwan, South Korea and Japan. According to the Macau Statistics and Census Service Monthly Bulletin of Statistics—Public Security Police, 90% of the tourists who visited Macau in 2001 came from Hong Kong, mainland China or Taiwan, with over 50% coming from Hong Kong.</w:t>
      </w:r>
    </w:p>
    <w:p>
      <w:pPr>
        <w:sectPr>
          <w:pgSz w:w="11900" w:h="16838" w:orient="portrait"/>
          <w:cols w:equalWidth="0" w:num="1">
            <w:col w:w="11400"/>
          </w:cols>
          <w:pgMar w:left="240" w:top="1440" w:right="259" w:bottom="0" w:gutter="0" w:footer="0" w:header="0"/>
          <w:type w:val="continuous"/>
        </w:sectPr>
      </w:pPr>
    </w:p>
    <w:bookmarkStart w:id="52" w:name="page53"/>
    <w:bookmarkEnd w:id="52"/>
    <w:p>
      <w:pPr>
        <w:ind w:right="20" w:firstLine="348"/>
        <w:spacing w:after="0" w:line="294" w:lineRule="auto"/>
        <w:rPr>
          <w:sz w:val="20"/>
          <w:szCs w:val="20"/>
          <w:color w:val="auto"/>
        </w:rPr>
      </w:pPr>
      <w:r>
        <w:rPr>
          <w:rFonts w:ascii="Arial" w:cs="Arial" w:eastAsia="Arial" w:hAnsi="Arial"/>
          <w:sz w:val="16"/>
          <w:szCs w:val="16"/>
          <w:color w:val="auto"/>
        </w:rPr>
        <w:t>The Macau pataca and the Hong Kong dollar are linked to each other and, in many cases, are used interchangeably in Macau. See "Management's Discussion and Analysis of Financial Condition and Results of Operations—Inflation and 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using a variety of methods of transportation, and visitors from more distant locations in Asia can take advantage of short travel times by air to Macau or to Hong Kong (followed by a short water ferry or helicopter trip to Macau). The relatively easy access from major population centers promotes Macau as a popular gaming destination in Asia.</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Macau draws a significant number of gaming customers from both visitors and residents of Hong Kong. One of the major methods of transportation to Macau from Hong Kong is the hydrofoil ferry service. The hydrofoil ferry offers service up to four times per hour, with trips to and from Macau in duration of approximately 55 to 75 minutes. Macau is also accessible from Hong Kong by helicopter in approximately 20 minutes.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Macau completed construction of an international airport in 1995 that provides direct air service to many major cities in Asia such as Manila, Singapore, Taipei, Bangkok, Beijing and Shanghai. The Macau International Airport can accomodate large commercial airliners and directly serves at least 20 cities, including at least 12 in China, with links to numerous other major Asian destinations.</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Potential for growth of Macau gaming market. </w:t>
      </w:r>
      <w:r>
        <w:rPr>
          <w:rFonts w:ascii="Arial" w:cs="Arial" w:eastAsia="Arial" w:hAnsi="Arial"/>
          <w:sz w:val="18"/>
          <w:szCs w:val="18"/>
          <w:color w:val="auto"/>
        </w:rPr>
        <w:t>We believe that the following factors will play a positive role in Macau's status as a gaming and resort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w:t>
      </w:r>
    </w:p>
    <w:p>
      <w:pPr>
        <w:spacing w:after="0" w:line="199" w:lineRule="exact"/>
        <w:rPr>
          <w:sz w:val="20"/>
          <w:szCs w:val="20"/>
          <w:color w:val="auto"/>
        </w:rPr>
      </w:pPr>
    </w:p>
    <w:p>
      <w:pPr>
        <w:ind w:left="1080" w:right="3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proximity to, and ease of access from, Hong Kong, China and Taiwan and other Asian regional markets, including Indonesia, Thailand and Japan, where casinos currently are banned;</w:t>
      </w:r>
    </w:p>
    <w:p>
      <w:pPr>
        <w:spacing w:after="0" w:line="212"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significant foreign and domestic investment in new and expanded casino and entertainment facilities in Macau that are intended to promote Macau as a casino resort destination, enhance tourism and lengthen stays, such as: the reported development of an entertainment complex that will include gaming amenities in the Fisherman's Wharf area of Macau planned by Sociedade de Jogos de Macau through a related entity; the casino resort on Taipa reportedly planned by Galaxy Casino, Ltd., an affiliate of Venetian Resorts; and Wynn Macau's proposed casino resort; and</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development of Hong Kong Disneyland (scheduled to open in 2005) on Lantau Island near Macau.</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within Macau and from Regional Markets</w:t>
      </w:r>
    </w:p>
    <w:p>
      <w:pPr>
        <w:spacing w:after="0" w:line="23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Local Competition. </w:t>
      </w:r>
      <w:r>
        <w:rPr>
          <w:rFonts w:ascii="Arial" w:cs="Arial" w:eastAsia="Arial" w:hAnsi="Arial"/>
          <w:sz w:val="16"/>
          <w:szCs w:val="16"/>
          <w:color w:val="auto"/>
        </w:rPr>
        <w:t>In the past, gaming in Macau had been administered as a government-sanctioned monopoly concession awarded to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concessionaire. However, under the authority of the Chief Executive and the Casino Tender Commission of Macau, the government of Macau has recently liberalized the gaming industry by granting concessions to operate casinos to three concessionaires. Sociedade de Jogos de Macau, referred to as SJM, has been granted one of the concessions. SJM is controlled by Stanley Ho, who through another entity had controlled the monopoly concession to conduct gaming operations in Macau for approximately 40 years. Galaxy Casino Company Limited, referred to as Galaxy, also has been awarded a concession to operate casinos in Macau. Galaxy is a joint venture between an affiliate of the operators of The Venetian in Las Vegas and a group of Hong Kong investors headed by Lui Chi-woo. Wynn Macau was awarded the third concession. Wynn Macau's gaming business would compete with businesses to be operated by the two other casino concessionaires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SJM has the benefit of being the established gaming enterprise already in existence at eleven locations in Macau. Most of these eleven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eleven casinos in Macau</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are located in hotels. In addition, an affiliate of Mr. Ho owns substantially all of the water ferry services and the helicopter shuttle service that link Macau to Hong Kong and Kowloon.</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Wynn Macau will face increased competition if SJM or Galaxy constructs new, or renovates pre-existing, casinos in Macau. SJM is reported to be planning a major remodeling of the Hotel Lisboa and a new Fisherman's Wharf entertainment complex, which will include gaming amenities, in the area of the Macau ferry terminal. SJM is obligated to invest at least approximately 4.7 billion patacas (approximately US $588 million) by December 2004 under its concession agreement with the government of Macau. Additionally, according to news reports, Galaxy intends to build a major casino resort on Taipa, the island where Macau's international airport is located, and possibly other casinos. Galaxy is obligated to invest at least 8.8 billion patacas (approximately US $1.1 billion) by June 2012 under its concession agreement with the government of Macau.</w:t>
      </w:r>
    </w:p>
    <w:p>
      <w:pPr>
        <w:spacing w:after="0" w:line="174"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Regional Competition. </w:t>
      </w:r>
      <w:r>
        <w:rPr>
          <w:rFonts w:ascii="Arial" w:cs="Arial" w:eastAsia="Arial" w:hAnsi="Arial"/>
          <w:sz w:val="15"/>
          <w:szCs w:val="15"/>
          <w:color w:val="auto"/>
        </w:rPr>
        <w:t>Wynn Macau will face competition from casinos located in other areas of Asia, such as the major gaming and resort destination,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Genting Highlands Resort,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w:t>
      </w:r>
    </w:p>
    <w:p>
      <w:pPr>
        <w:sectPr>
          <w:pgSz w:w="11900" w:h="16838" w:orient="portrait"/>
          <w:cols w:equalWidth="0" w:num="1">
            <w:col w:w="11420"/>
          </w:cols>
          <w:pgMar w:left="240" w:top="131" w:right="239" w:bottom="0" w:gutter="0" w:footer="0" w:header="0"/>
        </w:sectPr>
      </w:pPr>
    </w:p>
    <w:bookmarkStart w:id="53" w:name="page54"/>
    <w:bookmarkEnd w:id="53"/>
    <w:p>
      <w:pPr>
        <w:spacing w:after="0" w:line="12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Asia that offer gaming, and illegal casinos throughout Asia. Further, if current efforts to legalize gaming in Penghu, Taiwan are successful or if the reported large-scale new casino entertainment complex proposed in Manila, Philippines is developed, Wynn Macau will face additional regional competition.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United States Patent and Trademark Office, referred to as the PTO, for hotel services. Our application for the LE RÊVE hotel mark has cleared the PTO examination process. It was "published for opposition." On August 16, 2002, a request for extension of time to oppose was filed with the PTO. If granted, the initial request for extension of time to oppose expires on October 15, 2002. The potential opposer is entitled to file an additional request for extension of time to oppose for an additional 30 days. Further extensions of time to oppose are allowed only with our consent. If no opposition is filed, or if an opposition is filed, but is settled or the potential opposer does not prevail, LE RÊVE will be registered for hotel services, and restaurant, bar, lounge and health spa services.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 LE RÊVE for casino services from entertainment services and, therefore, the application for casino services should not be subject to the objections to entertainment services.</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in connection with wines. Each of these applications is pending. None of the non-hotel and non-casino applications for LE RÊVE are for goods or services that would, if finally rejected, have a material impact on our business.</w:t>
      </w:r>
    </w:p>
    <w:p>
      <w:pPr>
        <w:spacing w:after="0" w:line="16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 once this parcel is released from the liens under the credit facilities and the second mortgage notes.</w:t>
      </w:r>
    </w:p>
    <w:p>
      <w:pPr>
        <w:spacing w:after="0" w:line="170"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of its service obligations to the remaining homes, Desert Inn Improvement Co. is a public utility under Nevada law and is subject to regulatory restrictions imposed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139"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w:t>
      </w:r>
    </w:p>
    <w:p>
      <w:pPr>
        <w:sectPr>
          <w:pgSz w:w="11900" w:h="16962" w:orient="portrait"/>
          <w:cols w:equalWidth="0" w:num="1">
            <w:col w:w="11420"/>
          </w:cols>
          <w:pgMar w:left="240" w:top="131" w:right="239" w:bottom="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our water rights.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Macau Lease. </w:t>
      </w:r>
      <w:r>
        <w:rPr>
          <w:rFonts w:ascii="Arial" w:cs="Arial" w:eastAsia="Arial" w:hAnsi="Arial"/>
          <w:sz w:val="16"/>
          <w:szCs w:val="16"/>
          <w:color w:val="auto"/>
        </w:rPr>
        <w:t>The Macau Special Administrative Region owns most of the land in Macau and, in most cases, private interests in real property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Macau are obtained only through leases and other grants of rights to use land from the government. The government of Macau has granted to Wynn Macau the right to lease a parcel of land of approximately 14 acres located in the outer harbor of downtown Macau opposite the Hotel Lisboa on which Wynn Macau intends to construct and operate its initial casino resort. If Wynn Macau ultimately signs a land concession agreement exercising its leasing right, the amount of the rent and other terms and conditions of the land concession will be fixed in that agreement. The term of the land concession would be 25 years, commencing on the date it is published in the Macau Official Gazette, and may be renewed at the option of Wynn Macau for successive periods terminating no later than December 19, 2049. In exchange, Wynn Macau would be obligated to pay a premium of approximately 318 million patacas (approximately US $40 million). In addition, once the land concession agreement is entered into, Wynn Macau would become obligated to pay an entity affiliated with Stanley Ho, approximately 160 million patacas (approximately US $20 million) for relinquishing its rights to use a portion of that site. Wynn Macau would be able to credit both this land concession premium and the payment to the former concessionaire toward its 4 billion pataca required investment in Macau.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October 31, 2000, Ms. Stephanie Swain, as trustee of the Mark Swain Revocable Trust, and some of the other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9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trial in this matter currently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2"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ectPr>
          <w:pgSz w:w="11900" w:h="16838" w:orient="portrait"/>
          <w:cols w:equalWidth="0" w:num="1">
            <w:col w:w="11400"/>
          </w:cols>
          <w:pgMar w:left="240" w:top="131" w:right="259" w:bottom="0" w:gutter="0" w:footer="0" w:header="0"/>
        </w:sectPr>
      </w:pPr>
    </w:p>
    <w:bookmarkStart w:id="55" w:name="page56"/>
    <w:bookmarkEnd w:id="55"/>
    <w:p>
      <w:pPr>
        <w:spacing w:after="0" w:line="40"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Wynn Las Vegas to demonstrate, as a condition to every release or drawdown of funds, that Wynn Las Vegas has sufficient funds available to cover all remaining construction costs, plus required contingency, in accordance with our construction budget. Accordingly, if Marnell Corrao spends greater amounts than anticipated in respect of any component of the work, Wynn Las Vegas may be denied further access to the proceeds of the second mortgage notes and further drawings under the credit facilities.</w:t>
      </w:r>
    </w:p>
    <w:p>
      <w:pPr>
        <w:spacing w:after="0" w:line="174"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ectPr>
          <w:pgSz w:w="11900" w:h="16879" w:orient="portrait"/>
          <w:cols w:equalWidth="0" w:num="1">
            <w:col w:w="11400"/>
          </w:cols>
          <w:pgMar w:left="240" w:top="145" w:right="259" w:bottom="0" w:gutter="0" w:footer="0" w:header="0"/>
        </w:sectPr>
      </w:pPr>
    </w:p>
    <w:bookmarkStart w:id="56" w:name="page57"/>
    <w:bookmarkEnd w:id="56"/>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Cost overruns could cause Wynn Las Vegas to be "out of balance" under the second mortgage notes, credit facilities and FF&amp;E facility and, consequently, unable to obtain funds from the second mortgage note proceeds secured account or to draw down under the credit facilities or the FF&amp;E facility. If Wynn Las Vegas cannot obtain these funds, it will not be able to open Le Rêve to the general public on schedule or at all. Given that Wynn Las Vegas is required to use a substantial portion of the cash equity contribution made by Wynn Resorts before receiving disbursements of the second mortgage note proceeds or borrowing under the credit facilities and the FF&amp;E facility, if any such "out of balance" event occurs in the latter stages of construction, the holders of Wynn Resorts common stock would be fully exposed and the lenders under the credit facilities and FF&amp;E facility would have no obligation to commence or continue funding loans under their respective facilities.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80" w:hanging="532"/>
        <w:spacing w:after="0" w:line="370" w:lineRule="auto"/>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29"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w:t>
      </w:r>
    </w:p>
    <w:p>
      <w:pPr>
        <w:sectPr>
          <w:pgSz w:w="11900" w:h="16838" w:orient="portrait"/>
          <w:cols w:equalWidth="0" w:num="1">
            <w:col w:w="11420"/>
          </w:cols>
          <w:pgMar w:left="240" w:top="145" w:right="239" w:bottom="0" w:gutter="0" w:footer="0" w:header="0"/>
        </w:sectPr>
      </w:pPr>
    </w:p>
    <w:bookmarkStart w:id="57" w:name="page58"/>
    <w:bookmarkEnd w:id="57"/>
    <w:p>
      <w:pPr>
        <w:spacing w:after="0" w:line="5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five-day grace period, our actual damages likely will exceed $300,000 per day.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Marnell Corrao must make an itemized application for payment based on an approved schedule of values. Payment of the application is subject to approval by us and our subsidiaries'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subsidiaries' lenders.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its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w:t>
      </w:r>
    </w:p>
    <w:p>
      <w:pPr>
        <w:sectPr>
          <w:pgSz w:w="11900" w:h="16894" w:orient="portrait"/>
          <w:cols w:equalWidth="0" w:num="1">
            <w:col w:w="11400"/>
          </w:cols>
          <w:pgMar w:left="240" w:top="131" w:right="259" w:bottom="0" w:gutter="0" w:footer="0" w:header="0"/>
        </w:sectPr>
      </w:pPr>
    </w:p>
    <w:bookmarkStart w:id="58" w:name="page59"/>
    <w:bookmarkEnd w:id="58"/>
    <w:p>
      <w:pPr>
        <w:ind w:right="400"/>
        <w:spacing w:after="0" w:line="298" w:lineRule="auto"/>
        <w:rPr>
          <w:sz w:val="20"/>
          <w:szCs w:val="20"/>
          <w:color w:val="auto"/>
        </w:rPr>
      </w:pPr>
      <w:r>
        <w:rPr>
          <w:rFonts w:ascii="Arial" w:cs="Arial" w:eastAsia="Arial" w:hAnsi="Arial"/>
          <w:sz w:val="16"/>
          <w:szCs w:val="16"/>
          <w:color w:val="auto"/>
        </w:rPr>
        <w:t>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199" w:lineRule="exact"/>
        <w:rPr>
          <w:sz w:val="20"/>
          <w:szCs w:val="20"/>
          <w:color w:val="auto"/>
        </w:rPr>
      </w:pPr>
    </w:p>
    <w:p>
      <w:pPr>
        <w:ind w:left="1080" w:right="4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insurance for off-site activities.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subsidiaries'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ectPr>
          <w:pgSz w:w="11900" w:h="16838" w:orient="portrait"/>
          <w:cols w:equalWidth="0" w:num="1">
            <w:col w:w="11420"/>
          </w:cols>
          <w:pgMar w:left="240" w:top="131" w:right="239" w:bottom="2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0" w:gutter="0" w:footer="0" w:header="0"/>
          <w:type w:val="continuous"/>
        </w:sectPr>
      </w:pPr>
    </w:p>
    <w:bookmarkStart w:id="59" w:name="page60"/>
    <w:bookmarkEnd w:id="59"/>
    <w:p>
      <w:pPr>
        <w:ind w:right="60"/>
        <w:spacing w:after="0" w:line="268" w:lineRule="auto"/>
        <w:rPr>
          <w:sz w:val="20"/>
          <w:szCs w:val="20"/>
          <w:color w:val="auto"/>
        </w:rPr>
      </w:pPr>
      <w:r>
        <w:rPr>
          <w:rFonts w:ascii="Arial" w:cs="Arial" w:eastAsia="Arial" w:hAnsi="Arial"/>
          <w:sz w:val="18"/>
          <w:szCs w:val="18"/>
          <w:color w:val="auto"/>
        </w:rPr>
        <w:t>fees and costs suffered by or threatened against Marnell Corrao and/or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the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the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0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of Le Rêve are estimates only, and actual development costs may be higher than expected."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currently are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ectPr>
          <w:pgSz w:w="11900" w:h="16838" w:orient="portrait"/>
          <w:cols w:equalWidth="0" w:num="1">
            <w:col w:w="11380"/>
          </w:cols>
          <w:pgMar w:left="240" w:top="590" w:right="279" w:bottom="29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290" w:gutter="0" w:footer="0" w:header="0"/>
          <w:type w:val="continuous"/>
        </w:sectPr>
      </w:pPr>
    </w:p>
    <w:bookmarkStart w:id="60" w:name="page61"/>
    <w:bookmarkEnd w:id="60"/>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 We believe that the following summary of the concession agreement reflects the key terms of the concession agreement in all material regards. However, because of the difficulties inherent in translation, English may not precisely convey the nuances of the concession agreement, and the English translations of the concession agreement may imply meanings different from those embodied by the official documents. Moreover, the concession agreement provides that all issues of interpretation will be subject to the exclusive jurisdiction of the Macau courts, and the summarization of the key terms of the concession agreement is complicated by the difficulties in ascertaining how a Macau court would interpret the concession agreement.</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currency used in the concession agreement is the Macau pataca. The Macau pataca, which is not a freely convertible currency, is linked to the Hong Kong dollar, which itself is linked to the U.S. dollar. We have converted all pataca references into U.S. dollars, using an exchange rate of approximately eight Macau patacas to one U.S. dollar (which is the middle of the buy and sell rates on October 24, 2002, as reported by the Monetary Authority of Macau). While the rate of exchange may fluctuate over the term of the concession agreement, the rate of exchange between the United States dollar and the Hong Kong dollar has remained relatively stable over the past several years.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Wynn Macau, an indirect, 82.5%-owned subsidiary of Wynn Resorts, has entered into a concession agreement with the government of Macau permitting it to construct and operate one or more casinos in Macau. The term of the concession agreement is 20 years, beginning on June 27, 2002 and ending on June 26, 2022, unless terminated pursuant to the concession agreement on an earlier date. Under Macau law, the concession agreement may also be extended by mutual agreement of the parties for up to an additional five years. Wynn Macau has agreed to invest no less than a total of 4 billion patacas (approximately US</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$500 million) in one or more casino projects in Macau by June 26, 2009, and to commence operations of its first permanent casino resort in Macau no later than December 2006.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Scope of Macau Activities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Wynn Macau has no reason to believe that the Macau government would not approve Wynn Macau operating a resort hotel, complete with food and beverage facilities, convention facilities, retail facilities, travel and transportation facilities, entertainment facilities, recreational facilities, spa and personal care facilities and related facilities, so long as they are part of an integrated project which offers casino gaming.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Location and Types of Games</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concession agreement obligates Wynn Macau to conduct gaming activities only at locations within Macau approved by the government of Macau. The concession agreement prohibits Wynn Macau from engaging in Internet gaming and horse race or sports betting or offering games to the public on boats or aircraft, or in the form of a lottery. The concession agreement authorizes Wynn Macau to conduct a variety of popular card, dice and other table games, including baccarat, black jack, craps, mahjong, roulette, three- and five-card poker and pai gow, and also permits it to offer gaming machines such as pachinko and slot machines.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Limit on Number of Concessions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Premium</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 must pay the government of Macau a premium, comprised of a fixed portion, paid annually, and a variable portion, paid monthly. The amount of the fixed portion of the premium is 30 million patacas (approximately US $3.8 million) per year. The amount of the variable portion of the premium is calculated according to the number of gaming tables and machines Wynn Macau operates in Macau, with a set minimum of 45 million patacas (approximately US $5.6 million) per year.</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Macau is obligated to begin paying the fixed portion of the premium on the earlier of June 26, 2005 or when its first permanent casino resort is opened for business. The variable portion of the premium becomes due when Wynn Macau begins operating casino games for the general public in Macau in either a temporary or permanent casino. If Wynn Macau operates a temporary casino before completion of its first permanent casino resort, the variable portion of the premium will be calculated using the same formula applied to permanent casino resorts, with a set minimum of 9 million patacas (approximately US $1.1 million) per year.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Gaming Tax</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Wynn Macau must pay 35% of its gross gaming revenue to the government as a special gaming tax. The concession agreement authorizes the government to require Wynn Macau to obtain a bank guarantee ensuring payment of the special gaming tax if the government has justification for believing that Wynn Macau will not pay the full amount of the special gaming tax according to law.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Required Contributions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must pay 1.6% of its gross gaming revenue to a public foundation designated by the government of Macau for the promotion, development and study of social, cultural, economic, educational, scientific, academic and charitable activities in Macau. In addition, Wynn Macau must pay 2.4% of its gross</w:t>
      </w:r>
    </w:p>
    <w:p>
      <w:pPr>
        <w:sectPr>
          <w:pgSz w:w="11900" w:h="16858" w:orient="portrait"/>
          <w:cols w:equalWidth="0" w:num="1">
            <w:col w:w="11400"/>
          </w:cols>
          <w:pgMar w:left="240" w:top="341" w:right="259" w:bottom="0" w:gutter="0" w:footer="0" w:header="0"/>
        </w:sectPr>
      </w:pPr>
    </w:p>
    <w:bookmarkStart w:id="61" w:name="page62"/>
    <w:bookmarkEnd w:id="61"/>
    <w:p>
      <w:pPr>
        <w:ind w:right="80"/>
        <w:spacing w:after="0" w:line="332" w:lineRule="auto"/>
        <w:rPr>
          <w:sz w:val="20"/>
          <w:szCs w:val="20"/>
          <w:color w:val="auto"/>
        </w:rPr>
      </w:pPr>
      <w:r>
        <w:rPr>
          <w:rFonts w:ascii="Arial" w:cs="Arial" w:eastAsia="Arial" w:hAnsi="Arial"/>
          <w:sz w:val="16"/>
          <w:szCs w:val="16"/>
          <w:color w:val="auto"/>
        </w:rPr>
        <w:t>gaming revenue to one or more beneficiaries for urban development, promotion of tourism and social security in Macau. Under the concession agreement, Wynn Macau may, with government consent, allocate up to one-half of this second contribution to project(s) Wynn Macau designates. The other one-half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must be allocated to beneficiaries designated by the government of Macau. The concession agreement provides that Wynn Macau may negotiate with the government of Macau to adjust the rates of these required contributions beginning in the year 2010.</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Macau generally imposes a complementary income tax at the rate of 15% on the profits realized from conducting business in Macau and a 15% withholding tax on dividends paid from Macau entities to their stockholders. Wynn Macau is seeking legislative changes to exempt concessionaires from the complementary income tax and the dividend withholding tax on the grounds that the tax payments required by the concession agreement are in lieu of the complementary income tax and the dividend withholding tax. Alternatively, although the Chief Executive of Macau has no power to exempt concessionaires from the dividend withholding tax, the Macau gaming laws permit him to exempt concessionaires from the complementary income tax for a period of time. Wynn Macau has requested that the Chief Executive of Macau exempt it from the complementary income tax throughout the term of the concession.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concession agreement requires that Wynn Macau have an initial paid-in capital of 200 million patacas (approximately US $25 million).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Reserve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Macau is obligated to retain an amount equal to no less than 10% of its yearly profits as a reserve, until the reserve reaches the amount of 50 million patacas (approximately US $6.3 million). Wynn Macau may only use this reserve to:</w:t>
      </w:r>
    </w:p>
    <w:p>
      <w:pPr>
        <w:spacing w:after="0" w:line="19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cover any yearly loss it incurs that it cannot cover with any of its other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cover the losses that it carries forward from previous years that it cannot cover with the profits from the current year or any other reserve;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increase its registered capital.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Bank Guarantee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(approximately US $87.5 million) for the period from the execution of the concession agreement until March 31, 2007. The amount of this required guarantee will be reduced to 300 million patacas (approximately US $37.5 million) for the period from April 1, 2007 until 180 days after the end of the term of the concession agreement. Wynn Macau pays a commission to the bank in the amount of 0.5% per year of the guarantee amount.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86"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for any of these purposes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Oversight of Construction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concession agreement requires Wynn Macau to adhere to an agreed-upon construction schedule for the completion of the first casino resort, but the agreement provides that the deadlines in the construction schedule may be extended with governmental approval. The government of Macau may suspend construction of the casino(s) if it determines that Wynn Macau has failed to adequately implement the construction plans or violated the concession agreement or applicable law.</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Allocation of Unused Investment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concession agreement, Wynn Macau is required to invest not less than a total of 4 billion patacas (currently approximately US $500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or more casino projects by June 26, 2009. If Wynn Macau does not invest the amount required by the concession agreement in its Macau project(s)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26, 2009, it is obligated to invest the remaining amount in projects related to its gaming operations in Macau that the government approves, or in projects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interest designated by the Macau government.</w:t>
      </w:r>
    </w:p>
    <w:p>
      <w:pPr>
        <w:sectPr>
          <w:pgSz w:w="11900" w:h="16838" w:orient="portrait"/>
          <w:cols w:equalWidth="0" w:num="1">
            <w:col w:w="11400"/>
          </w:cols>
          <w:pgMar w:left="240" w:top="131" w:right="259" w:bottom="0" w:gutter="0" w:footer="0" w:header="0"/>
        </w:sectPr>
      </w:pPr>
    </w:p>
    <w:bookmarkStart w:id="62" w:name="page63"/>
    <w:bookmarkEnd w:id="62"/>
    <w:p>
      <w:pPr>
        <w:ind w:left="540"/>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According to the concession agreement, the government of Macau is entitled to enter the premises of Wynn Macau's casino(s) at any time and review Wynn Macau's records to monitor the gross revenue from its gaming operations. Wynn Macau is required to periodically submit financial reports and other documentation to the government of Macau, and answer the government's requests for information. Wynn Macau must inform the government of Macau of any events which may affect the normal operation or economic stability of its operations.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Wynn Macau is required to have an executive director who is a Macau resident and holds at least 10% of the voting shares and capital in Wynn Macau. The appointment, scope of authority, term of office and any alteration to such appointment, scope of authority or term of office of the executive director of Wynn Macau are established by the board of directors of Wynn Macau and are subject to Macau government approval. Government approval must also be obtained if the board of directors of Wynn Macau desires to delegate governing authority to another person or body.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Transfer of Shares</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representing 5% or more of the equity of Wynn Macau by Wynn Resorts' principal stockholders, Mr. Wynn and Aruze USA.</w:t>
      </w:r>
    </w:p>
    <w:p>
      <w:pPr>
        <w:spacing w:after="0" w:line="172"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concession agreement provides that if a controlling stockholder of Wynn Macau receives written instructions to dispose of its shares by a gaming authority outside of Macau, and if the government of Macau does not attribute the disposition to the actions of Wynn Macau, then that controlling stockholder will be permitted to transfer the shares to Wynn Macau that it holds without seeking government approval. If the controlling stockholder desires to transfer its shares to a third party, the government of Macau must approve of the transferee.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Restrictions</w:t>
      </w:r>
    </w:p>
    <w:p>
      <w:pPr>
        <w:spacing w:after="0" w:line="23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Any public listing of the shares of Wynn Macau or any company of which it is a controlling stockholder on a stock exchange or increase in the capital of Wynn Macau through public offering of common stock must be approved by the government of Macau. Wynn Macau also must seek government approval if it is to issue preferred stock or bonds. The concession agreement requires the shares of Wynn Macau and all of its direct and indirect corporate stockholders to be represented by shares in the name of their beneficial owners, unless the shares in question are publicly tradable on a stock exchange. We believe that the publicly held shares of Wynn Resorts will not be subject to these restrictions because they will be listed on The Nasdaq National Market.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Suitability Requirements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Wynn Macau and its directors, key employees, managing companies and stockholders who own 5% or more of Wynn Macau's stock must be found suitable and are subject to the continuous monitoring and supervision of the government of Macau for the term of the concession agreement to ensure that they are suitable to conduct a gaming business in Macau. The objectives of the government's supervision will be to preserve the conduct of gaming in Macau in a fair and honest manner and to safeguard and protect the interests of Macau in receiving taxes from the operation of casinos in the jurisdiction.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 by the Government Beginning in the Fifteenth Year</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From June 27, 2017 until the end of the term of the concession agreement, the government of Macau will have the right to redeem the concession granted to Wynn Macau under the concession agreement, with one year's prior notice. If the government so redeems the concession, the government will be required to provide compensation to Wynn Macau for the resulting losses it incurs equal to the earnings of the hotel-casino-resort before interest, depreciation and amortization for the fiscal year immediately preceding the date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redemption is declared, multiplied by the number of years remaining on the term of the concession agreement. Under the concession agreement, the Macau government must provide compensation for losses with respect to the resort-hotel-casino complex referred to in the investment plan attached to the concession agreement. However, the concession agreement is unclear how the compensation provision applies if more than one resort-hotel-casino is built.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Automatic Transfer of Assets to Government Without Compensation at End of Term</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the end of the term of the concession agreement and any agreed upon extensions, the areas defined as casino under Macau law and all the gaming equipment pertaining to the gaming operations of Wynn Macau, but not any hotel or resort assets (other than the areas defined as casino under Macau law), will be automatically transferred to the government of Macau without compensation to Wynn Macau. The concession agreement prohibits Wynn Macau from encumbering these assets or leasing the buildings in which the areas defined as casino under Macau law are located, without government approval. The casino(s) as defined under Macau law and all of the gaming equipment pertaining to the gaming operations of Wynn Macau must be free from encumbrance by the end of the concession term and Wynn Macau must hold clear title to the buildings, or independent units thereof, in which the areas defined as casino under Macau law are operated no later than 180 days before the end of the term of the concession agreement, unless the concession agreement terminates at an earlier date, in which case Wynn Macau will be obligated to acquire title to these buildings, or independent units thereof, at the earliest possible time. If Wynn Macau dissolves or liquidates, it must assure the government of Macau full payment for the property to which the government is entitled at the end of the concession agreement, including if necessary, by means of a guarantee or indemnity acceptable to the government of Macau.</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Liability for Violation of the Concession Agreement</w:t>
      </w:r>
    </w:p>
    <w:p>
      <w:pPr>
        <w:sectPr>
          <w:pgSz w:w="11900" w:h="16838" w:orient="portrait"/>
          <w:cols w:equalWidth="0" w:num="1">
            <w:col w:w="11420"/>
          </w:cols>
          <w:pgMar w:left="240" w:top="125" w:right="239" w:bottom="0" w:gutter="0" w:footer="0" w:header="0"/>
        </w:sectPr>
      </w:pPr>
    </w:p>
    <w:bookmarkStart w:id="63" w:name="page64"/>
    <w:bookmarkEnd w:id="63"/>
    <w:p>
      <w:pPr>
        <w:ind w:right="20" w:firstLine="348"/>
        <w:spacing w:after="0" w:line="254" w:lineRule="auto"/>
        <w:rPr>
          <w:sz w:val="20"/>
          <w:szCs w:val="20"/>
          <w:color w:val="auto"/>
        </w:rPr>
      </w:pPr>
      <w:r>
        <w:rPr>
          <w:rFonts w:ascii="Arial" w:cs="Arial" w:eastAsia="Arial" w:hAnsi="Arial"/>
          <w:sz w:val="18"/>
          <w:szCs w:val="18"/>
          <w:color w:val="auto"/>
        </w:rPr>
        <w:t>The concession agreement provides that Wynn Macau is civilly liable to the government of Macau for violation of the concession agreement and damages caused by parties with whom it contracts for the construction and operation of its Macau casino(s), unless its non-performance of the agreement is the result of circumstances which constitute force majeure. Wynn Macau must apply any insurance proceeds it receives for damage to improvements on real property to restoration of the damaged property unless it has no economic interest in rebuilding the improvements, in which case it must remit the insurance proceeds to the government of Macau. The government of Macau can resort to the bank guarantee Wynn Macau has obtained for any damages caused by Wynn Macau's violation of the concession agreement.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Prohibition on Cession, Transfer and Alienation of Casino</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prohibits Wynn Macau from ceding, transferring, alienating or in any way burdening the concession in whole or in part without the approval of the government of Macau. If Wynn Macau assigns the whole concession agreement in contravention of its terms, Wynn Macau will be liable to the government of Macau for 1 billion patacas (approximately US $125 million), and if Wynn Macau assigns part of the concession agreement in contravention of its terms, Wynn Macau will be liable to the government of Macau for 500 million patacas (approximately US $62.5 million). If Wynn Macau encumbers the concession to conduct gaming activities, in whole or in part, in violation of the agreement, it will be liable to the government of Macau for 300 million patacas (approximately US $37.5 million).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Sub-Concession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concession agreement prohibits Wynn Macau from granting a sub-concession to conduct gaming in Macau without government approval. If Wynn Macau violates this provision by granting a sub-concession of the whole agreement without governmental approval, it will be liable to the government of Macau for 500 million patacas (approximately US $62.5 million), and if Wynn Macau grants a sub-concession of part of the agreement without governmental approval, it will be liable to the government of Macau for 300 million patacas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Temporary Administrative Intervention</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 During any such sequestration, Wynn Macau will bear the costs of maintenance and any costs necessary to restore the gaming business to normal operations. The government may draw on the guarantee, bond or contract Wynn Macau has obtained to guarantee its performance of the concession agreement to pay these costs. Once operations have returned to normal and it has demonstrated the ability to adequately operate the gaming business, Wynn Macau will regain the right to resume control of casino operations, but if Wynn Macau is unable or unwilling to resume normal operations, the government could unilaterally rescind the concession agreement at its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231" w:lineRule="exact"/>
        <w:rPr>
          <w:sz w:val="20"/>
          <w:szCs w:val="20"/>
          <w:color w:val="auto"/>
        </w:rPr>
      </w:pPr>
    </w:p>
    <w:p>
      <w:pPr>
        <w:jc w:val="center"/>
        <w:ind w:right="440"/>
        <w:spacing w:after="0" w:line="370" w:lineRule="auto"/>
        <w:rPr>
          <w:sz w:val="20"/>
          <w:szCs w:val="20"/>
          <w:color w:val="auto"/>
        </w:rPr>
      </w:pPr>
      <w:r>
        <w:rPr>
          <w:rFonts w:ascii="Arial" w:cs="Arial" w:eastAsia="Arial" w:hAnsi="Arial"/>
          <w:sz w:val="15"/>
          <w:szCs w:val="15"/>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 Wynn Macau:</w:t>
      </w:r>
    </w:p>
    <w:p>
      <w:pPr>
        <w:spacing w:after="0" w:line="130"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conducts non-authorized games or activities excluded from its corporate purpose;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2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Wynn Macau will be required to compensate the government in accordance with applicable law, and the areas defined as casino under Macau law and all of the gaming equipment pertaining to the gaming operations of Wynn Macau will be transferred to the government without compensation.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and Wynn Macau's casino(s) will be subject to extensive state and local regulation and licensing and gaming authorities have significant control over their operations, which could have a negative effect on our business." If we ever are prohibited from operating one of our gaming facilities, we</w:t>
      </w:r>
    </w:p>
    <w:p>
      <w:pPr>
        <w:sectPr>
          <w:pgSz w:w="11900" w:h="16838" w:orient="portrait"/>
          <w:cols w:equalWidth="0" w:num="1">
            <w:col w:w="11420"/>
          </w:cols>
          <w:pgMar w:left="240" w:top="131" w:right="239" w:bottom="0" w:gutter="0" w:footer="0" w:header="0"/>
        </w:sectPr>
      </w:pPr>
    </w:p>
    <w:bookmarkStart w:id="64" w:name="page65"/>
    <w:bookmarkEnd w:id="64"/>
    <w:p>
      <w:pPr>
        <w:spacing w:after="0" w:line="2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would, to the extent permitted by law, seek to recover our investment by selling the property affected, but we cannot assure you that we would recover its full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ectPr>
          <w:pgSz w:w="11900" w:h="16860" w:orient="portrait"/>
          <w:cols w:equalWidth="0" w:num="1">
            <w:col w:w="11400"/>
          </w:cols>
          <w:pgMar w:left="240" w:top="131" w:right="259" w:bottom="0" w:gutter="0" w:footer="0" w:header="0"/>
        </w:sectPr>
      </w:pPr>
    </w:p>
    <w:bookmarkStart w:id="65" w:name="page66"/>
    <w:bookmarkEnd w:id="65"/>
    <w:p>
      <w:pPr>
        <w:ind w:right="66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7"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before giving effect to the closing of this offering, owns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in respect of Wynn Resorts.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 filed by Aruze USA, Aruze Corp., Kazuo Okada or Tomohiro Okada in respect of Wynn Resorts.</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 See "Certain Relationships and Related Transactions—Buy-Out of Aruze USA Stock."</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w:t>
      </w:r>
    </w:p>
    <w:p>
      <w:pPr>
        <w:sectPr>
          <w:pgSz w:w="11900" w:h="16838" w:orient="portrait"/>
          <w:cols w:equalWidth="0" w:num="1">
            <w:col w:w="11420"/>
          </w:cols>
          <w:pgMar w:left="240" w:top="131" w:right="239" w:bottom="0" w:gutter="0" w:footer="0" w:header="0"/>
        </w:sectPr>
      </w:pPr>
    </w:p>
    <w:bookmarkStart w:id="66" w:name="page67"/>
    <w:bookmarkEnd w:id="66"/>
    <w:p>
      <w:pPr>
        <w:spacing w:after="0" w:line="1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would otherwise be inconsistent with the declared policies of the State of Nevada. If the beneficial holder of the voting securities of Wynn Resorts who must be found suitable is a corporation, partnership, limited partnership,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 See "Description of Capital Stock— Prohibitions on the Receipt of Dividends, the Exercise of Voting or Other Rights or the Receipt of Other Remuneration."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15" w:lineRule="exact"/>
        <w:rPr>
          <w:sz w:val="20"/>
          <w:szCs w:val="20"/>
          <w:color w:val="auto"/>
        </w:rPr>
      </w:pPr>
    </w:p>
    <w:p>
      <w:pPr>
        <w:jc w:val="right"/>
        <w:ind w:left="5580" w:right="5580" w:hanging="5032"/>
        <w:spacing w:after="0" w:line="455" w:lineRule="auto"/>
        <w:tabs>
          <w:tab w:leader="none" w:pos="1083" w:val="left"/>
        </w:tabs>
        <w:numPr>
          <w:ilvl w:val="0"/>
          <w:numId w:val="81"/>
        </w:numPr>
        <w:rPr>
          <w:rFonts w:ascii="Arial" w:cs="Arial" w:eastAsia="Arial" w:hAnsi="Arial"/>
          <w:sz w:val="15"/>
          <w:szCs w:val="15"/>
          <w:color w:val="auto"/>
        </w:rPr>
      </w:pPr>
      <w:r>
        <w:rPr>
          <w:rFonts w:ascii="Arial" w:cs="Arial" w:eastAsia="Arial" w:hAnsi="Arial"/>
          <w:sz w:val="15"/>
          <w:szCs w:val="15"/>
          <w:color w:val="auto"/>
        </w:rPr>
        <w:t>pay that person any dividend or interest upon any voting securities; 117</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-1027430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7"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 However, the certificates representing shares of Wynn Resorts' common stock note that the shares are subject to a right of</w:t>
      </w:r>
    </w:p>
    <w:p>
      <w:pPr>
        <w:sectPr>
          <w:pgSz w:w="11900" w:h="16852" w:orient="portrait"/>
          <w:cols w:equalWidth="0" w:num="1">
            <w:col w:w="11420"/>
          </w:cols>
          <w:pgMar w:left="240" w:top="131" w:right="239" w:bottom="0" w:gutter="0" w:footer="0" w:header="0"/>
        </w:sectPr>
      </w:pPr>
    </w:p>
    <w:bookmarkStart w:id="67" w:name="page68"/>
    <w:bookmarkEnd w:id="67"/>
    <w:p>
      <w:pPr>
        <w:spacing w:after="0" w:line="2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redemption and other restrictions set forth in Wynn Resorts' articles of incorporation and bylaws and that the shares are, or may become, subject to restrictions imposed by applicable gaming laws.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Once Wynn Resorts becomes a registered company, it may not make a public offering of its securities without the prior approval of the Nevada Gaming Commission if it intends to use the securities or the proceeds from the offering to construct, acquire or finance 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The Nevada State Gaming Control Board Chairman considered our ruling request and has issued an administrative ruling that it is not necessary to submit an application for prior approval of this offering or the offering of second mortgage notes by Wynn Las Vegas.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Once Wynn Resorts becomes a registered company, it must obtain prior approval of the Nevada Gaming Commission with respect to a change in control through:</w:t>
      </w:r>
    </w:p>
    <w:p>
      <w:pPr>
        <w:spacing w:after="0" w:line="199"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recapitalization proposed by a registered company's board of directors in response to a tender offer made directly to its stockholders for the purpose of acquiring control.</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66" w:orient="portrait"/>
          <w:cols w:equalWidth="0" w:num="1">
            <w:col w:w="11420"/>
          </w:cols>
          <w:pgMar w:left="240" w:top="131" w:right="239" w:bottom="0" w:gutter="0" w:footer="0" w:header="0"/>
        </w:sectPr>
      </w:pPr>
    </w:p>
    <w:bookmarkStart w:id="68" w:name="page69"/>
    <w:bookmarkEnd w:id="68"/>
    <w:p>
      <w:pPr>
        <w:ind w:left="1080"/>
        <w:spacing w:after="0"/>
        <w:rPr>
          <w:sz w:val="20"/>
          <w:szCs w:val="20"/>
          <w:color w:val="auto"/>
        </w:rPr>
      </w:pPr>
      <w:r>
        <w:rPr>
          <w:rFonts w:ascii="Arial" w:cs="Arial" w:eastAsia="Arial" w:hAnsi="Arial"/>
          <w:sz w:val="18"/>
          <w:szCs w:val="18"/>
          <w:color w:val="auto"/>
        </w:rPr>
        <w:t>a percentage of the gross revenue received;</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88"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61"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conduct of gaming activities and the service and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a majority-owned indirect subsidiary of Wynn Resorts, has entered into a concession agreement with the government of Macau permitting it to construct and operate one or more casinos in Macau. As a concessionaire, Wynn Macau is subject to the regulatory control of the Macau government.</w:t>
      </w:r>
    </w:p>
    <w:p>
      <w:pPr>
        <w:spacing w:after="0" w:line="139"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Macau government has adopted Law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2"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6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5% of gross gaming revenue (Wynn Macau must pay 4% under its concession agreement) for the promotion of public interests, infrastructure and tourism. Concessionaires also are obligated to withhold, subject to partial exemption, a 5% tax from commissions paid to junket representatives. A junket representative is a person who, for the purpose of promoting casino gaming activity, arranges customer</w:t>
      </w:r>
    </w:p>
    <w:p>
      <w:pPr>
        <w:sectPr>
          <w:pgSz w:w="11900" w:h="16838" w:orient="portrait"/>
          <w:cols w:equalWidth="0" w:num="1">
            <w:col w:w="11420"/>
          </w:cols>
          <w:pgMar w:left="240" w:top="131" w:right="239" w:bottom="47"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7"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color w:val="auto"/>
        </w:rPr>
        <w:t>transportation, accommodations, food and beverage services and entertainment in exchange for commissions or other compensation from a concessionaire.</w:t>
      </w:r>
    </w:p>
    <w:p>
      <w:pPr>
        <w:spacing w:after="0" w:line="24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Junket representatives must be licensed by the Macau government in order to do business with and receive compensation from concessionaires. For a license to issue,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97"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5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With respect to Wynn Macau's concession, the government of Macau's right to redeem the concession begins fifteen years from the date of the concession agreement and entitles Wynn Macau to certain compensation. The government of Macau also may terminate a concession for cause, including, without limitation, failure of the concessionaire to fulfill its obligations under law or the concession contract, abandonment or suspension of operations or failure to pay taxes and other monetary obligations to the government of Macau, in which case no compensation is due to the concessionaire. In addition, the government of Macau may, in the public interest, unilaterally terminate the concession at any time, in which case the concessionaire is entitled to reasonable compensation.</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many of the laws and regulations summarized above have not yet been applied by the government of Macau to an operating concessionaire. Therefore, the effectiveness, reasonableness and fairness of the regulatory system cannot be assessed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consummation of this offering, Wynn Resorts' directors and executive officers and their ages and positions will be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President—Chief Financial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Senior Vice President—General Counsel and Secretary</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3"/>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w:t>
            </w:r>
          </w:p>
        </w:tc>
      </w:tr>
      <w:tr>
        <w:trPr>
          <w:trHeight w:val="20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 Todd Nisbet</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35</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3"/>
              </w:rPr>
              <w:t>Executive Vice President—Project Director, Wynn Design &amp;</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-2413635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-2413635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-2413635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-2413635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-2413635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-2413635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the Board and Chief Executive Officer since June 2002. From April 2000 to September 2002, Mr. Wynn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member of Valvino, our wholly owned subsidiary.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served as Vice Chairman of the Board since October 2002. Mr. Okada founded Aruze Corp., a Japanese manufacturer of pachislot and</w:t>
      </w:r>
      <w:r>
        <w:rPr>
          <w:rFonts w:ascii="Arial" w:cs="Arial" w:eastAsia="Arial" w:hAnsi="Arial"/>
          <w:sz w:val="16"/>
          <w:szCs w:val="16"/>
          <w:i w:val="1"/>
          <w:iCs w:val="1"/>
          <w:color w:val="auto"/>
        </w:rPr>
        <w:t xml:space="preserve"> </w:t>
      </w:r>
      <w:r>
        <w:rPr>
          <w:rFonts w:ascii="Arial" w:cs="Arial" w:eastAsia="Arial" w:hAnsi="Arial"/>
          <w:sz w:val="16"/>
          <w:szCs w:val="16"/>
          <w:color w:val="auto"/>
        </w:rPr>
        <w:t>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ectPr>
          <w:pgSz w:w="11900" w:h="16838" w:orient="portrait"/>
          <w:cols w:equalWidth="0" w:num="1">
            <w:col w:w="11400"/>
          </w:cols>
          <w:pgMar w:left="240" w:top="590" w:right="259" w:bottom="0" w:gutter="0" w:footer="0" w:header="0"/>
        </w:sectPr>
      </w:pPr>
    </w:p>
    <w:bookmarkStart w:id="70" w:name="page71"/>
    <w:bookmarkEnd w:id="70"/>
    <w:p>
      <w:pPr>
        <w:spacing w:after="0" w:line="9"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i w:val="1"/>
          <w:iCs w:val="1"/>
          <w:color w:val="auto"/>
        </w:rPr>
        <w:t xml:space="preserve">Ronald J. Kramer </w:t>
      </w:r>
      <w:r>
        <w:rPr>
          <w:rFonts w:ascii="Arial" w:cs="Arial" w:eastAsia="Arial" w:hAnsi="Arial"/>
          <w:sz w:val="16"/>
          <w:szCs w:val="16"/>
          <w:color w:val="auto"/>
        </w:rPr>
        <w:t>has served as President and as a director since October 2002. Mr. Kramer has served as President of Wynn Resorts Holdings, a wholly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indirect subsidiary of Wynn Resorts, since April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Robert J. Miller </w:t>
      </w:r>
      <w:r>
        <w:rPr>
          <w:rFonts w:ascii="Arial" w:cs="Arial" w:eastAsia="Arial" w:hAnsi="Arial"/>
          <w:sz w:val="16"/>
          <w:szCs w:val="16"/>
          <w:color w:val="auto"/>
        </w:rPr>
        <w:t>has served as a director since October 2002. Robert J. Miller has been a partner of the Nevada law firm of Jones Vargas since January 1999.</w:t>
      </w:r>
      <w:r>
        <w:rPr>
          <w:rFonts w:ascii="Arial" w:cs="Arial" w:eastAsia="Arial" w:hAnsi="Arial"/>
          <w:sz w:val="16"/>
          <w:szCs w:val="16"/>
          <w:i w:val="1"/>
          <w:iCs w:val="1"/>
          <w:color w:val="auto"/>
        </w:rPr>
        <w:t xml:space="preserve"> </w:t>
      </w:r>
      <w:r>
        <w:rPr>
          <w:rFonts w:ascii="Arial" w:cs="Arial" w:eastAsia="Arial" w:hAnsi="Arial"/>
          <w:sz w:val="16"/>
          <w:szCs w:val="16"/>
          <w:color w:val="auto"/>
        </w:rPr>
        <w:t>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70"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John A. Moran </w:t>
      </w:r>
      <w:r>
        <w:rPr>
          <w:rFonts w:ascii="Arial" w:cs="Arial" w:eastAsia="Arial" w:hAnsi="Arial"/>
          <w:sz w:val="18"/>
          <w:szCs w:val="18"/>
          <w:color w:val="auto"/>
        </w:rPr>
        <w:t>has served as a director since October 2002. Mr. Moran is the retired Chairman of Dyson-Kissner-Moran Corporation, a private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served as a director since October 2002. Mrs. Wynn has served as Co-Chairperson of the Greater Las Vegas Inner-City Games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Stanley R. Zax </w:t>
      </w:r>
      <w:r>
        <w:rPr>
          <w:rFonts w:ascii="Arial" w:cs="Arial" w:eastAsia="Arial" w:hAnsi="Arial"/>
          <w:sz w:val="18"/>
          <w:szCs w:val="18"/>
          <w:color w:val="auto"/>
        </w:rPr>
        <w:t>has served as a director since October 2002. Since 1977, Mr. Zax has served as Chairman of the Board, and, since 1978,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served as a director since October 2002. Mr. Zeman has served as chairman of Lan Kwai Fong Holdings Limited, a company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Since April 2001, Mr. Schorr has served as Chief Operating Officer of Wynn Resorts Holdings.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John Strzemp </w:t>
      </w:r>
      <w:r>
        <w:rPr>
          <w:rFonts w:ascii="Arial" w:cs="Arial" w:eastAsia="Arial" w:hAnsi="Arial"/>
          <w:sz w:val="18"/>
          <w:szCs w:val="18"/>
          <w:color w:val="auto"/>
        </w:rPr>
        <w:t>serves as Executive Vice President—Chief Financial Officer. Since November 2001, Mr. Strzemp has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Marc H. Rubinstein </w:t>
      </w:r>
      <w:r>
        <w:rPr>
          <w:rFonts w:ascii="Arial" w:cs="Arial" w:eastAsia="Arial" w:hAnsi="Arial"/>
          <w:sz w:val="16"/>
          <w:szCs w:val="16"/>
          <w:color w:val="auto"/>
        </w:rPr>
        <w:t>serves as Senior Vice President—General Counsel. Since April 2001, Mr. Rubinstein has served as Senior Vice President—General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of the Sheraton Desert Inn Corporation, a gaming company that did business as The Desert Inn, and then a wholly owned subsidiary of ITT Sheraton Corp. and Starwood Hotels &amp; Resorts Worldwide, Inc.</w:t>
      </w:r>
    </w:p>
    <w:p>
      <w:pPr>
        <w:spacing w:after="0" w:line="17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Mr. Maddox has served as Vice President—Investor Relations and Treasurer of</w:t>
      </w:r>
      <w:r>
        <w:rPr>
          <w:rFonts w:ascii="Arial" w:cs="Arial" w:eastAsia="Arial" w:hAnsi="Arial"/>
          <w:sz w:val="18"/>
          <w:szCs w:val="18"/>
          <w:i w:val="1"/>
          <w:iCs w:val="1"/>
          <w:color w:val="auto"/>
        </w:rPr>
        <w:t xml:space="preserve"> </w:t>
      </w:r>
      <w:r>
        <w:rPr>
          <w:rFonts w:ascii="Arial" w:cs="Arial" w:eastAsia="Arial" w:hAnsi="Arial"/>
          <w:sz w:val="18"/>
          <w:szCs w:val="18"/>
          <w:color w:val="auto"/>
        </w:rPr>
        <w:t>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indirect subsidiary of Wynn Resorts since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1973 until 2000, he served as Vice President—Design and Construction and Secretary of Mirage Resorts, except for the periods August 1993 through July 1994 and March 1997 through June 1999.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i w:val="1"/>
          <w:iCs w:val="1"/>
          <w:color w:val="auto"/>
        </w:rPr>
        <w:t xml:space="preserve">W. Todd Nisbet </w:t>
      </w:r>
      <w:r>
        <w:rPr>
          <w:rFonts w:ascii="Arial" w:cs="Arial" w:eastAsia="Arial" w:hAnsi="Arial"/>
          <w:sz w:val="18"/>
          <w:szCs w:val="18"/>
          <w:color w:val="auto"/>
        </w:rPr>
        <w:t>has served as Executive Vice President—Project Director of Wynn Design &amp; Development since July 2000. From 1999 to 2000, Mr. Nisbet</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Operations of Marnell Corrao Associates, Inc., a design/build firm, and from 1995 to 1999, Mr. Nisbet was Senior Project Manager of Marnell Corrao.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ectPr>
          <w:pgSz w:w="11900" w:h="16847" w:orient="portrait"/>
          <w:cols w:equalWidth="0" w:num="1">
            <w:col w:w="11380"/>
          </w:cols>
          <w:pgMar w:left="240" w:top="131" w:right="279" w:bottom="0" w:gutter="0" w:footer="0" w:header="0"/>
        </w:sectPr>
      </w:pPr>
    </w:p>
    <w:bookmarkStart w:id="71" w:name="page72"/>
    <w:bookmarkEnd w:id="71"/>
    <w:p>
      <w:pPr>
        <w:ind w:right="20"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articles of incorporation and bylaws provide for a classified board of directors consisting of three classes of directors, each serving staggered three-year terms. As a result, a portion of our board of directors will be elected each year. To implement the classified board of directors structure, prior to the completion of this offering, three of the members of the board of directors will be Class I directors elected to one-year terms, two will be Class II directors elected to two-year terms and three will be Class III directors elected to three-year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terms. Thereafter, directors will be elected for three-year terms. Upon the completion of this offering, Class I will consist of Elaine P. Wynn, Ronald J. Kramer and John A. Moran; Class II will consist of Stephen A. Wynn and Stanley R. Zax; and Class III will consist of Robert J. Miller, Allan Zeman and Kazuo Okada.</w:t>
      </w:r>
    </w:p>
    <w:p>
      <w:pPr>
        <w:spacing w:after="0" w:line="13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Upon completion of this offering, our board of directors intends to appoint an executive committee, an audit committee and a compensation committee. The composition of the board committees will comply with the requirements of The Nasdaq National Market and the Sarbanes-Oxley Act of 2002.</w:t>
      </w:r>
    </w:p>
    <w:p>
      <w:pPr>
        <w:spacing w:after="0" w:line="139"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executive committee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audit committee will select, on behalf of our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We expect that the audit committee will be comprised of three independent directors.</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(1) the annual salaries and other compensation of our officers and (2) individual stock and stock option grants. The compensation committee also will provide assistance and recommendations with respect to our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7"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color w:val="auto"/>
        </w:rPr>
        <w:t>Each non-employee director will receive stock options each year under our 2002 stock incentive plan in an amount to be determined. The stock options will have an exercise price equal to the market value of Wynn Resorts' common stock on the date of grant and will vest over a period defined in the option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Annual Compensation</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Annual</w:t>
            </w:r>
          </w:p>
        </w:tc>
        <w:tc>
          <w:tcPr>
            <w:tcW w:w="300" w:type="dxa"/>
            <w:vAlign w:val="bottom"/>
          </w:tcPr>
          <w:p>
            <w:pPr>
              <w:spacing w:after="0"/>
              <w:rPr>
                <w:sz w:val="20"/>
                <w:szCs w:val="20"/>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5"/>
                <w:szCs w:val="15"/>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ind w:left="980"/>
              <w:spacing w:after="0" w:line="138" w:lineRule="exact"/>
              <w:rPr>
                <w:sz w:val="20"/>
                <w:szCs w:val="20"/>
                <w:color w:val="auto"/>
              </w:rPr>
            </w:pPr>
            <w:r>
              <w:rPr>
                <w:rFonts w:ascii="Arial" w:cs="Arial" w:eastAsia="Arial" w:hAnsi="Arial"/>
                <w:sz w:val="14"/>
                <w:szCs w:val="14"/>
                <w:color w:val="auto"/>
                <w:w w:val="88"/>
              </w:rPr>
              <w:t>71,190(3)(4)</w:t>
            </w:r>
          </w:p>
        </w:tc>
        <w:tc>
          <w:tcPr>
            <w:tcW w:w="30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5"/>
              </w:rPr>
              <w:t>Chief Executive Officer and President of Wynn Resorts Holdings</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000"/>
              <w:spacing w:after="0" w:line="159" w:lineRule="exact"/>
              <w:rPr>
                <w:sz w:val="20"/>
                <w:szCs w:val="20"/>
                <w:color w:val="auto"/>
              </w:rPr>
            </w:pPr>
            <w:r>
              <w:rPr>
                <w:rFonts w:ascii="Arial" w:cs="Arial" w:eastAsia="Arial" w:hAnsi="Arial"/>
                <w:sz w:val="14"/>
                <w:szCs w:val="14"/>
                <w:color w:val="auto"/>
                <w:w w:val="85"/>
              </w:rPr>
              <w:t>31,511(3)(4)</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2"/>
          </w:tcPr>
          <w:p>
            <w:pPr>
              <w:spacing w:after="0"/>
              <w:rPr>
                <w:sz w:val="20"/>
                <w:szCs w:val="20"/>
                <w:color w:val="auto"/>
              </w:rPr>
            </w:pPr>
            <w:r>
              <w:rPr>
                <w:rFonts w:ascii="Arial" w:cs="Arial" w:eastAsia="Arial" w:hAnsi="Arial"/>
                <w:sz w:val="14"/>
                <w:szCs w:val="14"/>
                <w:color w:val="auto"/>
              </w:rPr>
              <w:t>Marc D. Schorr(5)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40" w:type="dxa"/>
            <w:vAlign w:val="bottom"/>
            <w:gridSpan w:val="2"/>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gridSpan w:val="2"/>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Kenneth R. Wynn(6)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2"/>
          </w:tcPr>
          <w:p>
            <w:pPr>
              <w:spacing w:after="0"/>
              <w:rPr>
                <w:sz w:val="20"/>
                <w:szCs w:val="20"/>
                <w:color w:val="auto"/>
              </w:rPr>
            </w:pPr>
            <w:r>
              <w:rPr>
                <w:rFonts w:ascii="Arial" w:cs="Arial" w:eastAsia="Arial" w:hAnsi="Arial"/>
                <w:sz w:val="14"/>
                <w:szCs w:val="14"/>
                <w:color w:val="auto"/>
              </w:rPr>
              <w:t>John Strzemp(7)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300,530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14,963</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w w:val="88"/>
              </w:rPr>
              <w:t>Executive Vice President and Chief Financial Officer of Wynn Resorts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65,769</w:t>
            </w: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3840" w:type="dxa"/>
            <w:vAlign w:val="bottom"/>
            <w:gridSpan w:val="2"/>
          </w:tcPr>
          <w:p>
            <w:pPr>
              <w:spacing w:after="0" w:line="159" w:lineRule="exact"/>
              <w:rPr>
                <w:sz w:val="20"/>
                <w:szCs w:val="20"/>
                <w:color w:val="auto"/>
              </w:rPr>
            </w:pPr>
            <w:r>
              <w:rPr>
                <w:rFonts w:ascii="Arial" w:cs="Arial" w:eastAsia="Arial" w:hAnsi="Arial"/>
                <w:sz w:val="14"/>
                <w:szCs w:val="14"/>
                <w:color w:val="auto"/>
              </w:rPr>
              <w:t>Holdings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DeRuyter O. Butler(8)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President—Architecture of Wynn Design &amp;</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197,885</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-1932940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-1932940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-1590040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-1590040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-1590040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-1590040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-1590040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-1590040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-1590040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-1590040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-1590040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-1590040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-1590040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Arial" w:cs="Arial" w:eastAsia="Arial" w:hAnsi="Arial"/>
                <w:sz w:val="14"/>
                <w:szCs w:val="14"/>
                <w:color w:val="auto"/>
              </w:rPr>
              <w:t>Marc H. Rubinstein(9)</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2001</w:t>
            </w:r>
          </w:p>
        </w:tc>
        <w:tc>
          <w:tcPr>
            <w:tcW w:w="4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286,279</w:t>
            </w:r>
          </w:p>
        </w:tc>
        <w:tc>
          <w:tcPr>
            <w:tcW w:w="460" w:type="dxa"/>
            <w:vAlign w:val="bottom"/>
          </w:tcPr>
          <w:p>
            <w:pPr>
              <w:spacing w:after="0"/>
              <w:rPr>
                <w:sz w:val="14"/>
                <w:szCs w:val="14"/>
                <w:color w:val="auto"/>
              </w:rPr>
            </w:pPr>
          </w:p>
        </w:tc>
        <w:tc>
          <w:tcPr>
            <w:tcW w:w="1640" w:type="dxa"/>
            <w:vAlign w:val="bottom"/>
          </w:tcPr>
          <w:p>
            <w:pPr>
              <w:jc w:val="right"/>
              <w:ind w:right="892"/>
              <w:spacing w:after="0"/>
              <w:rPr>
                <w:sz w:val="20"/>
                <w:szCs w:val="20"/>
                <w:color w:val="auto"/>
              </w:rPr>
            </w:pPr>
            <w:r>
              <w:rPr>
                <w:rFonts w:ascii="Arial" w:cs="Arial" w:eastAsia="Arial" w:hAnsi="Arial"/>
                <w:sz w:val="14"/>
                <w:szCs w:val="14"/>
                <w:color w:val="auto"/>
              </w:rPr>
              <w:t>—</w:t>
            </w:r>
          </w:p>
        </w:tc>
        <w:tc>
          <w:tcPr>
            <w:tcW w:w="1220" w:type="dxa"/>
            <w:vAlign w:val="bottom"/>
          </w:tcPr>
          <w:p>
            <w:pPr>
              <w:ind w:left="9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2"/>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11,847</w:t>
            </w: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w w:val="91"/>
              </w:rPr>
              <w:t>Senior Vice President and General Counsel of Wynn Resorts Holdings</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2000</w:t>
            </w:r>
          </w:p>
        </w:tc>
        <w:tc>
          <w:tcPr>
            <w:tcW w:w="48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113,708</w:t>
            </w:r>
          </w:p>
        </w:tc>
        <w:tc>
          <w:tcPr>
            <w:tcW w:w="46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92"/>
              <w:spacing w:after="0"/>
              <w:rPr>
                <w:sz w:val="20"/>
                <w:szCs w:val="20"/>
                <w:color w:val="auto"/>
              </w:rPr>
            </w:pPr>
            <w:r>
              <w:rPr>
                <w:rFonts w:ascii="Arial" w:cs="Arial" w:eastAsia="Arial" w:hAnsi="Arial"/>
                <w:sz w:val="14"/>
                <w:szCs w:val="14"/>
                <w:color w:val="auto"/>
              </w:rPr>
              <w:t>12,500</w:t>
            </w:r>
          </w:p>
        </w:tc>
        <w:tc>
          <w:tcPr>
            <w:tcW w:w="1220" w:type="dxa"/>
            <w:vAlign w:val="bottom"/>
          </w:tcPr>
          <w:p>
            <w:pPr>
              <w:ind w:left="9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11,883</w:t>
            </w:r>
          </w:p>
        </w:tc>
      </w:tr>
      <w:tr>
        <w:trPr>
          <w:trHeight w:val="105"/>
        </w:trPr>
        <w:tc>
          <w:tcPr>
            <w:tcW w:w="680" w:type="dxa"/>
            <w:vAlign w:val="bottom"/>
            <w:tcBorders>
              <w:bottom w:val="single" w:sz="8" w:color="808080"/>
            </w:tcBorders>
          </w:tcPr>
          <w:p>
            <w:pPr>
              <w:spacing w:after="0"/>
              <w:rPr>
                <w:sz w:val="9"/>
                <w:szCs w:val="9"/>
                <w:color w:val="auto"/>
              </w:rPr>
            </w:pPr>
          </w:p>
        </w:tc>
        <w:tc>
          <w:tcPr>
            <w:tcW w:w="3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87"/>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Stephen A. Wynn served as managing member of Valvino from its inception to September 2002 and has served as Chief Executive Officer and President of Wynn Resorts Holdings since April 1, 2001.</w:t>
      </w: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Represents (i) salary of a driver whom we employ for Stephen A. Wynn's business and personal use and (ii) accounting services.</w:t>
      </w:r>
    </w:p>
    <w:p>
      <w:pPr>
        <w:jc w:val="both"/>
        <w:ind w:left="540" w:right="120" w:hanging="532"/>
        <w:spacing w:after="0" w:line="183" w:lineRule="auto"/>
        <w:tabs>
          <w:tab w:leader="none" w:pos="540" w:val="left"/>
        </w:tabs>
        <w:numPr>
          <w:ilvl w:val="0"/>
          <w:numId w:val="87"/>
        </w:numPr>
        <w:rPr>
          <w:rFonts w:ascii="Arial" w:cs="Arial" w:eastAsia="Arial" w:hAnsi="Arial"/>
          <w:sz w:val="22"/>
          <w:szCs w:val="22"/>
          <w:color w:val="auto"/>
          <w:vertAlign w:val="subscript"/>
        </w:rPr>
      </w:pPr>
      <w:r>
        <w:rPr>
          <w:rFonts w:ascii="Arial" w:cs="Arial" w:eastAsia="Arial" w:hAnsi="Arial"/>
          <w:sz w:val="12"/>
          <w:szCs w:val="12"/>
          <w:color w:val="auto"/>
        </w:rPr>
        <w:t>Stephen A. Wynn was the designated user of a country club membership that was owned by Valvino. Mr. Wynn paid all membership and other fees associated with his use of the membership. Valvino purchased the membership in 2000 at a cost of approximately $133,400. We did not incur any additional costs with respect to the club membership and, therefore, no compensation with respect to the membership is reflected herein.</w:t>
      </w:r>
    </w:p>
    <w:p>
      <w:pPr>
        <w:spacing w:after="0" w:line="1" w:lineRule="exact"/>
        <w:rPr>
          <w:rFonts w:ascii="Arial" w:cs="Arial" w:eastAsia="Arial" w:hAnsi="Arial"/>
          <w:sz w:val="22"/>
          <w:szCs w:val="22"/>
          <w:color w:val="auto"/>
          <w:vertAlign w:val="subscript"/>
        </w:rPr>
      </w:pP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87" w:lineRule="auto"/>
        <w:tabs>
          <w:tab w:leader="none" w:pos="540" w:val="left"/>
        </w:tabs>
        <w:numPr>
          <w:ilvl w:val="0"/>
          <w:numId w:val="87"/>
        </w:numPr>
        <w:rPr>
          <w:rFonts w:ascii="Arial" w:cs="Arial" w:eastAsia="Arial" w:hAnsi="Arial"/>
          <w:sz w:val="12"/>
          <w:szCs w:val="12"/>
          <w:color w:val="auto"/>
          <w:vertAlign w:val="subscript"/>
        </w:rPr>
      </w:pPr>
      <w:r>
        <w:rPr>
          <w:rFonts w:ascii="Arial" w:cs="Arial" w:eastAsia="Arial" w:hAnsi="Arial"/>
          <w:sz w:val="8"/>
          <w:szCs w:val="8"/>
          <w:color w:val="auto"/>
        </w:rPr>
        <w:t>Mr. Strzemp was employed by Valvino from November 1, 2000 until his employment with Wynn Resorts Holdings commenced on April 1, 2001.</w:t>
      </w:r>
    </w:p>
    <w:p>
      <w:pPr>
        <w:ind w:left="540" w:hanging="532"/>
        <w:spacing w:after="0" w:line="197" w:lineRule="auto"/>
        <w:tabs>
          <w:tab w:leader="none" w:pos="540" w:val="left"/>
        </w:tabs>
        <w:numPr>
          <w:ilvl w:val="0"/>
          <w:numId w:val="87"/>
        </w:numPr>
        <w:rPr>
          <w:rFonts w:ascii="Arial" w:cs="Arial" w:eastAsia="Arial" w:hAnsi="Arial"/>
          <w:sz w:val="10"/>
          <w:szCs w:val="10"/>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87"/>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adopted our 2002 stock incentive plan. The 2002 stock incentive plan provides for the grant of stock awards, incentive stock options and non-qualified stock options to our employees, directors and specified consultants. We intend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 Owners of more than 5% of Wynn Resorts' outstanding stock will not receive grants of restricted stock or stock options under the plan.</w:t>
      </w:r>
    </w:p>
    <w:p>
      <w:pPr>
        <w:spacing w:after="0" w:line="170"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Our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1" w:lineRule="exact"/>
        <w:rPr>
          <w:sz w:val="20"/>
          <w:szCs w:val="20"/>
          <w:color w:val="auto"/>
        </w:rPr>
      </w:pPr>
    </w:p>
    <w:p>
      <w:pPr>
        <w:ind w:right="220" w:firstLine="8"/>
        <w:spacing w:after="0" w:line="261" w:lineRule="auto"/>
        <w:tabs>
          <w:tab w:leader="none" w:pos="2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pacing w:after="0" w:line="192"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certain events occur that result in a change of our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have the authority to amend, alter, suspend or terminate the 2002 stock incentive plan without stockholder approval provided that our doing so does not impair the rights of any optionee or increase the number of shares for which options and stock awards may be granted. We may amend the plan with stockholder approval to increase the number of shares for which options and stock awards may be granted.</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Following the completion of this offering, we intend to grant awards of 189,723 shares of restricted stock under our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70"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w:t>
      </w:r>
    </w:p>
    <w:p>
      <w:pPr>
        <w:sectPr>
          <w:pgSz w:w="11900" w:h="16838" w:orient="portrait"/>
          <w:cols w:equalWidth="0" w:num="1">
            <w:col w:w="11420"/>
          </w:cols>
          <w:pgMar w:left="240" w:top="265" w:right="239" w:bottom="0" w:gutter="0" w:footer="0" w:header="0"/>
        </w:sectPr>
      </w:pPr>
    </w:p>
    <w:bookmarkStart w:id="73" w:name="page74"/>
    <w:bookmarkEnd w:id="73"/>
    <w:p>
      <w:pPr>
        <w:spacing w:after="0" w:line="14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entered into employment agreements with Stephen A. Wynn, John Strzemp, Marc D. Schorr, Marc H. Rubinstein, DeRuyter O. Butler and Kenneth R. Wynn.</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Under Stephen A. Wynn's employment agreement, the annual base salary is $1,250,000 for the first year and will increase by $500,000 each year to a maximum of $2,750,000. Under Mr. Schorr's employment agreement, the annual base salary is $750,000 for the first year and $1,000,000 thereafter. The annual base salary is $459,000 for Mr. Strzemp, $360,000 for Mr. Rubinstein, $350,000 for Mr. Butler and $250,000 for Kenneth Wynn.</w:t>
      </w:r>
    </w:p>
    <w:p>
      <w:pPr>
        <w:spacing w:after="0" w:line="16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other terms of the employment contracts are substantially similar for each executive, except as noted below. Each executive will receive a bonus and is eligible for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per year. The term of each employment contract will begin on the effective date of this offering and end five years later, except that the term of Mr. Strzemp's employment contract will end on October 31, 2004, Kenneth Wynn's employment contract will end on May 31, 2005 and Mr. Butler's employment contract will end on May 31, 2006. If this offering does not close on or before April 1, 2003, the employment contracts will become null and void. In addition to base salary and bonuses, each executive will participate in all of our employee benefit plans that cover executives, to the extent that the executive is otherwise eligible, will receive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reimbursement for reasonable business expenses (including entertainment, promotional, gift and travel expenses and club memberships) and will be entitled to four weeks paid vacation each year. In addition, we will provide the use of a company car and driver at our sole cost and expense to Stephen A. Wynn. In addition, Stephen A. Wynn, Mr. Schorr and Kenneth Wynn will enter into time-sharing agreements with us covering their personal use of our aircraft, with each such executive paying us the lesser of (1) his and his family's share of the direct costs incurred by us in operating the aircraft or (2) the amount required by applicable federal aviation regulations.</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we terminate the employment of an executive without "cause," or the executive terminates his employment with us upon "good reason" following a "change of control" (as these terms are defined in the employment contracts), we will pay the executive a "separation 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and except in the case of Mr. Wynn, in which case the lump sum shall be three times such amount, (b) the bonus that the executive received for the preceding bonus period projected over the remainder of the term, except in the case of Kenneth Wynn and Messrs. Butler and Rubinstein, in which case, the bonus shall be such person's bonus for one year, and except in the case of Mr. Wynn, in which case the lump sum shall be three times such amount, (c) any accrued but unpaid vacation pay and (d) an amount necessary to gross the executive up for any golden parachute excise tax the executive incurs under Internal Revenue Code Section 4999. If the executive is entitled to receive the separation payment, he will also be entitled to continue participating in our health benefits coverage for the period for which the separation payment is payable on the same basis as if he were still employed by us. Except as provided below, if the executive's employment terminates for any other reason before the expiration of the term (i.e., because of the executive's death, disability, discharge for cause or revocation of gaming license), we will be required to pay the executive only accrued but unpaid base salary and vacation pay through his termination date. If Mr. Wynn's employment agreement is terminated as a result of death, complete disability or denial or revocation of Mr. Wynn's gaming license, then we will pay Mr. Wynn a separation payment equal to his base salary for the remainder of the term of the employment contract, but not less than one year, and the bonus that Mr. Wynn received for the preceding bonus period projected over the remainder of the term, but not less than the preceding bonus that was paid, projected over one year.</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Resorts Holdings and its affiliates for the one year of his employment.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w:t>
      </w:r>
    </w:p>
    <w:p>
      <w:pPr>
        <w:sectPr>
          <w:pgSz w:w="11900" w:h="16979" w:orient="portrait"/>
          <w:cols w:equalWidth="0" w:num="1">
            <w:col w:w="11400"/>
          </w:cols>
          <w:pgMar w:left="240" w:top="131" w:right="259" w:bottom="0" w:gutter="0" w:footer="0" w:header="0"/>
        </w:sectPr>
      </w:pPr>
    </w:p>
    <w:bookmarkStart w:id="74" w:name="page75"/>
    <w:bookmarkEnd w:id="74"/>
    <w:p>
      <w:pPr>
        <w:spacing w:after="0" w:line="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7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9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obtained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w:t>
      </w:r>
    </w:p>
    <w:p>
      <w:pPr>
        <w:sectPr>
          <w:pgSz w:w="11900" w:h="16924" w:orient="portrait"/>
          <w:cols w:equalWidth="0" w:num="1">
            <w:col w:w="11420"/>
          </w:cols>
          <w:pgMar w:left="240" w:top="131" w:right="239" w:bottom="0" w:gutter="0" w:footer="0" w:header="0"/>
        </w:sectPr>
      </w:pPr>
    </w:p>
    <w:bookmarkStart w:id="75" w:name="page76"/>
    <w:bookmarkEnd w:id="75"/>
    <w:p>
      <w:pPr>
        <w:spacing w:after="0" w:line="268" w:lineRule="auto"/>
        <w:rPr>
          <w:sz w:val="20"/>
          <w:szCs w:val="20"/>
          <w:color w:val="auto"/>
        </w:rPr>
      </w:pPr>
      <w:r>
        <w:rPr>
          <w:rFonts w:ascii="Arial" w:cs="Arial" w:eastAsia="Arial" w:hAnsi="Arial"/>
          <w:sz w:val="18"/>
          <w:szCs w:val="18"/>
          <w:color w:val="auto"/>
        </w:rPr>
        <w:t>Aruze USA, before transferring his or its shares to any person other than a permitted transferee, must first allow the other parties to the agreement to participate in such transfer on the same terms and conditions.</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 parties to the agreement have the option to purchase the shares of Wynn Resorts' common stock held by the party undergoing the change in control. Under the agreement, a stockholder may assign these options to Wynn Resorts.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Wynn Resorts intends to grant Mr. Wynn certain demand registration rights and piggyback registration rights with respect to any shares he purchases from Aruze USA under these buy-out arrangements. The prior buy-out arrangements under the Valvino operating agreement and under the stockholders agreement between Mr. Wynn, Aruze USA and Baron Asset Fund were terminated upon the effectiveness of the new agreement.</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indirect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Le 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80" w:firstLine="345"/>
        <w:spacing w:after="0" w:line="294" w:lineRule="auto"/>
        <w:rPr>
          <w:sz w:val="20"/>
          <w:szCs w:val="20"/>
          <w:color w:val="auto"/>
        </w:rPr>
      </w:pPr>
      <w:r>
        <w:rPr>
          <w:rFonts w:ascii="Arial" w:cs="Arial" w:eastAsia="Arial" w:hAnsi="Arial"/>
          <w:sz w:val="16"/>
          <w:szCs w:val="16"/>
          <w:b w:val="1"/>
          <w:bCs w:val="1"/>
          <w:i w:val="1"/>
          <w:iCs w:val="1"/>
          <w:color w:val="auto"/>
        </w:rPr>
        <w:t xml:space="preserve">Art Gallery. </w:t>
      </w:r>
      <w:r>
        <w:rPr>
          <w:rFonts w:ascii="Arial" w:cs="Arial" w:eastAsia="Arial" w:hAnsi="Arial"/>
          <w:sz w:val="16"/>
          <w:szCs w:val="16"/>
          <w:color w:val="auto"/>
        </w:rPr>
        <w:t>We operate an art gallery at the former premises of the Desert Inn Resort &amp; Casino in which we display paintings from The Wynn Collection.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 collection while we exhibited it, which insurance costs for the eight months ended June 30, 2002 were approximately $55,000. In addition, we were obligated to make monthly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payments for the art at a rate equal to the gross revenue 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42"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 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amended and restated agreement, subject to certain notice restrictions, Mr. and Mrs. Wynn have the right to remove or replace any or all of the works of art that will be displayed in the art gallery.</w:t>
      </w:r>
    </w:p>
    <w:p>
      <w:pPr>
        <w:spacing w:after="0" w:line="16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September 18, 2002, we and Mr. and Mrs. Wynn entered into a second amended and restated art rental and licensing agreement to permit us to continue to lease The Wynn Collection as an attraction at Le Rêve under the same terms as the previous agreement.</w:t>
      </w:r>
    </w:p>
    <w:p>
      <w:pPr>
        <w:spacing w:after="0" w:line="186" w:lineRule="exact"/>
        <w:rPr>
          <w:sz w:val="20"/>
          <w:szCs w:val="20"/>
          <w:color w:val="auto"/>
        </w:rPr>
      </w:pPr>
    </w:p>
    <w:p>
      <w:pPr>
        <w:ind w:right="20" w:firstLine="345"/>
        <w:spacing w:after="0" w:line="309" w:lineRule="auto"/>
        <w:rPr>
          <w:sz w:val="20"/>
          <w:szCs w:val="20"/>
          <w:color w:val="auto"/>
        </w:rPr>
      </w:pPr>
      <w:r>
        <w:rPr>
          <w:rFonts w:ascii="Arial" w:cs="Arial" w:eastAsia="Arial" w:hAnsi="Arial"/>
          <w:sz w:val="15"/>
          <w:szCs w:val="15"/>
          <w:b w:val="1"/>
          <w:bCs w:val="1"/>
          <w:i w:val="1"/>
          <w:iCs w:val="1"/>
          <w:color w:val="auto"/>
        </w:rPr>
        <w:t xml:space="preserve">Aircraft Arrangements. </w:t>
      </w:r>
      <w:r>
        <w:rPr>
          <w:rFonts w:ascii="Arial" w:cs="Arial" w:eastAsia="Arial" w:hAnsi="Arial"/>
          <w:sz w:val="15"/>
          <w:szCs w:val="15"/>
          <w:color w:val="auto"/>
        </w:rPr>
        <w:t>Until January 2002, Valvino used a Gulfstream Aerospace model G-1159A aircraft in its business operations. The aircraft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w:t>
      </w:r>
    </w:p>
    <w:p>
      <w:pPr>
        <w:sectPr>
          <w:pgSz w:w="11900" w:h="16838" w:orient="portrait"/>
          <w:cols w:equalWidth="0" w:num="1">
            <w:col w:w="11400"/>
          </w:cols>
          <w:pgMar w:left="240" w:top="131" w:right="259" w:bottom="0" w:gutter="0" w:footer="0" w:header="0"/>
        </w:sectPr>
      </w:pPr>
    </w:p>
    <w:bookmarkStart w:id="76" w:name="page77"/>
    <w:bookmarkEnd w:id="76"/>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From January 2002 until May 30, 2002, Valvino used a Bombardier Global Express aircraft, serial number 9065, in its business operations. The aircraft was owned by World Travel and was leased to and operated by Las Vegas Jet. Valvino paid Las Vegas Jet an hourly rate of $6,800 per hour for its use of the aircraft. Las Vegas Jet and World Travel were owned entirely by Mr. Wynn. Valvino paid Las Vegas Jet approximately $356,000 for the use of its aircraft during this period. Wynn Macau paid Las Vegas Jet approximately $211,000 for its use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aircraft during the period following the contribution by Wynn Macau to Valvino and prior to May 30, 2002.</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Tax Indemnification Agreement. </w:t>
      </w:r>
      <w:r>
        <w:rPr>
          <w:rFonts w:ascii="Arial" w:cs="Arial" w:eastAsia="Arial" w:hAnsi="Arial"/>
          <w:sz w:val="16"/>
          <w:szCs w:val="16"/>
          <w:color w:val="auto"/>
        </w:rPr>
        <w:t>Mr. Wynn, Aruze USA, Baron Asset Fund, and the Kenneth R. Wynn Family Trust, referred to collectively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Valvino members, Valvino and Wynn Resorts have entered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7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designated user of the membership and paid all membership and other fees associated with his use of the membership. In October 2002, Mr. Wynn purchased the membership from Valvino at a cost of approximately $133,400.</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Management Agreement. </w:t>
      </w:r>
      <w:r>
        <w:rPr>
          <w:rFonts w:ascii="Arial" w:cs="Arial" w:eastAsia="Arial" w:hAnsi="Arial"/>
          <w:sz w:val="16"/>
          <w:szCs w:val="16"/>
          <w:color w:val="auto"/>
        </w:rPr>
        <w:t>Wynn Resorts will enter into a management agreement with the restricted entities to provide management and consulting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Valvino and its subsidiaries. The agreement will have a ten-year term, subject to earlier termination by Wynn Las Vegas for cause or upon 60 days written notice without cause. After the opening of Le Rêve, Wynn Resorts will receive an annual management fee of up to 1.5% of consolidated net revenues of Wynn Las Vegas (generally, cash revenues). In addition, Wynn Resorts will be reimbursed for all expenses incurred on behalf of Valvino and its subsidiaries. Payment of the management fee to Wynn Resorts will be subordinated to the rights of the lenders under the credit facilities, the second mortgage note holders and the lenders under the FF&amp;E facility. Wynn Resorts will be afforded customary indemnities against liability arising in the execution of its duties.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Certain Business Relationships. </w:t>
      </w:r>
      <w:r>
        <w:rPr>
          <w:rFonts w:ascii="Arial" w:cs="Arial" w:eastAsia="Arial" w:hAnsi="Arial"/>
          <w:sz w:val="15"/>
          <w:szCs w:val="15"/>
          <w:color w:val="auto"/>
        </w:rPr>
        <w:t>From July 1999 to October 2001, Ronald J. Kramer was a managing director at Dresdner Kleinwort Wasserstein and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predecessor, Wasserstein Perella &amp; Co. Affiliates of Dresdner Kleinwort Wasserstein are acting as a co-lead managing underwriter in this offering and a joint</w:t>
      </w:r>
    </w:p>
    <w:p>
      <w:pPr>
        <w:sectPr>
          <w:pgSz w:w="11900" w:h="16962" w:orient="portrait"/>
          <w:cols w:equalWidth="0" w:num="1">
            <w:col w:w="11420"/>
          </w:cols>
          <w:pgMar w:left="240" w:top="131" w:right="239" w:bottom="0" w:gutter="0" w:footer="0" w:header="0"/>
        </w:sectPr>
      </w:pPr>
    </w:p>
    <w:bookmarkStart w:id="77" w:name="page78"/>
    <w:bookmarkEnd w:id="77"/>
    <w:p>
      <w:pPr>
        <w:ind w:right="700"/>
        <w:spacing w:after="0" w:line="268" w:lineRule="auto"/>
        <w:rPr>
          <w:sz w:val="20"/>
          <w:szCs w:val="20"/>
          <w:color w:val="auto"/>
        </w:rPr>
      </w:pPr>
      <w:r>
        <w:rPr>
          <w:rFonts w:ascii="Arial" w:cs="Arial" w:eastAsia="Arial" w:hAnsi="Arial"/>
          <w:sz w:val="18"/>
          <w:szCs w:val="18"/>
          <w:color w:val="auto"/>
        </w:rPr>
        <w:t>book-running manager in the offering of the second mortgage notes by Wynn Las Vegas and Wynn Capital. In addition, affiliates of Dresdner Kleinwort Wasserstein may participate in the credit facilities and/or FF&amp;E facility.</w:t>
      </w:r>
    </w:p>
    <w:p>
      <w:pPr>
        <w:spacing w:after="0" w:line="186"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Purchases of Common Stock. </w:t>
      </w:r>
      <w:r>
        <w:rPr>
          <w:rFonts w:ascii="Arial" w:cs="Arial" w:eastAsia="Arial" w:hAnsi="Arial"/>
          <w:sz w:val="16"/>
          <w:szCs w:val="16"/>
          <w:color w:val="auto"/>
        </w:rPr>
        <w:t>Each of Stephen A. Wynn, Chairman of the Board, Chief Executive Officer and a principal stockholder of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Aruze USA, a principal stockholder of Wynn Resorts, has expressed interest in purchasing 5,000,000 shares of common stock directly from us at the price being offered to the public. Wynn Resorts intends to offer these shares directly to Mr. Wynn and Aruze USA as part of this offering.</w:t>
      </w:r>
    </w:p>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underwriters will not receive any underwriting discounts or commissions on any shares of common stock purchased by Mr. Wynn or Aruze USA.</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On June 3, 2002, and in preparation for this offering, Wynn Resorts was incorporated in Nevada. The following table sets forth information regarding beneficial ownership of Wynn Resorts' common stock as of October 1, 2002, by:</w:t>
      </w:r>
    </w:p>
    <w:p>
      <w:pPr>
        <w:spacing w:after="0" w:line="19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 Percentage ownership is based on 40,000,000 shares of common stock outstanding as of October 1, 2002 and 68,125,000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4"/>
              </w:rPr>
              <w:t>Beneficial</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4"/>
              </w:rPr>
              <w:t>Beneficial</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97"/>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77"/>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492"/>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9"/>
              </w:rPr>
              <w:t>Before Offering</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23"/>
                <w:szCs w:val="23"/>
                <w:color w:val="auto"/>
              </w:rPr>
            </w:pPr>
          </w:p>
        </w:tc>
        <w:tc>
          <w:tcPr>
            <w:tcW w:w="156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26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23,972,299</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Kenneth R. Wynn(4)</w:t>
            </w:r>
          </w:p>
        </w:tc>
        <w:tc>
          <w:tcPr>
            <w:tcW w:w="1260" w:type="dxa"/>
            <w:vAlign w:val="bottom"/>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58,317</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 Directors and Executive Officers as a Group(5)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48,002,915</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-2387600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-2387600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-2387600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-2387600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-2139315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-2139315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-2139315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-2139315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-2139315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-2139315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-2139315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-2139315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-2139315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-2139315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93"/>
        </w:numPr>
        <w:rPr>
          <w:rFonts w:ascii="Arial" w:cs="Arial" w:eastAsia="Arial" w:hAnsi="Arial"/>
          <w:sz w:val="27"/>
          <w:szCs w:val="27"/>
          <w:color w:val="auto"/>
          <w:vertAlign w:val="subscript"/>
        </w:rPr>
      </w:pPr>
      <w:r>
        <w:rPr>
          <w:rFonts w:ascii="Arial" w:cs="Arial" w:eastAsia="Arial" w:hAnsi="Arial"/>
          <w:sz w:val="14"/>
          <w:szCs w:val="14"/>
          <w:color w:val="auto"/>
        </w:rPr>
        <w:t>less than 1%</w:t>
      </w:r>
    </w:p>
    <w:p>
      <w:pPr>
        <w:spacing w:after="0" w:line="71" w:lineRule="exact"/>
        <w:rPr>
          <w:sz w:val="20"/>
          <w:szCs w:val="20"/>
          <w:color w:val="auto"/>
        </w:rPr>
      </w:pPr>
    </w:p>
    <w:p>
      <w:pPr>
        <w:ind w:left="540" w:right="240" w:hanging="532"/>
        <w:spacing w:after="0" w:line="205" w:lineRule="auto"/>
        <w:tabs>
          <w:tab w:leader="none" w:pos="540" w:val="left"/>
        </w:tabs>
        <w:numPr>
          <w:ilvl w:val="0"/>
          <w:numId w:val="94"/>
        </w:numPr>
        <w:rPr>
          <w:rFonts w:ascii="Arial" w:cs="Arial" w:eastAsia="Arial" w:hAnsi="Arial"/>
          <w:sz w:val="26"/>
          <w:szCs w:val="26"/>
          <w:color w:val="auto"/>
          <w:vertAlign w:val="subscript"/>
        </w:rPr>
      </w:pPr>
      <w:r>
        <w:rPr>
          <w:rFonts w:ascii="Arial" w:cs="Arial" w:eastAsia="Arial" w:hAnsi="Arial"/>
          <w:sz w:val="13"/>
          <w:szCs w:val="13"/>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 Number of shares and percentage ownership after the offering include 5,000,000 shares of our common stock for which each of Mr. Wynn and Aruze USA, Inc. has expressed an interest in purchasing in this offering.</w:t>
      </w:r>
    </w:p>
    <w:p>
      <w:pPr>
        <w:spacing w:after="0" w:line="71" w:lineRule="exact"/>
        <w:rPr>
          <w:rFonts w:ascii="Arial" w:cs="Arial" w:eastAsia="Arial" w:hAnsi="Arial"/>
          <w:sz w:val="26"/>
          <w:szCs w:val="26"/>
          <w:color w:val="auto"/>
          <w:vertAlign w:val="subscript"/>
        </w:rPr>
      </w:pPr>
    </w:p>
    <w:p>
      <w:pPr>
        <w:ind w:left="540" w:right="200" w:hanging="532"/>
        <w:spacing w:after="0" w:line="186" w:lineRule="auto"/>
        <w:tabs>
          <w:tab w:leader="none" w:pos="540" w:val="left"/>
        </w:tabs>
        <w:numPr>
          <w:ilvl w:val="0"/>
          <w:numId w:val="94"/>
        </w:numPr>
        <w:rPr>
          <w:rFonts w:ascii="Arial" w:cs="Arial" w:eastAsia="Arial" w:hAnsi="Arial"/>
          <w:sz w:val="24"/>
          <w:szCs w:val="24"/>
          <w:color w:val="auto"/>
          <w:vertAlign w:val="subscript"/>
        </w:rPr>
      </w:pPr>
      <w:r>
        <w:rPr>
          <w:rFonts w:ascii="Arial" w:cs="Arial" w:eastAsia="Arial" w:hAnsi="Arial"/>
          <w:sz w:val="12"/>
          <w:szCs w:val="12"/>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is denied by Nevada gaming authorities or withdrawn or is not filled within 90 days after the filing of Wynn Resorts' application.</w:t>
      </w:r>
    </w:p>
    <w:p>
      <w:pPr>
        <w:spacing w:after="0" w:line="163" w:lineRule="exact"/>
        <w:rPr>
          <w:sz w:val="20"/>
          <w:szCs w:val="20"/>
          <w:color w:val="auto"/>
        </w:rPr>
      </w:pPr>
    </w:p>
    <w:p>
      <w:pPr>
        <w:ind w:left="540" w:right="200" w:hanging="532"/>
        <w:spacing w:after="0" w:line="186" w:lineRule="auto"/>
        <w:tabs>
          <w:tab w:leader="none" w:pos="540" w:val="left"/>
        </w:tabs>
        <w:numPr>
          <w:ilvl w:val="0"/>
          <w:numId w:val="95"/>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Grier Drive, Las Vegas, Nevada 89119. Aruze USA is a subsidiary of Aruze Corp., of which Kazuo Okada owns a controlling interest. Each of Aruze USA, Aruze Corp. and Mr. Okada may be deemed to have beneficial ownership of these shares.</w:t>
      </w:r>
    </w:p>
    <w:p>
      <w:pPr>
        <w:ind w:left="540" w:hanging="532"/>
        <w:spacing w:after="0" w:line="187" w:lineRule="auto"/>
        <w:tabs>
          <w:tab w:leader="none" w:pos="540" w:val="left"/>
        </w:tabs>
        <w:numPr>
          <w:ilvl w:val="0"/>
          <w:numId w:val="95"/>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71" w:lineRule="exact"/>
        <w:rPr>
          <w:rFonts w:ascii="Arial" w:cs="Arial" w:eastAsia="Arial" w:hAnsi="Arial"/>
          <w:sz w:val="27"/>
          <w:szCs w:val="27"/>
          <w:color w:val="auto"/>
          <w:vertAlign w:val="subscript"/>
        </w:rPr>
      </w:pPr>
    </w:p>
    <w:p>
      <w:pPr>
        <w:ind w:left="540" w:right="220" w:hanging="532"/>
        <w:spacing w:after="0" w:line="186" w:lineRule="auto"/>
        <w:tabs>
          <w:tab w:leader="none" w:pos="540" w:val="left"/>
        </w:tabs>
        <w:numPr>
          <w:ilvl w:val="0"/>
          <w:numId w:val="95"/>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 Includes 10,000,000 shares in which Mr. Wynn and Aruze USA have expressed an interest in purchasing in this offering.</w:t>
      </w:r>
    </w:p>
    <w:p>
      <w:pPr>
        <w:spacing w:after="0" w:line="195" w:lineRule="exact"/>
        <w:rPr>
          <w:sz w:val="20"/>
          <w:szCs w:val="20"/>
          <w:color w:val="auto"/>
        </w:rPr>
      </w:pPr>
    </w:p>
    <w:p>
      <w:pPr>
        <w:ind w:right="80" w:firstLine="345"/>
        <w:spacing w:after="0" w:line="284"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Upon the completion of the offering, we intend to grant awards of 189,723 shares of restricted stock under our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to each of the following employees: DeRuyter O. Butler, W. Todd Nisbet, Marc D. Schorr, John Strzemp, Roger P. Thomas and Kenneth R. Wynn. The restricted stock will vest in November 2004 as to Mr. Strzemp, in May 2005 as to Mr. Schorr and Kenneth R. Wynn, in May 2006 as to Mr. Butler and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ectPr>
          <w:pgSz w:w="11900" w:h="16838" w:orient="portrait"/>
          <w:cols w:equalWidth="0" w:num="1">
            <w:col w:w="11400"/>
          </w:cols>
          <w:pgMar w:left="240" w:top="131" w:right="259" w:bottom="0" w:gutter="0" w:footer="0" w:header="0"/>
        </w:sectPr>
      </w:pPr>
    </w:p>
    <w:bookmarkStart w:id="78" w:name="page79"/>
    <w:bookmarkEnd w:id="78"/>
    <w:p>
      <w:pPr>
        <w:ind w:right="8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7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Transactions—Stockholders Agreement."</w:t>
      </w:r>
    </w:p>
    <w:p>
      <w:pPr>
        <w:spacing w:after="0" w:line="17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filed within 90 days after the filing of Wynn Resorts' application, Mr. Wynn may elect to purchase the shares owned by Aruze USA in Wynn Resorts. Mr. Wynn may pay this purchase price with a promissory note. The total purchase price will be the lesser of (1) the fair market value of the shares on the day Mr. Wynn serves Aruze USA notice of his election to purchase the shares or (2) the aggregate amount of cash contributed to Valvino by Aruze USA, minus any distributions by Valvino or Wynn Resorts to Aruze USA, plus two percent interest, compounded annually. Wynn Resorts intends to grant Mr. Wynn certain demand registration rights and piggyback registration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Business—The Nevada Gaming Commission may require the disposition of shares of certain shareholders of Wynn Resorts in a manner that may cause us to incur debt or disrupt our stock price" and "Regulation and Licensing—Redemption of Securities Owned by an Unsuitable Person."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authorized to issue 400,000,000 shares of common stock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October 1, 2002, there were 40,000,000 shares of common stock outstanding, which were held of record by five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ectPr>
          <w:pgSz w:w="11900" w:h="16838" w:orient="portrait"/>
          <w:cols w:equalWidth="0" w:num="1">
            <w:col w:w="11420"/>
          </w:cols>
          <w:pgMar w:left="240" w:top="131" w:right="239" w:bottom="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Preferred Stock and Prohibitions on the Receipt of Dividends, the Exercise of Voting or Other Rights or the Receipt of Other Remuneration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exercising voting or other rights conferred by its capital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that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management or policies of a person or the disposition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and, if not, as Wynn Resorts elects.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23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2/3% of the outstanding voting power, voting as a single class.</w:t>
      </w:r>
    </w:p>
    <w:p>
      <w:pPr>
        <w:spacing w:after="0" w:line="161"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vote of 66 2/3% of the outstanding stock entitled to vote in the election of directors to amend the classified board provision. As a result, at least two annual meetings of stockholders may be necessary to change a majority of the directors.</w:t>
      </w:r>
    </w:p>
    <w:p>
      <w:pPr>
        <w:spacing w:after="0" w:line="16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ectPr>
          <w:pgSz w:w="11900" w:h="16838" w:orient="portrait"/>
          <w:cols w:equalWidth="0" w:num="1">
            <w:col w:w="11380"/>
          </w:cols>
          <w:pgMar w:left="240" w:top="125" w:right="279" w:bottom="0" w:gutter="0" w:footer="0" w:header="0"/>
        </w:sectPr>
      </w:pPr>
    </w:p>
    <w:bookmarkStart w:id="80" w:name="page81"/>
    <w:bookmarkEnd w:id="80"/>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supermajority approval of the directors for the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Nevada Control Share Laws. </w:t>
      </w:r>
      <w:r>
        <w:rPr>
          <w:rFonts w:ascii="Arial" w:cs="Arial" w:eastAsia="Arial" w:hAnsi="Arial"/>
          <w:sz w:val="16"/>
          <w:szCs w:val="16"/>
          <w:color w:val="auto"/>
        </w:rPr>
        <w:t>Following the closing of this offering, Wynn Resorts may become subject to Nevada's laws which govern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 "controlling interest" of "issuing 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Nevada Regulatory Approvals. </w:t>
      </w:r>
      <w:r>
        <w:rPr>
          <w:rFonts w:ascii="Arial" w:cs="Arial" w:eastAsia="Arial" w:hAnsi="Arial"/>
          <w:sz w:val="16"/>
          <w:szCs w:val="16"/>
          <w:color w:val="auto"/>
        </w:rPr>
        <w:t>Once Wynn Resorts becomes a registered company under Nevada's gaming laws, it will be required to obtain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an indirect subsidiary of Wynn Resorts, is a public utility under Nevada law, the approval of the Public Utilities Commission of Nevada may be required before any change in the ownership structure of Wynn Resorts. These requirements may have the effect of preventing, delaying or making an acquisition of Wynn Resorts more difficult. See "Regulation and Licensing."</w:t>
      </w:r>
    </w:p>
    <w:p>
      <w:pPr>
        <w:spacing w:after="0" w:line="170"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No Cumulative Voting.</w:t>
      </w:r>
      <w:r>
        <w:rPr>
          <w:sz w:val="20"/>
          <w:szCs w:val="20"/>
          <w:color w:val="auto"/>
        </w:rPr>
        <w:tab/>
      </w:r>
      <w:r>
        <w:rPr>
          <w:rFonts w:ascii="Arial" w:cs="Arial" w:eastAsia="Arial" w:hAnsi="Arial"/>
          <w:sz w:val="16"/>
          <w:szCs w:val="16"/>
          <w:color w:val="auto"/>
        </w:rPr>
        <w:t>Our articles of incorporation and bylaws do not provide for cumulative voting in the election of directors.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will be Wells Fargo Bank Minnesota, National Association.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CERTAIN INDEBTEDNESS</w:t>
      </w:r>
    </w:p>
    <w:p>
      <w:pPr>
        <w:spacing w:after="0" w:line="231"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 References to the "restricted entities" or to the "guarantors" in this prospectus mean Valvino, Wynn Resorts Holdings, Wynn Design &amp; Development, World Travel, Las Vegas Jet, Desert Inn Water Company and Palo, LLC and references to the "issuers" mean Wynn Las Vegas and Wynn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indirect subsidiary, Wynn Las Vegas, will enter into credit facilities with a syndicate of lenders and Deutsche Bank Trust Company Americas, as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as follows:</w:t>
      </w:r>
    </w:p>
    <w:p>
      <w:pPr>
        <w:spacing w:after="0" w:line="210"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$750 million senior secured revolving credit facility under which we can borrow for a period of six years beginning on the closing date. The</w:t>
      </w:r>
    </w:p>
    <w:p>
      <w:pPr>
        <w:spacing w:after="0" w:line="38" w:lineRule="exact"/>
        <w:rPr>
          <w:sz w:val="20"/>
          <w:szCs w:val="20"/>
          <w:color w:val="auto"/>
        </w:rPr>
      </w:pPr>
    </w:p>
    <w:p>
      <w:pPr>
        <w:ind w:left="1080" w:right="380"/>
        <w:spacing w:after="0" w:line="250" w:lineRule="auto"/>
        <w:rPr>
          <w:sz w:val="20"/>
          <w:szCs w:val="20"/>
          <w:color w:val="auto"/>
        </w:rPr>
      </w:pPr>
      <w:r>
        <w:rPr>
          <w:rFonts w:ascii="Arial" w:cs="Arial" w:eastAsia="Arial" w:hAnsi="Arial"/>
          <w:sz w:val="18"/>
          <w:szCs w:val="18"/>
          <w:color w:val="auto"/>
        </w:rPr>
        <w:t>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81" w:name="page82"/>
    <w:bookmarkEnd w:id="81"/>
    <w:p>
      <w:pPr>
        <w:ind w:left="1080" w:right="360"/>
        <w:spacing w:after="0" w:line="259" w:lineRule="auto"/>
        <w:rPr>
          <w:sz w:val="20"/>
          <w:szCs w:val="20"/>
          <w:color w:val="auto"/>
        </w:rPr>
      </w:pPr>
      <w:r>
        <w:rPr>
          <w:rFonts w:ascii="Arial" w:cs="Arial" w:eastAsia="Arial" w:hAnsi="Arial"/>
          <w:sz w:val="18"/>
          <w:szCs w:val="18"/>
          <w:color w:val="auto"/>
        </w:rPr>
        <w:t>a $250 million delay draw senior secured term loan facility under which we can borrow for a period of twenty-seven months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When borrowings outstanding under the revolving credit facility equal or exceed $200 million, lead arrangers holding a majority of the commitments of the lead arrangers will have the right to convert $100 to $400 million of the amounts outstanding under the revolving loan to term loans, on the same terms and conditions as those made under the delay draw term loan facility. The commitments of the lenders to make revolving loans to our subsidiaries will be permanently reduced by the amount of any revolving loans that are converted to term loans, and the outstanding loans under the delay draw term loan facility will be correspondingly increased.</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expect to use a total of $710.2 million of the proceeds of the credit facilities to finance development and construction of Le Rêve and to meet our pre-opening expenses and debt service obligations with an additional anticipated $30.8 million of such proceeds being available to us for debt service in the event that it takes us longer to complete Le Rêve than we expect. After Le Rêve opens, the issuers and the restricted entities may use any remaining revolving credit availability, including the final $3 million of availability which may not be used until Le Rêve is completed, for operating expenses and other general corporate purposes.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before Le Rêve opens, the borrowings will bear interest at Wynn Las Vegas' election, at either (i) the base rate plus a margin still to be determined for both revolving loans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20"/>
        <w:spacing w:after="0" w:line="268" w:lineRule="auto"/>
        <w:rPr>
          <w:sz w:val="20"/>
          <w:szCs w:val="20"/>
          <w:color w:val="auto"/>
        </w:rPr>
      </w:pPr>
      <w:r>
        <w:rPr>
          <w:rFonts w:ascii="Arial" w:cs="Arial" w:eastAsia="Arial" w:hAnsi="Arial"/>
          <w:sz w:val="18"/>
          <w:szCs w:val="18"/>
          <w:color w:val="auto"/>
        </w:rPr>
        <w:t>term loans or (ii) the reserve adjusted Eurodollar Rate plus 4.00% per annum for revolving loans or the reserve adjusted Eurodollar Rate plus 4.25% per annum for term loans; and</w:t>
      </w:r>
    </w:p>
    <w:p>
      <w:pPr>
        <w:spacing w:after="0" w:line="213" w:lineRule="exact"/>
        <w:rPr>
          <w:sz w:val="20"/>
          <w:szCs w:val="20"/>
          <w:color w:val="auto"/>
        </w:rPr>
      </w:pPr>
    </w:p>
    <w:p>
      <w:pPr>
        <w:ind w:left="1080" w:right="32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base rate or reserve adjusted Eurodollar Rate, as Wynn Las Vegas elects, plus, in either case, a margin based on a leverage ratio.</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Until Le Rêve opens, Wynn Las Vegas will pay, quarterly in arrears, 2.00% per annum on the daily average of unborrowed availability under the revolving credit facility.</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the revolving credit facility will be determined by a grid based on our leverage ratio. For unborrowed amounts under the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the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credit facilities, Wynn Las Vegas, its subsidiaries and certain of its affiliates will be considered restricted entities and will guarantee the obligations of Wynn Las Vegas under the credit facilities. Wynn Resorts will also guarantee the credit facilities, the FF&amp;E facility and the second mortgage notes, but will not be subject to the restrictive covenants in its subsidiaries' debt facilities. In the event that Wynn Resorts grants specified liens to secure other guarantees or indebtedness, the credit facilities will be secured by comparable liens on the same Wynn Resorts' assets. The obligations of each guarantor under its guarantee will be limited as necessary to reduce the risk that the guarantee would be treated as a fraudulent conveyance under applicable law. Each guarantee (except the unsecured Wynn Resorts'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guarantee) of the obligations under the credit facilities will be a senior secured obligation of each such guarantor, secured by a security interest in certain of the guarantors' existing and future assets, and will rank pari passu in right of payment with any existing and future senior indebtedness of such guarantors. In addition, each guarantee, other than the Wynn Resorts' guarantee, will rank senior in right of payment to all of the existing and future subordinated indebtedness of each guarantor. The guarantee by Wynn Resorts of the credit facilities will rank senior in right of payment, but will be effectively subordinated to secured indebtedness of Wynn Resorts unless Wynn Resorts is required to grant comparable liens to secure its guarantee of the credit facility.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ectPr>
          <w:pgSz w:w="11900" w:h="16838" w:orient="portrait"/>
          <w:cols w:equalWidth="0" w:num="1">
            <w:col w:w="11420"/>
          </w:cols>
          <w:pgMar w:left="240" w:top="131" w:right="239" w:bottom="0" w:gutter="0" w:footer="0" w:header="0"/>
        </w:sectPr>
      </w:pPr>
    </w:p>
    <w:bookmarkStart w:id="82" w:name="page83"/>
    <w:bookmarkEnd w:id="82"/>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subsidiaries' obligations under the credit facilities will be secured (subject to permitted liens) by:</w:t>
      </w:r>
    </w:p>
    <w:p>
      <w:pPr>
        <w:spacing w:after="0" w:line="199" w:lineRule="exact"/>
        <w:rPr>
          <w:sz w:val="20"/>
          <w:szCs w:val="20"/>
          <w:color w:val="auto"/>
        </w:rPr>
      </w:pPr>
    </w:p>
    <w:p>
      <w:pPr>
        <w:ind w:left="1080" w:hanging="532"/>
        <w:spacing w:after="0" w:line="28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 holders, will be permitted to exercise remedies against such sums and apply such sums against the obligations under their respective documents. After Wynn Las Vegas and its restricted subsidiaries have met certain earnings before interest, taxes, depreciation and amortization targets for a period of four full consecutive fiscal quarters after Le Rêve opens, any remaining amounts in the liquidity reserve account will be used to reduce the outstanding balance of the revolving credit facility but without reducing the revolving credit facility commitment;</w:t>
      </w:r>
    </w:p>
    <w:p>
      <w:pPr>
        <w:spacing w:after="0" w:line="26" w:lineRule="exact"/>
        <w:rPr>
          <w:rFonts w:ascii="Arial" w:cs="Arial" w:eastAsia="Arial" w:hAnsi="Arial"/>
          <w:sz w:val="16"/>
          <w:szCs w:val="16"/>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first priority pledge of all equity interests in Wynn Las Vegas, Wynn Capital and the restricted entities to the extent permitted by applicable law;</w:t>
      </w:r>
    </w:p>
    <w:p>
      <w:pPr>
        <w:spacing w:after="0" w:line="45" w:lineRule="exact"/>
        <w:rPr>
          <w:rFonts w:ascii="Arial" w:cs="Arial" w:eastAsia="Arial" w:hAnsi="Arial"/>
          <w:sz w:val="16"/>
          <w:szCs w:val="16"/>
          <w:color w:val="auto"/>
        </w:rPr>
      </w:pPr>
    </w:p>
    <w:p>
      <w:pPr>
        <w:ind w:left="1080" w:right="120" w:hanging="532"/>
        <w:spacing w:after="0" w:line="252"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7" w:lineRule="exact"/>
        <w:rPr>
          <w:rFonts w:ascii="Arial" w:cs="Arial" w:eastAsia="Arial" w:hAnsi="Arial"/>
          <w:sz w:val="18"/>
          <w:szCs w:val="18"/>
          <w:color w:val="auto"/>
        </w:rPr>
      </w:pPr>
    </w:p>
    <w:p>
      <w:pPr>
        <w:jc w:val="both"/>
        <w:ind w:left="1080" w:right="420" w:hanging="532"/>
        <w:spacing w:after="0" w:line="283"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first priority security interest in substantially all of the other existing and future assets of Wynn Las Vegas, Wynn Capital and the restricted entities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23"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secured by liens of equal priority on the same Wynn Resorts assets. The security interests in these assets may be released if certain tests are met.</w:t>
      </w:r>
    </w:p>
    <w:p>
      <w:pPr>
        <w:spacing w:after="0" w:line="248"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the net proceeds from all asset sales and condemnations, debt offerings (other than those constituting permitted debt) and, subject to a reinvestment period, asset sale and insurance or condemnation proceeds received by the issuers and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issuers and the restricted entities will be required to comply with negative and affirmative covenants, including, among other things, limitations on:</w:t>
      </w:r>
    </w:p>
    <w:p>
      <w:pPr>
        <w:spacing w:after="0" w:line="26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guarantees;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leases;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issuers and the restricted entities will be required to comply with certain financial ratios and other financial covenants such as:</w:t>
      </w:r>
    </w:p>
    <w:p>
      <w:pPr>
        <w:spacing w:after="0" w:line="262"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ectPr>
          <w:pgSz w:w="11900" w:h="16838" w:orient="portrait"/>
          <w:cols w:equalWidth="0" w:num="1">
            <w:col w:w="11420"/>
          </w:cols>
          <w:pgMar w:left="240" w:top="131" w:right="239" w:bottom="0" w:gutter="0" w:footer="0" w:header="0"/>
        </w:sectPr>
      </w:pPr>
    </w:p>
    <w:bookmarkStart w:id="83" w:name="page84"/>
    <w:bookmarkEnd w:id="83"/>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 Disbursement Agreement." Events of default will apply to the restricted entities and, in some cases, to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Wynn Las Vegas and Wynn Capital, referred to as the issuers, will enter into an indenture among themselves and certain restricted entities and Wells Fargo Bank, National Association as trustee, pursuant to which the issuers will issue second mortgage notes with an aggregate principal amount at maturity of $365 million. The second mortgage notes will:</w:t>
      </w:r>
    </w:p>
    <w:p>
      <w:pPr>
        <w:spacing w:after="0" w:line="208"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 general obligations of the issuers;</w:t>
      </w:r>
    </w:p>
    <w:p>
      <w:pPr>
        <w:spacing w:after="0" w:line="36" w:lineRule="exact"/>
        <w:rPr>
          <w:rFonts w:ascii="Arial" w:cs="Arial" w:eastAsia="Arial" w:hAnsi="Arial"/>
          <w:sz w:val="18"/>
          <w:szCs w:val="18"/>
          <w:color w:val="auto"/>
        </w:rPr>
      </w:pPr>
    </w:p>
    <w:p>
      <w:pPr>
        <w:ind w:left="1080" w:right="260" w:hanging="532"/>
        <w:spacing w:after="0" w:line="25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 secured by a first priority security interest in the net proceeds of this offering and a second priority security interest in substantially all of the existing and future assets of the issuers and certain other restricted entities and, in certain limited circumstances, may be secured by a security interest in certain of the existing and future assets of Wynn Resorts;</w:t>
      </w:r>
    </w:p>
    <w:p>
      <w:pPr>
        <w:spacing w:after="0" w:line="7" w:lineRule="exact"/>
        <w:rPr>
          <w:rFonts w:ascii="Arial" w:cs="Arial" w:eastAsia="Arial" w:hAnsi="Arial"/>
          <w:sz w:val="18"/>
          <w:szCs w:val="18"/>
          <w:color w:val="auto"/>
        </w:rPr>
      </w:pPr>
    </w:p>
    <w:p>
      <w:pPr>
        <w:jc w:val="both"/>
        <w:ind w:left="1080" w:right="320" w:hanging="532"/>
        <w:spacing w:after="0" w:line="283"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rank equal in right of payment to all of the issuers' existing and future senior indebtedness, including borrowings under the credit facilities and FF&amp;E facility, but will be effectively subordinated to such indebtedness to the extent that senior lenders, including the lenders under the credit facilities and FF&amp;E facility, have security interests in assets that rank prior the security interests securing the second mortgage notes and to the extent of the restrictions on payment and exercise of remedies contained in the intercreditor agreements;</w:t>
      </w:r>
    </w:p>
    <w:p>
      <w:pPr>
        <w:spacing w:after="0" w:line="10"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rank senior in right of payment to all of the issuers' existing and future subordinated indebtedness;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 unconditionally guaranteed by the guarantors, and Wynn Resorts. See "—Guarantees."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right="640" w:firstLine="348"/>
        <w:spacing w:after="0" w:line="305" w:lineRule="auto"/>
        <w:rPr>
          <w:sz w:val="20"/>
          <w:szCs w:val="20"/>
          <w:color w:val="auto"/>
        </w:rPr>
      </w:pPr>
      <w:r>
        <w:rPr>
          <w:rFonts w:ascii="Arial" w:cs="Arial" w:eastAsia="Arial" w:hAnsi="Arial"/>
          <w:sz w:val="15"/>
          <w:szCs w:val="15"/>
          <w:color w:val="auto"/>
        </w:rPr>
        <w:t>The second mortgage notes will bear interest on the principal amount at maturity at a rate that will be established at the time of pricing of the second mortgage notes, which pricing is expected to occur concurrently with the pricing of the equity offering. Interest will be payable semi-annually in arrears</w:t>
      </w:r>
    </w:p>
    <w:p>
      <w:pPr>
        <w:spacing w:after="0" w:line="261" w:lineRule="auto"/>
        <w:rPr>
          <w:sz w:val="20"/>
          <w:szCs w:val="20"/>
          <w:color w:val="auto"/>
        </w:rPr>
      </w:pPr>
      <w:r>
        <w:rPr>
          <w:rFonts w:ascii="Arial" w:cs="Arial" w:eastAsia="Arial" w:hAnsi="Arial"/>
          <w:sz w:val="18"/>
          <w:szCs w:val="18"/>
          <w:color w:val="auto"/>
        </w:rPr>
        <w:t>on and , commencing on , 2003. The issuers will make each interest payment to the holders of record of the second mortgage notes on the immediately preceding and .</w:t>
      </w:r>
    </w:p>
    <w:p>
      <w:pPr>
        <w:spacing w:after="0" w:line="19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jc w:val="both"/>
        <w:ind w:right="80" w:firstLine="341"/>
        <w:spacing w:after="0" w:line="306"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See "—Credit Facilities—Completion Guarantee."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200" w:firstLine="348"/>
        <w:spacing w:after="0" w:line="288" w:lineRule="auto"/>
        <w:rPr>
          <w:sz w:val="20"/>
          <w:szCs w:val="20"/>
          <w:color w:val="auto"/>
        </w:rPr>
      </w:pPr>
      <w:r>
        <w:rPr>
          <w:rFonts w:ascii="Arial" w:cs="Arial" w:eastAsia="Arial" w:hAnsi="Arial"/>
          <w:sz w:val="16"/>
          <w:szCs w:val="16"/>
          <w:color w:val="auto"/>
        </w:rPr>
        <w:t>The obligations of the issuers under the second mortgage notes will also be jointly and severally guaranteed by the other restricted entities. Wynn Resorts will guarantee the credit facilities, the FF&amp;E facility and the second mortgage notes, but will not be subject to the restrictive covenants in its subsidiaries' debt facilities. The guarantees, including the Wynn Resorts guarantee, may be released if certain tests are met. The obligations of each guarantor under its guarantee will be limited as necessary to reduce the risk that the guarantee would be treated as a fraudulent conveyance under applicable law. Each guarantee of the notes will be a senior obligation of each guarantor, secured by a second priority security interest in substantially all the guarantors' existing and future assets, and will rank equally in right of payment with any existing and future senior indebtedness of the guarantors, but will be effectively subordinated to such indebtedness to the extent that senior lenders, including the lenders under the credit facilities and the FF&amp;E facility, have security interests in assets that rank prior the security interests securing the second mortgage notes. In addition, each guarantee will rank senior in right of payment to all of the existing and future subordinated indebtedness of each guarantor.</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permitted liens and applicable gaming and other law and regulations, the second mortgage notes will be secured by, among other things:</w:t>
      </w:r>
    </w:p>
    <w:p>
      <w:pPr>
        <w:spacing w:after="0" w:line="262" w:lineRule="exact"/>
        <w:rPr>
          <w:sz w:val="20"/>
          <w:szCs w:val="20"/>
          <w:color w:val="auto"/>
        </w:rPr>
      </w:pPr>
    </w:p>
    <w:p>
      <w:pPr>
        <w:ind w:left="1080" w:right="500" w:hanging="532"/>
        <w:spacing w:after="0" w:line="254"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first priority, exclusive security interest in the net proceeds of the second mortgage notes deposited into escrow pending the closing of this offering;</w:t>
      </w:r>
    </w:p>
    <w:p>
      <w:pPr>
        <w:spacing w:after="0" w:line="7" w:lineRule="exact"/>
        <w:rPr>
          <w:rFonts w:ascii="Arial" w:cs="Arial" w:eastAsia="Arial" w:hAnsi="Arial"/>
          <w:sz w:val="18"/>
          <w:szCs w:val="18"/>
          <w:color w:val="auto"/>
        </w:rPr>
      </w:pPr>
    </w:p>
    <w:p>
      <w:pPr>
        <w:ind w:left="1080" w:hanging="532"/>
        <w:spacing w:after="0" w:line="283"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After Wynn Las Vegas and its restricted subsidiaries have met earnings before interest, taxes, depreciation and amortization targets for a period of four full consecutive quarters after Le Rêve opens, any remaining amounts in the liquidity reserve account will be used to reduce the outstanding balance of the revolving credit facility;</w:t>
      </w:r>
    </w:p>
    <w:p>
      <w:pPr>
        <w:spacing w:after="0" w:line="21"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second priority pledge of the equity interests of the issuers and the other restricted entities to the extent permitted by applicable law;</w:t>
      </w:r>
    </w:p>
    <w:p>
      <w:pPr>
        <w:spacing w:after="0" w:line="45"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w:t>
      </w:r>
    </w:p>
    <w:p>
      <w:pPr>
        <w:sectPr>
          <w:pgSz w:w="11900" w:h="16854" w:orient="portrait"/>
          <w:cols w:equalWidth="0" w:num="1">
            <w:col w:w="11420"/>
          </w:cols>
          <w:pgMar w:left="240" w:top="131" w:right="239" w:bottom="0" w:gutter="0" w:footer="0" w:header="0"/>
        </w:sectPr>
      </w:pPr>
    </w:p>
    <w:bookmarkStart w:id="84" w:name="page85"/>
    <w:bookmarkEnd w:id="84"/>
    <w:p>
      <w:pPr>
        <w:ind w:left="1080" w:right="280"/>
        <w:spacing w:after="0" w:line="259" w:lineRule="auto"/>
        <w:rPr>
          <w:sz w:val="20"/>
          <w:szCs w:val="20"/>
          <w:color w:val="auto"/>
        </w:rPr>
      </w:pPr>
      <w:r>
        <w:rPr>
          <w:rFonts w:ascii="Arial" w:cs="Arial" w:eastAsia="Arial" w:hAnsi="Arial"/>
          <w:sz w:val="18"/>
          <w:szCs w:val="18"/>
          <w:color w:val="auto"/>
        </w:rPr>
        <w:t>subject to release of the 20 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60" w:hanging="532"/>
        <w:spacing w:after="0" w:line="254"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second priority security interest in substantially all of the other existing and future assets of the issuers and the restricted entities, and subject to certain exceptions; and</w:t>
      </w:r>
    </w:p>
    <w:p>
      <w:pPr>
        <w:spacing w:after="0" w:line="21"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third priority security interests on the furniture, fixtures and equipment financed with the FF&amp;E facility other than the aircraft. See "—FF&amp;E Facility."</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100" w:firstLine="341"/>
        <w:spacing w:after="0" w:line="286" w:lineRule="auto"/>
        <w:rPr>
          <w:sz w:val="20"/>
          <w:szCs w:val="20"/>
          <w:color w:val="auto"/>
        </w:rPr>
      </w:pPr>
      <w:r>
        <w:rPr>
          <w:rFonts w:ascii="Arial" w:cs="Arial" w:eastAsia="Arial" w:hAnsi="Arial"/>
          <w:sz w:val="16"/>
          <w:szCs w:val="16"/>
          <w:color w:val="auto"/>
        </w:rPr>
        <w:t>At any time prior to , 2005, the issuers may redeem up to 35% of the aggregate principal amount of the second mortgage notes with the proceeds of certain qualified equity offerings at a specified redemption price; provided that certain conditions are satisfied. The second mortgage notes otherwise</w:t>
      </w:r>
    </w:p>
    <w:p>
      <w:pPr>
        <w:spacing w:after="0"/>
        <w:tabs>
          <w:tab w:leader="none" w:pos="3040" w:val="left"/>
        </w:tabs>
        <w:rPr>
          <w:sz w:val="20"/>
          <w:szCs w:val="20"/>
          <w:color w:val="auto"/>
        </w:rPr>
      </w:pPr>
      <w:r>
        <w:rPr>
          <w:rFonts w:ascii="Arial" w:cs="Arial" w:eastAsia="Arial" w:hAnsi="Arial"/>
          <w:sz w:val="18"/>
          <w:szCs w:val="18"/>
          <w:color w:val="auto"/>
        </w:rPr>
        <w:t>are not redeemable prior to</w:t>
      </w:r>
      <w:r>
        <w:rPr>
          <w:sz w:val="20"/>
          <w:szCs w:val="20"/>
          <w:color w:val="auto"/>
        </w:rPr>
        <w:tab/>
      </w:r>
      <w:r>
        <w:rPr>
          <w:rFonts w:ascii="Arial" w:cs="Arial" w:eastAsia="Arial" w:hAnsi="Arial"/>
          <w:sz w:val="15"/>
          <w:szCs w:val="15"/>
          <w:color w:val="auto"/>
        </w:rPr>
        <w:t>, 2006.</w:t>
      </w:r>
    </w:p>
    <w:p>
      <w:pPr>
        <w:spacing w:after="0" w:line="219"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After , 2006, the issuers may redeem all or a part of the second mortgage notes upon not less than 30 nor more than 60 days' notice, at a premium declining ratably to zero.</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Repurchase at the Option of the Holders of Second Mortgage Notes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issuers will be required in certain circumstances to offer to repurchase the second mortgage notes at a purchase price equal to the principal amount of the second mortgage notes, plus any accrued and unpaid interest to the date of repurchase, to the extent of the net cash proceeds of certain asset sales and events of loss.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second mortgage notes may be redeemed by the issuers in certain instances where a gaming authority requires a holder or beneficial owner of the second mortgage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second mortgage notes.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second mortgage notes will contain additional affirmative and negative covenants applicable to the issuers and the restricted entities, including, among other things, limitations on:</w:t>
      </w:r>
    </w:p>
    <w:p>
      <w:pPr>
        <w:spacing w:after="0" w:line="199"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issuance of preferred stock;</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merger, consolidation or sale of assets;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sale and leaseback transactions;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activities of Wynn Capital and the completion guarantor;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issuances and sales of equity interests in wholly owned subsidiaries.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ectPr>
          <w:pgSz w:w="11900" w:h="16838" w:orient="portrait"/>
          <w:cols w:equalWidth="0" w:num="1">
            <w:col w:w="11420"/>
          </w:cols>
          <w:pgMar w:left="240" w:top="131" w:right="239" w:bottom="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$188.5 million FF&amp;E facility, and the placement agent for the FF&amp;E facility has received commitments from the lenders who will enter into the FF&amp;E facility. The FF&amp;E facility will provide financing and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the proceeds of this offering or other funds. With respect to borrowings under the FF&amp;E facility, Wynn Las Vegas will have the same interest rates and elections at corresponding levels as under the revolving credit facility.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representative of the lenders under the credit facilities and the trustee will enter into an intercreditor agreement that will govern the relations between the note holders and those lenders. The intercreditor agreement will provide that the second mortgage note holders will have a first priority security interest in, or claim against, the net proceeds of the second mortgage note offering deposited into a secured account pending disbursement of such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amounts in accordance with the terms of the disbursement agreement. The lenders under the credit facilities will have a first priority security interest in, or claim against all remaining collateral pledged by the issuers and the restricted entities, other than collateral securing the FF&amp;E facility in which the lenders under the FF&amp;E facility will have a first priority security interest, the lenders under the credit facilities will have a second priority security interest and the second mortgage note holders will have a third priority security interest. Neither the lenders under the credit facilities nor the second mortgage note holders will have a security interest in the aircraft.</w:t>
      </w:r>
    </w:p>
    <w:p>
      <w:pPr>
        <w:spacing w:after="0" w:line="197"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the credit facilities to enforce the remedies of a secured creditor.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 and equipment for Le Rêve that is financed by draws on the FF&amp;E facility. The lenders under the credit facilities will have a second priority security interest in such collateral and the note holders will benefit from a third priority security interest in such collateral, except that neither the lenders under the credit facilities nor the second mortgage note holders will have a security interest in the aircraft.</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FF&amp;E intercreditor agreement will establish certain provisions and agreements concerning the exercise of remedies by the lenders under the credit facilities, the note holders and the lenders under the FF&amp;E facility against the furniture, fixtures and equipment financed by the FF&amp;E facility. Generally speaking, and subject to certain agreed upon stand still periods, the lenders under the FF&amp;E facility will have, until repayment in full of the FF&amp;E facility, the exclusive right to force a sale of any of the FF&amp;E collateral or otherwise exercise any of the remedies available to a secured creditor in connection with the FF&amp;E collateral. Applicable law, including gaming laws and regulations, will also impose restrictions on the ability of the lenders under the FF&amp;E facility, the lenders under the credit facilities and the second mortgage note holders to enforce the remedies of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Wynn Las Vegas, Wynn Capital and Wynn Design &amp; Development will enter into a disbursement agreement with Deutsche Bank Trust Company Americas, as the bank agent, Wells Fargo Bank, National Association, as the second mortgage note trustee, Wells Fargo Bank Nevada, National Association, as the FF&amp;E facility agent, and Deutsche Bank Trust Company Americas, as the disbursement agent. This summary is qualified in its entirety by reference to the contract itself.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color w:val="auto"/>
        </w:rPr>
        <w:t>The disbursement agreement will set forth our subsidiaries'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5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Order</w:t>
      </w:r>
    </w:p>
    <w:p>
      <w:pPr>
        <w:sectPr>
          <w:pgSz w:w="11900" w:h="16838" w:orient="portrait"/>
          <w:cols w:equalWidth="0" w:num="1">
            <w:col w:w="11420"/>
          </w:cols>
          <w:pgMar w:left="240" w:top="125" w:right="239" w:bottom="0" w:gutter="0" w:footer="0" w:header="0"/>
        </w:sectPr>
      </w:pPr>
    </w:p>
    <w:bookmarkStart w:id="86" w:name="page87"/>
    <w:bookmarkEnd w:id="86"/>
    <w:p>
      <w:pPr>
        <w:spacing w:after="0" w:line="3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disbursement agreement will set forth the sequencing order in which funds from the various sources will be made available to our subsidiaries. Under the disbursement agreement, our subsidiaries will be required to use all of the equity funds available to them (including proceeds of this offering that are contributed to Wynn Las Vegas) before obtaining any disbursement of debt proceeds.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to commence construction of Le Rêve in October 2002, and we have incurred, and prior to the initial disbursement of debt proceeds, will continue to incur, significant costs in connection with Le Rêve. Pursuant to the disbursement agreement, the construction consultant will confirm that such costs were incurred within the parameters set forth in the approved project budget.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w:t>
      </w:r>
    </w:p>
    <w:p>
      <w:pPr>
        <w:spacing w:after="0" w:line="231"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In order to implement the funding of disbursements, the disbursement agreement will call for the establishment of certain accounts, each of which will be, subject to certain exceptions,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FF&amp;E facility,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Conditions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subsidiaries will be required to satisfy conditions precedent before we are permitted to receive funds from the disbursement accounts. These conditions will include, among others:</w:t>
      </w:r>
    </w:p>
    <w:p>
      <w:pPr>
        <w:spacing w:after="0" w:line="19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780" w:hanging="532"/>
        <w:spacing w:after="0" w:line="254"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7" w:lineRule="exact"/>
        <w:rPr>
          <w:rFonts w:ascii="Arial" w:cs="Arial" w:eastAsia="Arial" w:hAnsi="Arial"/>
          <w:sz w:val="18"/>
          <w:szCs w:val="18"/>
          <w:color w:val="auto"/>
        </w:rPr>
      </w:pPr>
    </w:p>
    <w:p>
      <w:pPr>
        <w:ind w:left="1620" w:right="40" w:hanging="532"/>
        <w:spacing w:after="0" w:line="253"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the scheduled completion date, which may be extended in accordance with the disbursement agreement, but not beyond September 30, 2005, except for certain limited permitted extensions due to force majeure events,</w:t>
      </w:r>
    </w:p>
    <w:p>
      <w:pPr>
        <w:spacing w:after="0" w:line="20" w:lineRule="exact"/>
        <w:rPr>
          <w:rFonts w:ascii="Arial" w:cs="Arial" w:eastAsia="Arial" w:hAnsi="Arial"/>
          <w:sz w:val="18"/>
          <w:szCs w:val="18"/>
          <w:color w:val="auto"/>
        </w:rPr>
      </w:pPr>
    </w:p>
    <w:p>
      <w:pPr>
        <w:ind w:left="1620" w:hanging="532"/>
        <w:spacing w:after="0"/>
        <w:tabs>
          <w:tab w:leader="none" w:pos="162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the use of funds in accordance with the budgeted amounts, as adjusted from time to time in accordance with the disbursement agreement,</w:t>
      </w:r>
    </w:p>
    <w:p>
      <w:pPr>
        <w:spacing w:after="0" w:line="57" w:lineRule="exact"/>
        <w:rPr>
          <w:rFonts w:ascii="Arial" w:cs="Arial" w:eastAsia="Arial" w:hAnsi="Arial"/>
          <w:sz w:val="15"/>
          <w:szCs w:val="15"/>
          <w:color w:val="auto"/>
        </w:rPr>
      </w:pPr>
    </w:p>
    <w:p>
      <w:pPr>
        <w:ind w:left="1620" w:right="860" w:hanging="532"/>
        <w:spacing w:after="0" w:line="254"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sufficiency of remaining funds (net of the reserved portions of the completion guarantee and liquidity reserve, and required contingency amounts) to complete Le Rêve, and</w:t>
      </w:r>
    </w:p>
    <w:p>
      <w:pPr>
        <w:spacing w:after="0" w:line="7" w:lineRule="exact"/>
        <w:rPr>
          <w:rFonts w:ascii="Arial" w:cs="Arial" w:eastAsia="Arial" w:hAnsi="Arial"/>
          <w:sz w:val="18"/>
          <w:szCs w:val="18"/>
          <w:color w:val="auto"/>
        </w:rPr>
      </w:pPr>
    </w:p>
    <w:p>
      <w:pPr>
        <w:ind w:left="1620" w:right="400" w:hanging="532"/>
        <w:spacing w:after="0" w:line="268"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212" w:lineRule="exact"/>
        <w:rPr>
          <w:rFonts w:ascii="Arial" w:cs="Arial" w:eastAsia="Arial" w:hAnsi="Arial"/>
          <w:sz w:val="18"/>
          <w:szCs w:val="18"/>
          <w:color w:val="auto"/>
        </w:rPr>
      </w:pPr>
    </w:p>
    <w:p>
      <w:pPr>
        <w:ind w:left="1080" w:right="36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2" w:lineRule="exact"/>
        <w:rPr>
          <w:rFonts w:ascii="Arial" w:cs="Arial" w:eastAsia="Arial" w:hAnsi="Arial"/>
          <w:sz w:val="18"/>
          <w:szCs w:val="18"/>
          <w:color w:val="auto"/>
        </w:rPr>
      </w:pPr>
    </w:p>
    <w:p>
      <w:pPr>
        <w:ind w:left="1080" w:right="44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subsidiaries' receipt of the governmental approvals then required;</w:t>
      </w:r>
    </w:p>
    <w:p>
      <w:pPr>
        <w:spacing w:after="0" w:line="22" w:lineRule="exact"/>
        <w:rPr>
          <w:rFonts w:ascii="Arial" w:cs="Arial" w:eastAsia="Arial" w:hAnsi="Arial"/>
          <w:sz w:val="18"/>
          <w:szCs w:val="18"/>
          <w:color w:val="auto"/>
        </w:rPr>
      </w:pPr>
    </w:p>
    <w:p>
      <w:pPr>
        <w:ind w:left="1080" w:right="60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subsidiaries' delivery to the disbursement agent of the acknowledgments of payment and lien releases required under the disbursement agreement;</w:t>
      </w:r>
    </w:p>
    <w:p>
      <w:pPr>
        <w:spacing w:after="0" w:line="21" w:lineRule="exact"/>
        <w:rPr>
          <w:rFonts w:ascii="Arial" w:cs="Arial" w:eastAsia="Arial" w:hAnsi="Arial"/>
          <w:sz w:val="18"/>
          <w:szCs w:val="18"/>
          <w:color w:val="auto"/>
        </w:rPr>
      </w:pPr>
    </w:p>
    <w:p>
      <w:pPr>
        <w:jc w:val="both"/>
        <w:ind w:left="1080" w:right="20" w:hanging="532"/>
        <w:spacing w:after="0" w:line="305" w:lineRule="auto"/>
        <w:tabs>
          <w:tab w:leader="none" w:pos="10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7" w:lineRule="exact"/>
        <w:rPr>
          <w:rFonts w:ascii="Arial" w:cs="Arial" w:eastAsia="Arial" w:hAnsi="Arial"/>
          <w:sz w:val="15"/>
          <w:szCs w:val="15"/>
          <w:color w:val="auto"/>
        </w:rPr>
      </w:pPr>
    </w:p>
    <w:p>
      <w:pPr>
        <w:ind w:left="1080" w:hanging="532"/>
        <w:spacing w:after="0" w:line="253"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20" w:lineRule="exact"/>
        <w:rPr>
          <w:rFonts w:ascii="Arial" w:cs="Arial" w:eastAsia="Arial" w:hAnsi="Arial"/>
          <w:sz w:val="18"/>
          <w:szCs w:val="18"/>
          <w:color w:val="auto"/>
        </w:rPr>
      </w:pPr>
    </w:p>
    <w:p>
      <w:pPr>
        <w:ind w:left="1080" w:right="52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borrowing any amounts under the credit facilities or the FF&amp;E facility or receiving any disbursements from the secured account holding the proceeds of the second mortgage notes, we plan to use a portion of the proceeds of this offering, and our other available funds, to commence construction of Le Rêve. As a condition to borrowing under the credit facilities or the FF&amp;E facility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security for the $50 million completion guarantee in favor of the lenders under the credit facilities and the holders of the second mortgage notes by the special purpose subsidiary of Wynn Las Vegas, $50 million of the proceeds of this offering will be contributed to the subsidiary and deposited into the completion guarantee deposit account. See "—Credit Facilities—Guarantees." Any interest which may accrue on amounts deposited in the completion capital account deposit account shall be deposited in the company's funds account until applied as provided in the disbursement agreement.</w:t>
      </w:r>
    </w:p>
    <w:p>
      <w:pPr>
        <w:sectPr>
          <w:pgSz w:w="11900" w:h="16871" w:orient="portrait"/>
          <w:cols w:equalWidth="0" w:num="1">
            <w:col w:w="11400"/>
          </w:cols>
          <w:pgMar w:left="240" w:top="131" w:right="259" w:bottom="0" w:gutter="0" w:footer="0" w:header="0"/>
        </w:sectPr>
      </w:pP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Liquidity Reserve Account</w:t>
      </w:r>
    </w:p>
    <w:p>
      <w:pPr>
        <w:sectPr>
          <w:pgSz w:w="11900" w:h="16871" w:orient="portrait"/>
          <w:cols w:equalWidth="0" w:num="1">
            <w:col w:w="11400"/>
          </w:cols>
          <w:pgMar w:left="240" w:top="131" w:right="259" w:bottom="0" w:gutter="0" w:footer="0" w:header="0"/>
          <w:type w:val="continuous"/>
        </w:sectPr>
      </w:pPr>
    </w:p>
    <w:bookmarkStart w:id="87" w:name="page88"/>
    <w:bookmarkEnd w:id="87"/>
    <w:p>
      <w:pPr>
        <w:ind w:right="60" w:firstLine="341"/>
        <w:spacing w:after="0" w:line="289"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may be applied to pay budgeted costs in accordance with the disbursement agreement. Following the completion and opening of Le Rêve, these funds will be available to meet our subsidiaries' debt service obligations.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debt documents. Once Wynn Las Vegas has met prescribed cash flow tests for a full fiscal year after the opening of Le Rêve, any remaining funds shall be used to reduce the principal amount outstanding under our subsidiaries' revolving credit facility, but without reducing the revolving credit facility commitment.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to Construction Budget and Schedule</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7"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September 30,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September 30, 2005 due to force majeure events.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with which we are obligated to comply, such as:</w:t>
      </w:r>
    </w:p>
    <w:p>
      <w:pPr>
        <w:spacing w:after="0" w:line="239" w:lineRule="exact"/>
        <w:rPr>
          <w:sz w:val="20"/>
          <w:szCs w:val="20"/>
          <w:color w:val="auto"/>
        </w:rPr>
      </w:pPr>
    </w:p>
    <w:p>
      <w:pPr>
        <w:ind w:left="1080" w:right="50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21"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7"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issuers and the restricted entities' ability to:</w:t>
      </w:r>
    </w:p>
    <w:p>
      <w:pPr>
        <w:spacing w:after="0" w:line="213" w:lineRule="exact"/>
        <w:rPr>
          <w:sz w:val="20"/>
          <w:szCs w:val="20"/>
          <w:color w:val="auto"/>
        </w:rPr>
      </w:pPr>
    </w:p>
    <w:p>
      <w:pPr>
        <w:ind w:left="108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waive or terminate any material right under the financing agreements, the construction contract guarantee, other material project documents or any required governmental approval;</w:t>
      </w:r>
    </w:p>
    <w:p>
      <w:pPr>
        <w:spacing w:after="0" w:line="7" w:lineRule="exact"/>
        <w:rPr>
          <w:rFonts w:ascii="Arial" w:cs="Arial" w:eastAsia="Arial" w:hAnsi="Arial"/>
          <w:sz w:val="18"/>
          <w:szCs w:val="18"/>
          <w:color w:val="auto"/>
        </w:rPr>
      </w:pPr>
    </w:p>
    <w:p>
      <w:pPr>
        <w:ind w:left="1080" w:right="20" w:hanging="532"/>
        <w:spacing w:after="0" w:line="284"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8"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Exercise of Remedies on Default</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disbursement agreement and the other financing documents, upon the occurrence of an event of default under the credit facilities, the FF&amp;E facility or the second mortgage notes, our subsidiaries' lenders will be permitted to exercise remedies, including one or more of the following:</w:t>
      </w:r>
    </w:p>
    <w:p>
      <w:pPr>
        <w:spacing w:after="0" w:line="153"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2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ectPr>
          <w:pgSz w:w="11900" w:h="16838" w:orient="portrait"/>
          <w:cols w:equalWidth="0" w:num="1">
            <w:col w:w="11400"/>
          </w:cols>
          <w:pgMar w:left="240" w:top="131" w:right="259" w:bottom="6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61" w:gutter="0" w:footer="0" w:header="0"/>
          <w:type w:val="continuous"/>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Before this offering, there has been no public trading market for Wynn Resorts' common stock, and we cannot predict the effect, if any, that market sales of shares of Wynn Resorts' common stock or the availability of shares of Wynn Resorts' common stock for sale will have on the market price of Wynn Resorts' common stock prevailing from time to time. Nevertheless, sales of substantial amounts of Wynn Resorts' common stock in the public market could adversely affect the market price of its common stock and could impair Wynn Resorts' future ability to raise capital through the sale of its equity securities.</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the completion of this offering, Wynn Resorts will have 68,125,000 shares of its common stock outstanding, assuming no exercise of the underwriters' over-allotment option. All of the shares sold in this offering will be freely tradable, except that any shares purchased by Wynn Resorts' affiliates may only be sold in compliance with the applicable limitations of Rule 144. The remaining 40,000,000 shares of Wynn Resorts'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Subject to the provisions of Rules 144, 144(k) and 701, no shares of Wynn Resorts' common stock that are subject to the lock-up agreements will be available for sale in the public market upon the expiration of the 180-day lock-up period. We expect that up to 40,000,000 shares of Wynn Resorts' common stock will become eligible for public sale at prescribed times. We expect that 38,002,915 shares of Wynn Resorts' common stock, which are held by our affiliates, will become eligible for public sale beginning in September 2003.</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our stockholders sell substantial amounts of Wynn Resorts' common stock in the public market following this offering, the prevailing market price of Wynn Resorts' common stock could decline. Furthermore, sales of substantial amounts of Wynn Resorts' common stock in the public market after contractual and legal restrictions lapse could adversely affect the prevailing market price of the common stock and Wynn Resorts' ability to raise equity capital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08"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as reported on all national exchanges during the four calendar weeks preceding the filing of a Form 144 with respect to such sale.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Wynn Resorts.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Rule 144(k), a person who is not deemed to have been Wynn Resorts' affiliate at any time during the three months preceding a sale, and who has beneficially owned the shares proposed to be sold for at least two years including the holding period of any prior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 control, or are controlled by, or are under common control with, Wynn Resorts. These persons typically include Wynn Resorts' executive officers and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under Rule 701, any of Wynn Resorts' employees, directors, officers, consultants or advisors who purchase shares from Wynn Resorts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 of Wynn Resorts. If they are affiliates, they are eligible to resell the shares 90 days after the effective date of this offering, subject to lock-up agreements, in reliance on Rule 144 but without compliance with the holding period contained in Rule 144.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2002 Stock Incentive Plan</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Immediately after this offering, Wynn Resorts intends to file a registration statement on Form S-8 under the Securities Act covering shares of common stock reserved for issuance under its 2002 stock incentive plan. Shares registered under that registration statement will, upon the optionee's exercise and depending on vesting provisions and Rule 144 volume limitations applicable to Wynn Resorts' affiliates, be available for resale in the public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Wynn Resorts, all of its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Wynn Resorts' common stock or any equity securities convertible into or exercisable or exchangeable for shares of Wynn Resorts' common stock; or enter into any swap or other arrangement that transfers to another, in whole or in part, any economic consequences of ownership of Wynn Resorts'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Wynn Resorts that they have no present intention to release any shares subject to lockup agreements. In</w:t>
      </w:r>
    </w:p>
    <w:p>
      <w:pPr>
        <w:sectPr>
          <w:pgSz w:w="11900" w:h="16838" w:orient="portrait"/>
          <w:cols w:equalWidth="0" w:num="1">
            <w:col w:w="11400"/>
          </w:cols>
          <w:pgMar w:left="240" w:top="341" w:right="259" w:bottom="0" w:gutter="0" w:footer="0" w:header="0"/>
        </w:sectPr>
      </w:pPr>
    </w:p>
    <w:bookmarkStart w:id="89" w:name="page90"/>
    <w:bookmarkEnd w:id="89"/>
    <w:p>
      <w:pPr>
        <w:jc w:val="both"/>
        <w:ind w:right="40"/>
        <w:spacing w:after="0" w:line="306" w:lineRule="auto"/>
        <w:rPr>
          <w:sz w:val="20"/>
          <w:szCs w:val="20"/>
          <w:color w:val="auto"/>
        </w:rPr>
      </w:pPr>
      <w:r>
        <w:rPr>
          <w:rFonts w:ascii="Arial" w:cs="Arial" w:eastAsia="Arial" w:hAnsi="Arial"/>
          <w:sz w:val="16"/>
          <w:szCs w:val="16"/>
          <w:color w:val="auto"/>
        </w:rPr>
        <w:t>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Wynn Resorts' common stock and the hardship of the person requesting the waiver.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 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76"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paid to a non-U.S. holder of Wynn Resorts' common stock ordinarily will be subject to a 30% withholding tax, unless the non-U.S. holder</w:t>
      </w:r>
    </w:p>
    <w:p>
      <w:pPr>
        <w:spacing w:after="0" w:line="38" w:lineRule="exact"/>
        <w:rPr>
          <w:sz w:val="20"/>
          <w:szCs w:val="20"/>
          <w:color w:val="auto"/>
        </w:rPr>
      </w:pPr>
    </w:p>
    <w:p>
      <w:pPr>
        <w:ind w:right="40" w:firstLine="8"/>
        <w:spacing w:after="0" w:line="292" w:lineRule="auto"/>
        <w:tabs>
          <w:tab w:leader="none" w:pos="2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7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340" w:firstLine="8"/>
        <w:spacing w:after="0" w:line="261" w:lineRule="auto"/>
        <w:tabs>
          <w:tab w:leader="none" w:pos="24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Wynn Resorts is a "United States real property holding corporation" (a "USRPHC"), Wynn Resorts' common stock is regularly traded on an established securities market at the time of disposition and other conditions described below are met.</w:t>
      </w:r>
    </w:p>
    <w:p>
      <w:pPr>
        <w:spacing w:after="0" w:line="19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 ("FIRPTA tax and withholding"). We believe, however, that Wynn Resorts' common stock will be considered "regularly traded" on an established securities market because we expect it to be traded on The Nasdaq National Market and to be regularly quoted by brokers and/or dealers making a market in Wynn Resorts' common stock. If Wynn Resorts' common stock is regularly traded at the time of the disposition, withholding generally will not be required and, provided that clauses (1) and (2) above are also satisfied, a non-U.S. holder who did not own more than 5% of the value of Wynn Resorts' common stock, actually or constructively, at any time during the shorter of the five-year period preceding the disposition or the non-U.S. holder's holding period, should not be subject to U.S. federal income tax on any gain realized on the disposition of Wynn Resorts' stock. It is possible, however, that, because of its concentrated ownership, Wynn Resorts' common stock will not be considered regularly traded despite being quoted on The Nasdaq National Market and regularly quoted by market makers. As a result, a non-U.S. holder could be subject to FIRPTA tax and withholding on a disposition of the common stock.</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 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w:t>
      </w:r>
    </w:p>
    <w:p>
      <w:pPr>
        <w:sectPr>
          <w:pgSz w:w="11900" w:h="16838" w:orient="portrait"/>
          <w:cols w:equalWidth="0" w:num="1">
            <w:col w:w="11400"/>
          </w:cols>
          <w:pgMar w:left="240" w:top="131" w:right="259" w:bottom="0" w:gutter="0" w:footer="0" w:header="0"/>
        </w:sectPr>
      </w:pPr>
    </w:p>
    <w:bookmarkStart w:id="90" w:name="page91"/>
    <w:bookmarkEnd w:id="90"/>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decedents dying in 2010, the repeal expires and, unless extended by new legislation, the U.S. federal estate tax will be reinstated beginning January 1, 2011.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23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or documentary evidence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requirements for establishing that it is a non-United States person under U.S. Treasury regulations) or otherwise establishes an exemption. Distributions on Wynn Resorts' common stock will, however, be reported to the IRS and to each non-U.S. holder on Form 1042-S.</w:t>
      </w:r>
    </w:p>
    <w:p>
      <w:pPr>
        <w:spacing w:after="0" w:line="186"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(but not backup withholding) will apply to a payment of the proceeds of a sale of Wynn Resorts' common stock effected outside the United States by a foreign office of a broker if the broker (1) is a United States person,</w:t>
      </w:r>
    </w:p>
    <w:p>
      <w:pPr>
        <w:spacing w:after="0" w:line="1" w:lineRule="exact"/>
        <w:rPr>
          <w:sz w:val="20"/>
          <w:szCs w:val="20"/>
          <w:color w:val="auto"/>
        </w:rPr>
      </w:pPr>
    </w:p>
    <w:p>
      <w:pPr>
        <w:ind w:right="40" w:firstLine="8"/>
        <w:spacing w:after="0" w:line="287" w:lineRule="auto"/>
        <w:tabs>
          <w:tab w:leader="none" w:pos="24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derives 50% or more of its gross income for certain periods from the conduct of a trade or business in the United States, (3) is a "controlled 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78"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180"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56"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Lazard Frères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SG Cowen Securities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7058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94"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remaining 12,000,000 shares that are not being purchased by the underwriters pursuant to the underwriting agreement are being offered by Wynn Resorts directly to certain purchasers at the price being offered to the public. Such purchasers include Stephen A. Wynn, Chairman of the Board, Chief Executive</w:t>
      </w:r>
    </w:p>
    <w:p>
      <w:pPr>
        <w:sectPr>
          <w:pgSz w:w="11900" w:h="17002" w:orient="portrait"/>
          <w:cols w:equalWidth="0" w:num="1">
            <w:col w:w="11360"/>
          </w:cols>
          <w:pgMar w:left="240" w:top="131" w:right="299" w:bottom="0" w:gutter="0" w:footer="0" w:header="0"/>
        </w:sectPr>
      </w:pPr>
    </w:p>
    <w:bookmarkStart w:id="91" w:name="page92"/>
    <w:bookmarkEnd w:id="91"/>
    <w:p>
      <w:pPr>
        <w:ind w:right="360"/>
        <w:spacing w:after="0" w:line="306" w:lineRule="auto"/>
        <w:rPr>
          <w:sz w:val="20"/>
          <w:szCs w:val="20"/>
          <w:color w:val="auto"/>
        </w:rPr>
      </w:pPr>
      <w:r>
        <w:rPr>
          <w:rFonts w:ascii="Arial" w:cs="Arial" w:eastAsia="Arial" w:hAnsi="Arial"/>
          <w:sz w:val="16"/>
          <w:szCs w:val="16"/>
          <w:color w:val="auto"/>
        </w:rPr>
        <w:t>Officer and a principal stockholder of Wynn Resorts, Limited and Aruze USA, a principal stockholder of Wynn Resorts, Limited. The underwriters will not receive any underwriting discounts or commissions on any shares of common stock purchased by such purchasers. The consummation of the purchase by the underwriters under the underwriting agreement and by such purchasers are conditioned on concurrent closings of all such purchases.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been advised by the representatives of the underwriters that the underwriters propose to offer the shares of common stock to the public at the public</w:t>
      </w:r>
    </w:p>
    <w:p>
      <w:pPr>
        <w:spacing w:after="0" w:line="5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offering price set forth on the cover of this prospectus and to dealers at a price that represents a concession not in excess of $[ ] per share under the public offering price. The underwriters may allow, and these dealers may re-allow, a concession of not more than $[ ] per share to other dealers. After the initial public offering, representatives of the underwriters may change the offering price and other selling terms.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have granted to the underwriters an option, exercisable not later than 30 days after the date of this prospectus, to purchase up to 2,418,750 additional shares of common stock at the public offering price less the underwriting discounts and commissions set forth on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to us per share of common stock. The underwriting discounts and commissions are [ ]% of the initial public offering price. We have agreed to pay the underwriters the following discounts and commissions, assuming either no exercise or full exercise by the underwriters of the underwriters' over-allotment option: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gridSpan w:val="3"/>
          </w:tcPr>
          <w:p>
            <w:pPr>
              <w:jc w:val="right"/>
              <w:ind w:right="1672"/>
              <w:spacing w:after="0"/>
              <w:rPr>
                <w:sz w:val="20"/>
                <w:szCs w:val="20"/>
                <w:color w:val="auto"/>
              </w:rPr>
            </w:pPr>
            <w:r>
              <w:rPr>
                <w:rFonts w:ascii="Arial" w:cs="Arial" w:eastAsia="Arial" w:hAnsi="Arial"/>
                <w:sz w:val="14"/>
                <w:szCs w:val="14"/>
                <w:b w:val="1"/>
                <w:bCs w:val="1"/>
                <w:color w:val="auto"/>
              </w:rPr>
              <w:t>Total Fees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86"/>
              </w:rPr>
              <w:t>Without Exercise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 per Share</w:t>
            </w: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19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7"/>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CCEEFF"/>
          </w:tcPr>
          <w:p>
            <w:pPr>
              <w:jc w:val="right"/>
              <w:ind w:right="1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$3.8 million.</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86"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National Market, in the over-the-counter market or otherwise.</w:t>
      </w:r>
    </w:p>
    <w:p>
      <w:pPr>
        <w:sectPr>
          <w:pgSz w:w="11900" w:h="16838" w:orient="portrait"/>
          <w:cols w:equalWidth="0" w:num="1">
            <w:col w:w="11420"/>
          </w:cols>
          <w:pgMar w:left="240" w:top="131" w:right="239" w:bottom="0" w:gutter="0" w:footer="0" w:header="0"/>
        </w:sectPr>
      </w:pPr>
    </w:p>
    <w:bookmarkStart w:id="92" w:name="page93"/>
    <w:bookmarkEnd w:id="92"/>
    <w:p>
      <w:pPr>
        <w:ind w:firstLine="341"/>
        <w:spacing w:after="0" w:line="298" w:lineRule="auto"/>
        <w:rPr>
          <w:sz w:val="20"/>
          <w:szCs w:val="20"/>
          <w:color w:val="auto"/>
        </w:rPr>
      </w:pPr>
      <w:r>
        <w:rPr>
          <w:rFonts w:ascii="Arial" w:cs="Arial" w:eastAsia="Arial" w:hAnsi="Arial"/>
          <w:sz w:val="16"/>
          <w:szCs w:val="16"/>
          <w:color w:val="auto"/>
        </w:rPr>
        <w:t>At our request, the underwriters have reserved for sale at the initial public offering price up to 300,000 shares of our common stock being sold in this offering for our vendors, employees, family members of employees, customers and other third parties. The number of 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pacing w:after="0" w:line="167"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joint book-running managers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0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Deutsche Bank Securities Inc., Banc of America Securities LLC, Bear, Stearns &amp; Co. Inc. and an affiliate of Dresdner Kleinwort Wasserstein Securities LLC will act as joint book-running managers in the offering of second mortgage notes by Wynn Las Vegas and Wynn Capital, which is expected to close concurrently with this offering, and will receive certain fees for their services. SG Cowen Securities Corporation and Jefferies &amp; Company, Inc. will also act as underwriters in connection with the offering of second mortgage notes by Wynn Las Vegas and Wynn Capital and will receive certain fees for their services.</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Deutsche Bank Trust Company Americas, an affiliate of Deutsche Bank Securities Inc., will act as the sole administrative agent and as a lender under our subsidiaries' credit facilities and will receive certain fees for its services. In addition, Deutsche Bank Securities Inc. will act as advisor, joint book-running manager and lead-arranger in connection with the credit facilities and will receive certain fees for its services.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J.P. Morgan Securities Inc. will act as joint documentation agent, and J.P. Morgan Chase Bank, an affiliate of J.P. Morgan Securities Inc., will act as a lender under the credit facilities and will receive certain fees for their services. Dresdner Bank A.G., New York branch, an affiliate of Dresdner Kleinwort Wasserstein Securities LLC, will act as arranger and joint documentation agent and as a lender under the credit facilities and will receive certain fees for its services. See "Description of Certain Indebtedness—Credit Facilities."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An affiliate of Bear, Stearns &amp; Co. Inc. will act as a lender under the FF&amp;E facility and will receive certain fees for its services. An affiliate of SG Cowen Securities Corporation will participate in the FF&amp;E facility and will receive certain fees for its services. Wynn Las Vegas intends to use approximately $28.5 million of borrowings under the FF&amp;E facility to refinance a loan made by Bank of America, N.A. to World Travel, LLC, a wholly owned subsidiary of Wynn Las Vegas. See "Description of Certain Indebtedness—FF&amp;E Facility."</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8"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22" w:lineRule="exact"/>
        <w:rPr>
          <w:rFonts w:ascii="Arial" w:cs="Arial" w:eastAsia="Arial" w:hAnsi="Arial"/>
          <w:sz w:val="18"/>
          <w:szCs w:val="18"/>
          <w:color w:val="auto"/>
        </w:rPr>
      </w:pPr>
    </w:p>
    <w:p>
      <w:pPr>
        <w:ind w:left="1080" w:right="700" w:hanging="532"/>
        <w:spacing w:after="0" w:line="254"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It is expected that delivery of the shares will be made against payment therefor on the date specified on the cover page of this prospectus, which will be the fifth business day following the date of pricing of the shares. Under Rule 15c6-1 under the Exchange Act, trades in the secondary market generally are required to settle in three business days, unless the parties to any such trade expressly agree otherwise. Accordingly, purchasers who wish to trade the shares on the date of pricing or the next succeeding four business days will be required by virtue of the fact that the shares initially will settle in five business days to specify an alternate settlement cycle at the time of any such trade to prevent failed settlement.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Purchasers of the shares who wish to trade the shares on the date of pricing or the next succeeding four business days should consult their own advisor.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w:t>
      </w:r>
    </w:p>
    <w:p>
      <w:pPr>
        <w:spacing w:after="0" w:line="231" w:lineRule="exact"/>
        <w:rPr>
          <w:sz w:val="20"/>
          <w:szCs w:val="20"/>
          <w:color w:val="auto"/>
        </w:rPr>
      </w:pPr>
    </w:p>
    <w:p>
      <w:pPr>
        <w:ind w:right="220" w:firstLine="348"/>
        <w:spacing w:after="0" w:line="335" w:lineRule="auto"/>
        <w:rPr>
          <w:sz w:val="20"/>
          <w:szCs w:val="20"/>
          <w:color w:val="auto"/>
        </w:rPr>
      </w:pPr>
      <w:r>
        <w:rPr>
          <w:rFonts w:ascii="Arial" w:cs="Arial" w:eastAsia="Arial" w:hAnsi="Arial"/>
          <w:sz w:val="15"/>
          <w:szCs w:val="15"/>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w:t>
      </w:r>
    </w:p>
    <w:p>
      <w:pPr>
        <w:sectPr>
          <w:pgSz w:w="11900" w:h="16838" w:orient="portrait"/>
          <w:cols w:equalWidth="0" w:num="1">
            <w:col w:w="11420"/>
          </w:cols>
          <w:pgMar w:left="240" w:top="131" w:right="239" w:bottom="0" w:gutter="0" w:footer="0" w:header="0"/>
        </w:sectPr>
      </w:pPr>
    </w:p>
    <w:bookmarkStart w:id="93" w:name="page94"/>
    <w:bookmarkEnd w:id="93"/>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must not be acted on or relied on by persons who are not relevant persons. Any investment or investment activity to which this prospectus relates is available only to relevant persons and will be engaged in only with relevant persons.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 passed upon for us by Schreck Brignone, Las Vegas, Nevada. Certain matters of the law of the Macau Special Administrative Region of the People's Republic of China will be passed upon for Wynn Resorts by A. Correia da Silva, Macau Special Administrative Region of the People's Republic of China. Latham &amp; Watkins is acting as counsel to the underwriters for this offering, the underwriters for the second mortgage notes and the arrangers under the credit facilities.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(which reports express unqualified opinions and include an explanatory paragraph referring to the restatement of the financial statements at Note 12)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Valvino named Deloitte &amp; Touche LLP ("Deloitte &amp; Touche") as its new independent auditors in May, 2002. Prior to their appointment as independent auditors,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 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74030" cy="2743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57403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3460" w:type="dxa"/>
            <w:vAlign w:val="bottom"/>
          </w:tcPr>
          <w:p>
            <w:pPr>
              <w:ind w:left="3220"/>
              <w:spacing w:after="0"/>
              <w:rPr>
                <w:sz w:val="20"/>
                <w:szCs w:val="20"/>
                <w:color w:val="auto"/>
              </w:rPr>
            </w:pPr>
            <w:r>
              <w:rPr>
                <w:rFonts w:ascii="Arial" w:cs="Arial" w:eastAsia="Arial" w:hAnsi="Arial"/>
                <w:sz w:val="18"/>
                <w:szCs w:val="18"/>
                <w:color w:val="auto"/>
                <w:w w:val="81"/>
              </w:rPr>
              <w:t>F-2</w:t>
            </w:r>
          </w:p>
        </w:tc>
      </w:tr>
      <w:tr>
        <w:trPr>
          <w:trHeight w:val="193"/>
        </w:trPr>
        <w:tc>
          <w:tcPr>
            <w:tcW w:w="532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31" w:right="239" w:bottom="0" w:gutter="0" w:footer="0" w:header="0"/>
        </w:sectPr>
      </w:pPr>
    </w:p>
    <w:bookmarkStart w:id="94" w:name="page95"/>
    <w:bookmarkEnd w:id="9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F-3</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Operations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F-4</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F-5</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Cash Flows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F-6</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F-8</w:t>
            </w:r>
          </w:p>
        </w:tc>
        <w:tc>
          <w:tcPr>
            <w:tcW w:w="2640" w:type="dxa"/>
            <w:vAlign w:val="bottom"/>
          </w:tcPr>
          <w:p>
            <w:pPr>
              <w:spacing w:after="0"/>
              <w:rPr>
                <w:sz w:val="24"/>
                <w:szCs w:val="24"/>
                <w:color w:val="auto"/>
              </w:rPr>
            </w:pPr>
          </w:p>
        </w:tc>
      </w:tr>
      <w:tr>
        <w:trPr>
          <w:trHeight w:val="430"/>
        </w:trPr>
        <w:tc>
          <w:tcPr>
            <w:tcW w:w="4840" w:type="dxa"/>
            <w:vAlign w:val="bottom"/>
          </w:tcPr>
          <w:p>
            <w:pPr>
              <w:spacing w:after="0"/>
              <w:rPr>
                <w:sz w:val="24"/>
                <w:szCs w:val="24"/>
                <w:color w:val="auto"/>
              </w:rPr>
            </w:pPr>
          </w:p>
        </w:tc>
        <w:tc>
          <w:tcPr>
            <w:tcW w:w="6580" w:type="dxa"/>
            <w:vAlign w:val="bottom"/>
            <w:gridSpan w:val="2"/>
          </w:tcPr>
          <w:p>
            <w:pPr>
              <w:ind w:left="760"/>
              <w:spacing w:after="0"/>
              <w:rPr>
                <w:sz w:val="20"/>
                <w:szCs w:val="20"/>
                <w:color w:val="auto"/>
              </w:rPr>
            </w:pPr>
            <w:r>
              <w:rPr>
                <w:rFonts w:ascii="Arial" w:cs="Arial" w:eastAsia="Arial" w:hAnsi="Arial"/>
                <w:sz w:val="18"/>
                <w:szCs w:val="18"/>
                <w:color w:val="auto"/>
              </w:rPr>
              <w:t>F-1</w:t>
            </w:r>
          </w:p>
        </w:tc>
      </w:tr>
      <w:tr>
        <w:trPr>
          <w:trHeight w:val="228"/>
        </w:trPr>
        <w:tc>
          <w:tcPr>
            <w:tcW w:w="48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12,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 (October 2, 2002 as to the effects of the restatement at Note 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(As restated, see Note 12)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See Note 10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536"/>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5"/>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Due from related parties,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337,467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rights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Due from related parties, net of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-3178175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-3178175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-2646680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-2646680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-2646680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-2646680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-2646680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-2646680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-2646680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-2646680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-1008380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-1008380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-1008380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-1008380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-1008380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-1008380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-13970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-13970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-13970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-13970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-13970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-13970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95" w:name="page96"/>
    <w:bookmarkEnd w:id="95"/>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3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Members' Equity</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rPr>
              <w:t>Preferred stock $.01 Par Value 40,000,000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authorized, zero shares outstanding</w:t>
            </w: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$.01 Par Value 400,000,000 shares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authorized 40,000,000 shares outstanding</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585,666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52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(28,342)</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tcPr>
          <w:p>
            <w:pPr>
              <w:spacing w:after="0"/>
              <w:rPr>
                <w:sz w:val="24"/>
                <w:szCs w:val="24"/>
                <w:color w:val="auto"/>
              </w:rPr>
            </w:pP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384,230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 Equity</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-2741295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-2741295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-2741295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-2741295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-2741295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-2741295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-648970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-648970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-648970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-648970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-648970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-648970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-648970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-648970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-357505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-357505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-357505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-357505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-357505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-357505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88"/>
              </w:rPr>
              <w:t>F-3</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gridSpan w:val="2"/>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8"/>
          </w:tcPr>
          <w:p>
            <w:pPr>
              <w:jc w:val="center"/>
              <w:ind w:left="269"/>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20" w:type="dxa"/>
            <w:vAlign w:val="bottom"/>
            <w:gridSpan w:val="8"/>
          </w:tcPr>
          <w:p>
            <w:pPr>
              <w:jc w:val="center"/>
              <w:ind w:left="249"/>
              <w:spacing w:after="0"/>
              <w:rPr>
                <w:sz w:val="20"/>
                <w:szCs w:val="20"/>
                <w:color w:val="auto"/>
              </w:rPr>
            </w:pPr>
            <w:r>
              <w:rPr>
                <w:rFonts w:ascii="Arial" w:cs="Arial" w:eastAsia="Arial" w:hAnsi="Arial"/>
                <w:sz w:val="18"/>
                <w:szCs w:val="18"/>
                <w:b w:val="1"/>
                <w:bCs w:val="1"/>
                <w:color w:val="auto"/>
                <w:w w:val="97"/>
              </w:rPr>
              <w:t>(A DEVELOPMENT STAGE COMPANY)</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left="129"/>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8"/>
          </w:tcPr>
          <w:p>
            <w:pPr>
              <w:jc w:val="center"/>
              <w:ind w:left="249"/>
              <w:spacing w:after="0"/>
              <w:rPr>
                <w:sz w:val="20"/>
                <w:szCs w:val="20"/>
                <w:color w:val="auto"/>
              </w:rPr>
            </w:pPr>
            <w:r>
              <w:rPr>
                <w:rFonts w:ascii="Arial" w:cs="Arial" w:eastAsia="Arial" w:hAnsi="Arial"/>
                <w:sz w:val="18"/>
                <w:szCs w:val="18"/>
                <w:b w:val="1"/>
                <w:bCs w:val="1"/>
                <w:color w:val="auto"/>
                <w:w w:val="86"/>
              </w:rPr>
              <w:t>(In thousands, except share data)</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6"/>
              </w:rPr>
              <w:t>(As restated, see Note 12)</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20"/>
                <w:szCs w:val="20"/>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From Inception to</w:t>
            </w:r>
          </w:p>
        </w:tc>
        <w:tc>
          <w:tcPr>
            <w:tcW w:w="100" w:type="dxa"/>
            <w:vAlign w:val="bottom"/>
          </w:tcPr>
          <w:p>
            <w:pPr>
              <w:spacing w:after="0"/>
              <w:rPr>
                <w:sz w:val="20"/>
                <w:szCs w:val="20"/>
                <w:color w:val="auto"/>
              </w:rPr>
            </w:pPr>
          </w:p>
        </w:tc>
        <w:tc>
          <w:tcPr>
            <w:tcW w:w="362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2001</w:t>
            </w:r>
          </w:p>
        </w:tc>
        <w:tc>
          <w:tcPr>
            <w:tcW w:w="120" w:type="dxa"/>
            <w:vAlign w:val="bottom"/>
          </w:tcPr>
          <w:p>
            <w:pPr>
              <w:spacing w:after="0"/>
              <w:rPr>
                <w:sz w:val="15"/>
                <w:szCs w:val="15"/>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December 31, 2001</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Airplane</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726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680</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1480" w:type="dxa"/>
            <w:vAlign w:val="bottom"/>
            <w:gridSpan w:val="3"/>
          </w:tcPr>
          <w:p>
            <w:pPr>
              <w:jc w:val="right"/>
              <w:ind w:right="40"/>
              <w:spacing w:after="0"/>
              <w:rPr>
                <w:sz w:val="20"/>
                <w:szCs w:val="20"/>
                <w:color w:val="auto"/>
              </w:rPr>
            </w:pPr>
            <w:r>
              <w:rPr>
                <w:rFonts w:ascii="Arial" w:cs="Arial" w:eastAsia="Arial" w:hAnsi="Arial"/>
                <w:sz w:val="14"/>
                <w:szCs w:val="14"/>
                <w:color w:val="auto"/>
              </w:rPr>
              <w:t>1,077 $</w:t>
            </w: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1,890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Art gallery</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152</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Retail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124</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Water</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78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2,189</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9,042</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5,490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26,610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4,599</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4,203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16,807</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w w:val="91"/>
              </w:rPr>
              <w:t>Loss on sale of fixed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499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Selling, general &amp;</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administrative expenses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649</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Facility closure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1,579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water</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Cost of retail sales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68</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Loss from incidental</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operations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1,428</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78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14,348</w:t>
            </w:r>
          </w:p>
        </w:tc>
        <w:tc>
          <w:tcPr>
            <w:tcW w:w="10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10,456</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21,217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12,120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47,685</w:t>
            </w: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Loss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(13,403)</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(9,770)</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(20,060)</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(12,033)</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(45,496)</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Other Income/(Expense)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Interest expense, net of</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amounts capitalized</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(498)</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1,550</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4,594</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-5483225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-5483225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-4068445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-4068445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-3725545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-3725545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-3725545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-3725545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-3725545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-3725545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-3725545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-3725545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-3725545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-3725545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-2610485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-2610485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-2610485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-2610485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-2610485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-2610485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-2610485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-2610485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-2610485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-2610485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-929640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-929640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-929640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-929640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-929640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-929640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-929640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-929640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-929640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-929640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-680720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-680720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-680720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-680720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-680720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-680720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-680720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-680720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-680720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-680720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420"/>
          </w:cols>
          <w:pgMar w:left="240" w:top="355" w:right="239" w:bottom="0" w:gutter="0" w:footer="0" w:header="0"/>
        </w:sectPr>
      </w:pPr>
    </w:p>
    <w:bookmarkStart w:id="96" w:name="page97"/>
    <w:bookmarkEnd w:id="96"/>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1347470</wp:posOffset>
            </wp:positionH>
            <wp:positionV relativeFrom="page">
              <wp:posOffset>88900</wp:posOffset>
            </wp:positionV>
            <wp:extent cx="4558030" cy="190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5580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4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Arial" w:cs="Arial" w:eastAsia="Arial" w:hAnsi="Arial"/>
                <w:sz w:val="14"/>
                <w:szCs w:val="14"/>
                <w:color w:val="auto"/>
              </w:rPr>
              <w:t>Minority Interest</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w w:val="95"/>
              </w:rPr>
              <w:t>Net loss accumulated during</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the development stage</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(12,776)</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(8,234)</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(17,726)</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(10,616)</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05"/>
        </w:trPr>
        <w:tc>
          <w:tcPr>
            <w:tcW w:w="1880" w:type="dxa"/>
            <w:vAlign w:val="bottom"/>
            <w:vMerge w:val="restart"/>
          </w:tcPr>
          <w:p>
            <w:pPr>
              <w:spacing w:after="0"/>
              <w:rPr>
                <w:sz w:val="20"/>
                <w:szCs w:val="20"/>
                <w:color w:val="auto"/>
              </w:rPr>
            </w:pPr>
            <w:r>
              <w:rPr>
                <w:rFonts w:ascii="Arial" w:cs="Arial" w:eastAsia="Arial" w:hAnsi="Arial"/>
                <w:sz w:val="14"/>
                <w:szCs w:val="14"/>
                <w:color w:val="auto"/>
              </w:rPr>
              <w:t>Weighted Average Shares</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vMerge w:val="continu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80" w:type="dxa"/>
            <w:vAlign w:val="bottom"/>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208,784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203,230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205,479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204,482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Diluted</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(61.19)</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(40.52)</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(86.27)</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(53.08)</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138"/>
        </w:trPr>
        <w:tc>
          <w:tcPr>
            <w:tcW w:w="1880" w:type="dxa"/>
            <w:vAlign w:val="bottom"/>
          </w:tcPr>
          <w:p>
            <w:pPr>
              <w:spacing w:after="0" w:line="138" w:lineRule="exact"/>
              <w:rPr>
                <w:sz w:val="20"/>
                <w:szCs w:val="20"/>
                <w:color w:val="auto"/>
              </w:rPr>
            </w:pPr>
            <w:r>
              <w:rPr>
                <w:rFonts w:ascii="Arial" w:cs="Arial" w:eastAsia="Arial" w:hAnsi="Arial"/>
                <w:sz w:val="14"/>
                <w:szCs w:val="14"/>
                <w:color w:val="auto"/>
              </w:rPr>
              <w:t>Pro Forma Share Information:</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tcPr>
          <w:p>
            <w:pPr>
              <w:spacing w:after="0" w:line="159" w:lineRule="exact"/>
              <w:rPr>
                <w:sz w:val="20"/>
                <w:szCs w:val="20"/>
                <w:color w:val="auto"/>
              </w:rPr>
            </w:pPr>
            <w:r>
              <w:rPr>
                <w:rFonts w:ascii="Arial" w:cs="Arial" w:eastAsia="Arial" w:hAnsi="Arial"/>
                <w:sz w:val="14"/>
                <w:szCs w:val="14"/>
                <w:color w:val="auto"/>
              </w:rPr>
              <w:t>(See Note 10)</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39,610,500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38,983,476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-1392555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-1392555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-1392555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-1392555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-1392555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-1392555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-1392555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-1392555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-1392555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-1392555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Kenneth R.</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4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Stephen A. Wynn</w:t>
            </w:r>
          </w:p>
        </w:tc>
        <w:tc>
          <w:tcPr>
            <w:tcW w:w="2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Aruze USA,</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Baron Asset</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Wynn Family</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 Capital</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Fund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Trust</w:t>
            </w:r>
          </w:p>
        </w:tc>
        <w:tc>
          <w:tcPr>
            <w:tcW w:w="28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Inception (April 21, 2000)</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2000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2001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207,692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125,227</w:t>
            </w:r>
          </w:p>
        </w:tc>
        <w:tc>
          <w:tcPr>
            <w:tcW w:w="1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239,501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Member contributions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w w:val="95"/>
              </w:rPr>
              <w:t>development stage (unaudited)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2002 (unaudited)</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 see 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-4113530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-4113530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-4113530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-4113530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-4113530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-4113530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-4113530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-4113530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-4113530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-4113530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-4113530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-4113530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-2947035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-2947035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-2947035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-2947035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-2947035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-2947035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-2947035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-2947035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-2947035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-2947035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-2947035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-2947035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-1626235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-1626235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-1626235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-1626235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-1626235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-1626235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-1626235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-1626235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-1626235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-1626235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-1626235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-1626235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-460375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-460375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-460375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-460375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-460375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-460375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-460375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-460375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-460375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-460375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-460375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-460375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(As restated,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66675</wp:posOffset>
            </wp:positionV>
            <wp:extent cx="469519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695190" cy="21590"/>
                    </a:xfrm>
                    <a:prstGeom prst="rect">
                      <a:avLst/>
                    </a:prstGeom>
                    <a:noFill/>
                  </pic:spPr>
                </pic:pic>
              </a:graphicData>
            </a:graphic>
          </wp:anchor>
        </w:drawing>
      </w:r>
    </w:p>
    <w:p>
      <w:pPr>
        <w:spacing w:after="0" w:line="211" w:lineRule="exact"/>
        <w:rPr>
          <w:sz w:val="20"/>
          <w:szCs w:val="20"/>
          <w:color w:val="auto"/>
        </w:rPr>
      </w:pPr>
    </w:p>
    <w:p>
      <w:pPr>
        <w:ind w:left="2940"/>
        <w:spacing w:after="0"/>
        <w:tabs>
          <w:tab w:leader="none" w:pos="4500" w:val="left"/>
          <w:tab w:leader="none" w:pos="6180" w:val="left"/>
          <w:tab w:leader="none" w:pos="7560" w:val="left"/>
          <w:tab w:leader="none" w:pos="8840" w:val="left"/>
        </w:tabs>
        <w:rPr>
          <w:sz w:val="20"/>
          <w:szCs w:val="20"/>
          <w:color w:val="auto"/>
        </w:rPr>
      </w:pPr>
      <w:r>
        <w:rPr>
          <w:rFonts w:ascii="Arial" w:cs="Arial" w:eastAsia="Arial" w:hAnsi="Arial"/>
          <w:sz w:val="14"/>
          <w:szCs w:val="14"/>
          <w:b w:val="1"/>
          <w:bCs w:val="1"/>
          <w:color w:val="auto"/>
        </w:rPr>
        <w:t>Six Months Ended</w:t>
      </w:r>
      <w:r>
        <w:rPr>
          <w:sz w:val="20"/>
          <w:szCs w:val="20"/>
          <w:color w:val="auto"/>
        </w:rPr>
        <w:tab/>
      </w:r>
      <w:r>
        <w:rPr>
          <w:rFonts w:ascii="Arial" w:cs="Arial" w:eastAsia="Arial" w:hAnsi="Arial"/>
          <w:sz w:val="14"/>
          <w:szCs w:val="14"/>
          <w:b w:val="1"/>
          <w:bCs w:val="1"/>
          <w:color w:val="auto"/>
        </w:rPr>
        <w:t>Six Months Ended</w:t>
      </w:r>
      <w:r>
        <w:rPr>
          <w:sz w:val="20"/>
          <w:szCs w:val="20"/>
          <w:color w:val="auto"/>
        </w:rPr>
        <w:tab/>
      </w: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4"/>
          <w:szCs w:val="14"/>
          <w:b w:val="1"/>
          <w:bCs w:val="1"/>
          <w:color w:val="auto"/>
        </w:rPr>
        <w:t>Inception to</w:t>
      </w:r>
      <w:r>
        <w:rPr>
          <w:sz w:val="20"/>
          <w:szCs w:val="20"/>
          <w:color w:val="auto"/>
        </w:rPr>
        <w:tab/>
      </w:r>
      <w:r>
        <w:rPr>
          <w:rFonts w:ascii="Arial" w:cs="Arial" w:eastAsia="Arial" w:hAnsi="Arial"/>
          <w:sz w:val="12"/>
          <w:szCs w:val="12"/>
          <w:b w:val="1"/>
          <w:bCs w:val="1"/>
          <w:color w:val="auto"/>
        </w:rPr>
        <w:t>Inception to June 30,</w:t>
      </w:r>
    </w:p>
    <w:p>
      <w:pPr>
        <w:sectPr>
          <w:pgSz w:w="11900" w:h="16870" w:orient="portrait"/>
          <w:cols w:equalWidth="0" w:num="1">
            <w:col w:w="10840"/>
          </w:cols>
          <w:pgMar w:left="240" w:top="276" w:right="819"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June 30, 2002</w:t>
            </w:r>
          </w:p>
        </w:tc>
        <w:tc>
          <w:tcPr>
            <w:tcW w:w="18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30, 2001</w:t>
            </w:r>
          </w:p>
        </w:tc>
        <w:tc>
          <w:tcPr>
            <w:tcW w:w="8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2001</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220" w:type="dxa"/>
            <w:vAlign w:val="bottom"/>
          </w:tcPr>
          <w:p>
            <w:pPr>
              <w:spacing w:after="0"/>
              <w:rPr>
                <w:sz w:val="15"/>
                <w:szCs w:val="15"/>
                <w:color w:val="auto"/>
              </w:rPr>
            </w:pPr>
          </w:p>
        </w:tc>
        <w:tc>
          <w:tcPr>
            <w:tcW w:w="1200" w:type="dxa"/>
            <w:vAlign w:val="bottom"/>
          </w:tcPr>
          <w:p>
            <w:pPr>
              <w:jc w:val="right"/>
              <w:ind w:right="49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3"/>
                <w:szCs w:val="23"/>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w w:val="91"/>
              </w:rPr>
              <w:t>Net loss accumulated during the development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3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(12,776)</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(8,234)</w:t>
            </w:r>
          </w:p>
        </w:tc>
        <w:tc>
          <w:tcPr>
            <w:tcW w:w="500" w:type="dxa"/>
            <w:vAlign w:val="bottom"/>
            <w:gridSpan w:val="2"/>
          </w:tcPr>
          <w:p>
            <w:pPr>
              <w:jc w:val="right"/>
              <w:ind w:right="292"/>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(17,726)</w:t>
            </w:r>
          </w:p>
        </w:tc>
        <w:tc>
          <w:tcPr>
            <w:tcW w:w="300" w:type="dxa"/>
            <w:vAlign w:val="bottom"/>
          </w:tcPr>
          <w:p>
            <w:pPr>
              <w:jc w:val="right"/>
              <w:ind w:right="18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(10,616)</w:t>
            </w:r>
          </w:p>
        </w:tc>
        <w:tc>
          <w:tcPr>
            <w:tcW w:w="220" w:type="dxa"/>
            <w:vAlign w:val="bottom"/>
          </w:tcPr>
          <w:p>
            <w:pPr>
              <w:jc w:val="right"/>
              <w:ind w:right="72"/>
              <w:spacing w:after="0" w:line="15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Adjustments to reconcile net loss accumulated</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4,599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8,163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loan origination fees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Loss on sale of fixed assets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Incidental operations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1,971</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3,611</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2"/>
              </w:rPr>
              <w:t>Increase (decrease) in cash from changes in: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(1,787)</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(71)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Prepaid expenses and other</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(133)</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(738)</w:t>
            </w:r>
          </w:p>
        </w:tc>
        <w:tc>
          <w:tcPr>
            <w:tcW w:w="22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Accounts payable and accrued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6,319</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(8,986)</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Net Cash Provided by / (Used in) Operating</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(1,827)</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(4,917)</w:t>
            </w: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(5,900)</w:t>
            </w:r>
          </w:p>
        </w:tc>
        <w:tc>
          <w:tcPr>
            <w:tcW w:w="2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18"/>
        </w:trPr>
        <w:tc>
          <w:tcPr>
            <w:tcW w:w="26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Acquisition of Desert Inn Resort and</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Casino, net of cash acquired</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2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ind w:left="200"/>
              <w:spacing w:after="0" w:line="138" w:lineRule="exact"/>
              <w:rPr>
                <w:sz w:val="20"/>
                <w:szCs w:val="20"/>
                <w:color w:val="auto"/>
              </w:rPr>
            </w:pPr>
            <w:r>
              <w:rPr>
                <w:rFonts w:ascii="Arial" w:cs="Arial" w:eastAsia="Arial" w:hAnsi="Arial"/>
                <w:sz w:val="14"/>
                <w:szCs w:val="14"/>
                <w:color w:val="auto"/>
                <w:w w:val="96"/>
              </w:rPr>
              <w:t>Capital expenditures, net of construction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200"/>
              <w:spacing w:after="0" w:line="159" w:lineRule="exact"/>
              <w:rPr>
                <w:sz w:val="20"/>
                <w:szCs w:val="20"/>
                <w:color w:val="auto"/>
              </w:rPr>
            </w:pPr>
            <w:r>
              <w:rPr>
                <w:rFonts w:ascii="Arial" w:cs="Arial" w:eastAsia="Arial" w:hAnsi="Arial"/>
                <w:sz w:val="14"/>
                <w:szCs w:val="14"/>
                <w:color w:val="auto"/>
              </w:rPr>
              <w:t>payables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(19,460)</w:t>
            </w:r>
          </w:p>
        </w:tc>
        <w:tc>
          <w:tcPr>
            <w:tcW w:w="180" w:type="dxa"/>
            <w:vAlign w:val="bottom"/>
          </w:tcPr>
          <w:p>
            <w:pPr>
              <w:spacing w:after="0"/>
              <w:rPr>
                <w:sz w:val="13"/>
                <w:szCs w:val="13"/>
                <w:color w:val="auto"/>
              </w:rPr>
            </w:pP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(14,961)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(29,082)</w:t>
            </w:r>
          </w:p>
        </w:tc>
        <w:tc>
          <w:tcPr>
            <w:tcW w:w="300" w:type="dxa"/>
            <w:vAlign w:val="bottom"/>
          </w:tcPr>
          <w:p>
            <w:pPr>
              <w:spacing w:after="0"/>
              <w:rPr>
                <w:sz w:val="13"/>
                <w:szCs w:val="13"/>
                <w:color w:val="auto"/>
              </w:rPr>
            </w:pPr>
          </w:p>
        </w:tc>
        <w:tc>
          <w:tcPr>
            <w:tcW w:w="11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(47,617)</w:t>
            </w:r>
          </w:p>
        </w:tc>
        <w:tc>
          <w:tcPr>
            <w:tcW w:w="220" w:type="dxa"/>
            <w:vAlign w:val="bottom"/>
          </w:tcPr>
          <w:p>
            <w:pPr>
              <w:spacing w:after="0"/>
              <w:rPr>
                <w:sz w:val="13"/>
                <w:szCs w:val="13"/>
                <w:color w:val="auto"/>
              </w:rPr>
            </w:pP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airplane</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(9,591)</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(4,853)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(1,707)</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(1,299)</w:t>
            </w:r>
          </w:p>
        </w:tc>
        <w:tc>
          <w:tcPr>
            <w:tcW w:w="22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from related parties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(6,351)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8,008</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(26,115)</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(15,507)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(30,212)</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(328,419)</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(Continued)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17640" cy="18859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517640" cy="18859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-4780280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-4780280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-4780280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-4780280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-4780280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-4780280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-4780280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-4780280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-4780280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-4780280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-2172970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-2172970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-2172970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-2172970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-2172970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-2172970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-2172970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-2172970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-2172970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-2172970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-1830070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-1830070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-1830070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-1830070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-1830070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-1830070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-1830070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-1830070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-1830070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-1830070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-586740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-586740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-586740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-586740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-586740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-586740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-586740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-586740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-586740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-277495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-277495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-277495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-277495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-277495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-277495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-277495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-277495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-277495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-277495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w w:val="97"/>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Proceeds from issuance of related party</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loan</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Net Cash Provided by/(used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148,592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5,026</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(15,161)</w:t>
            </w:r>
          </w:p>
        </w:tc>
        <w:tc>
          <w:tcPr>
            <w:tcW w:w="3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54,429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59,455</w:t>
            </w:r>
          </w:p>
        </w:tc>
        <w:tc>
          <w:tcPr>
            <w:tcW w:w="2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39,268</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3"/>
                <w:szCs w:val="23"/>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453</w:t>
            </w:r>
          </w:p>
        </w:tc>
        <w:tc>
          <w:tcPr>
            <w:tcW w:w="200" w:type="dxa"/>
            <w:vAlign w:val="bottom"/>
          </w:tcPr>
          <w:p>
            <w:pPr>
              <w:spacing w:after="0"/>
              <w:rPr>
                <w:sz w:val="14"/>
                <w:szCs w:val="14"/>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-1420495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-1420495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-1420495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-1420495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-1420495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-1420495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-1420495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-1420495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-1420495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-1420495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-1077595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-1077595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-1077595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-1077595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-1077595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-1077595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-1077595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-1077595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-1077595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-1077595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-640080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-640080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-640080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-640080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-640080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-640080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-640080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10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3" w:lineRule="exact"/>
        <w:rPr>
          <w:sz w:val="20"/>
          <w:szCs w:val="20"/>
          <w:color w:val="auto"/>
        </w:rPr>
      </w:pPr>
    </w:p>
    <w:p>
      <w:pPr>
        <w:ind w:left="54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 a.).</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ectPr>
          <w:pgSz w:w="11900" w:h="16838" w:orient="portrait"/>
          <w:cols w:equalWidth="0" w:num="1">
            <w:col w:w="11260"/>
          </w:cols>
          <w:pgMar w:left="240" w:top="127" w:right="399" w:bottom="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52"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540" w:right="100" w:firstLine="348"/>
        <w:spacing w:after="0" w:line="256" w:lineRule="auto"/>
        <w:rPr>
          <w:sz w:val="20"/>
          <w:szCs w:val="20"/>
          <w:color w:val="auto"/>
        </w:rPr>
      </w:pPr>
      <w:r>
        <w:rPr>
          <w:rFonts w:ascii="Arial" w:cs="Arial" w:eastAsia="Arial" w:hAnsi="Arial"/>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pacing w:after="0" w:line="197"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380" w:firstLine="351"/>
        <w:spacing w:after="0" w:line="294"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Accordingly,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financial position and results of operations of Kevyn, LLC are combined with the financial position and results of operations of the Company for all periods presented.</w:t>
      </w:r>
    </w:p>
    <w:p>
      <w:pPr>
        <w:spacing w:after="0" w:line="186" w:lineRule="exact"/>
        <w:rPr>
          <w:sz w:val="20"/>
          <w:szCs w:val="20"/>
          <w:color w:val="auto"/>
        </w:rPr>
      </w:pPr>
    </w:p>
    <w:p>
      <w:pPr>
        <w:ind w:left="540" w:right="140" w:firstLine="341"/>
        <w:spacing w:after="0" w:line="298" w:lineRule="auto"/>
        <w:rPr>
          <w:sz w:val="20"/>
          <w:szCs w:val="20"/>
          <w:color w:val="auto"/>
        </w:rPr>
      </w:pPr>
      <w:r>
        <w:rPr>
          <w:rFonts w:ascii="Arial" w:cs="Arial" w:eastAsia="Arial" w:hAnsi="Arial"/>
          <w:sz w:val="16"/>
          <w:szCs w:val="16"/>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80"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left="540"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left="540"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4"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left="540"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213"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left="540"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Restricted Cash</w:t>
      </w:r>
    </w:p>
    <w:p>
      <w:pPr>
        <w:sectPr>
          <w:pgSz w:w="11900" w:h="16838" w:orient="portrait"/>
          <w:cols w:equalWidth="0" w:num="1">
            <w:col w:w="11420"/>
          </w:cols>
          <w:pgMar w:left="240" w:top="131" w:right="239" w:bottom="0" w:gutter="0" w:footer="0" w:header="0"/>
        </w:sectPr>
      </w:pPr>
    </w:p>
    <w:bookmarkStart w:id="99" w:name="page100"/>
    <w:bookmarkEnd w:id="99"/>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213"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3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1 to 3 years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Parking garage</w:t>
            </w:r>
          </w:p>
        </w:tc>
        <w:tc>
          <w:tcPr>
            <w:tcW w:w="3400" w:type="dxa"/>
            <w:vAlign w:val="bottom"/>
          </w:tcPr>
          <w:p>
            <w:pPr>
              <w:ind w:left="1860"/>
              <w:spacing w:after="0"/>
              <w:rPr>
                <w:sz w:val="20"/>
                <w:szCs w:val="20"/>
                <w:color w:val="auto"/>
              </w:rPr>
            </w:pPr>
            <w:r>
              <w:rPr>
                <w:rFonts w:ascii="Arial" w:cs="Arial" w:eastAsia="Arial" w:hAnsi="Arial"/>
                <w:sz w:val="18"/>
                <w:szCs w:val="18"/>
                <w:color w:val="auto"/>
              </w:rPr>
              <w:t>15 years</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7 years</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400" w:type="dxa"/>
            <w:vAlign w:val="bottom"/>
          </w:tcPr>
          <w:p>
            <w:pPr>
              <w:ind w:left="186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08"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24" w:lineRule="exact"/>
        <w:rPr>
          <w:sz w:val="20"/>
          <w:szCs w:val="20"/>
          <w:color w:val="auto"/>
        </w:rPr>
      </w:pPr>
    </w:p>
    <w:p>
      <w:pPr>
        <w:ind w:left="540" w:hanging="532"/>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w:t>
      </w:r>
    </w:p>
    <w:p>
      <w:pPr>
        <w:spacing w:after="0" w:line="16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72"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w:t>
      </w:r>
    </w:p>
    <w:p>
      <w:pPr>
        <w:sectPr>
          <w:pgSz w:w="11900" w:h="16838" w:orient="portrait"/>
          <w:cols w:equalWidth="0" w:num="1">
            <w:col w:w="10840"/>
          </w:cols>
          <w:pgMar w:left="780" w:top="131" w:right="279" w:bottom="0" w:gutter="0" w:footer="0" w:header="0"/>
        </w:sectPr>
      </w:pPr>
    </w:p>
    <w:bookmarkStart w:id="100" w:name="page101"/>
    <w:bookmarkEnd w:id="100"/>
    <w:p>
      <w:pPr>
        <w:spacing w:after="0" w:line="12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All intercompany balances and transactions between such entities and Valvino Lamore LLC have been eliminated in consolidation.</w:t>
      </w:r>
    </w:p>
    <w:p>
      <w:pPr>
        <w:spacing w:after="0" w:line="197"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w:t>
      </w:r>
    </w:p>
    <w:p>
      <w:pPr>
        <w:spacing w:after="0" w:line="1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beginning after June 15, 2002. The Company does not expect adoption of SFAS No. 143 will have a material impact on the Company's consolidated financial position or results of operations.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w:t>
      </w:r>
    </w:p>
    <w:p>
      <w:pPr>
        <w:sectPr>
          <w:pgSz w:w="11900" w:h="16958" w:orient="portrait"/>
          <w:cols w:equalWidth="0" w:num="1">
            <w:col w:w="10860"/>
          </w:cols>
          <w:pgMar w:left="780" w:top="131" w:right="259" w:bottom="0" w:gutter="0" w:footer="0" w:header="0"/>
        </w:sectPr>
      </w:pPr>
    </w:p>
    <w:bookmarkStart w:id="101" w:name="page102"/>
    <w:bookmarkEnd w:id="101"/>
    <w:p>
      <w:pPr>
        <w:ind w:left="540" w:right="160"/>
        <w:spacing w:after="0" w:line="256" w:lineRule="auto"/>
        <w:rPr>
          <w:sz w:val="20"/>
          <w:szCs w:val="20"/>
          <w:color w:val="auto"/>
        </w:rPr>
      </w:pPr>
      <w:r>
        <w:rPr>
          <w:rFonts w:ascii="Arial" w:cs="Arial" w:eastAsia="Arial" w:hAnsi="Arial"/>
          <w:sz w:val="18"/>
          <w:szCs w:val="18"/>
          <w:color w:val="auto"/>
        </w:rPr>
        <w:t>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211"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80" w:firstLine="348"/>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-1163320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-1163320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774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December 31 consisted of the following:</w:t>
      </w:r>
    </w:p>
    <w:p>
      <w:pPr>
        <w:spacing w:after="0" w:line="221"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66675</wp:posOffset>
            </wp:positionV>
            <wp:extent cx="1659255"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pacing w:after="0" w:line="211" w:lineRule="exact"/>
        <w:rPr>
          <w:sz w:val="20"/>
          <w:szCs w:val="20"/>
          <w:color w:val="auto"/>
        </w:rPr>
      </w:pPr>
    </w:p>
    <w:p>
      <w:pPr>
        <w:ind w:left="7900"/>
        <w:spacing w:after="0"/>
        <w:tabs>
          <w:tab w:leader="none" w:pos="932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154305</wp:posOffset>
            </wp:positionV>
            <wp:extent cx="5574030" cy="444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574030" cy="444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66675</wp:posOffset>
            </wp:positionV>
            <wp:extent cx="1659255"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02" w:name="page103"/>
    <w:bookmarkEnd w:id="102"/>
    <w:p>
      <w:pPr>
        <w:spacing w:after="0" w:line="46"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Airplane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(4,040)</w:t>
            </w: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60" w:type="dxa"/>
            <w:vAlign w:val="bottom"/>
            <w:shd w:val="clear" w:color="auto" w:fill="CCEEFF"/>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December 31, 2001 and 2000, amounts due from related parties were comprised of $332,000 and $6,552,000 due from Desert Inn Water Company, LLC and other related parties.</w:t>
      </w:r>
    </w:p>
    <w:p>
      <w:pPr>
        <w:spacing w:after="0" w:line="199"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39"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significant third party operating leases exist as of December 31, 2001 or 2000.</w:t>
      </w:r>
    </w:p>
    <w:p>
      <w:pPr>
        <w:spacing w:after="0" w:line="225"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213"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53"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332"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sectPr>
          <w:pgSz w:w="11900" w:h="16885" w:orient="portrait"/>
          <w:cols w:equalWidth="0" w:num="1">
            <w:col w:w="11400"/>
          </w:cols>
          <w:pgMar w:left="240" w:top="140" w:right="259" w:bottom="0" w:gutter="0" w:footer="0" w:header="0"/>
        </w:sectPr>
      </w:pPr>
    </w:p>
    <w:bookmarkStart w:id="103" w:name="page104"/>
    <w:bookmarkEnd w:id="103"/>
    <w:p>
      <w:pPr>
        <w:ind w:left="540" w:right="520"/>
        <w:spacing w:after="0" w:line="268"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199"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2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213"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180" w:firstLine="348"/>
        <w:spacing w:after="0" w:line="268" w:lineRule="auto"/>
        <w:rPr>
          <w:sz w:val="20"/>
          <w:szCs w:val="20"/>
          <w:color w:val="auto"/>
        </w:rPr>
      </w:pPr>
      <w:r>
        <w:rPr>
          <w:rFonts w:ascii="Arial" w:cs="Arial" w:eastAsia="Arial" w:hAnsi="Arial"/>
          <w:sz w:val="18"/>
          <w:szCs w:val="18"/>
          <w:color w:val="auto"/>
        </w:rPr>
        <w:t>The Company is self-insured for medical and worker's compensation claims. The Individual Stop Loss Attachment Point for each claim is $40,000 for medical and $250,000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worker's compensation claims with a maximum payout of $960,000 and $1,000,000, respectively.</w:t>
      </w:r>
    </w:p>
    <w:p>
      <w:pPr>
        <w:spacing w:after="0" w:line="239"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80"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6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principally consisted of the intangible asset associated with the provisional license to negotiate a concession with the government of the Macau Special Administrative Region of the People's Republic of China. The provisional license had no historical cost basis but had a negotiated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does reflect the fair value of his 90% ownership interest in Wynn Resorts (Macau) S.A. relative to the fair value of the contributions from Aruze USA, Inc. and Baron Asset Fund as described below.</w:t>
      </w:r>
    </w:p>
    <w:p>
      <w:pPr>
        <w:spacing w:after="0" w:line="178"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ind w:left="540" w:right="34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Inc. each owned 47.5% of the membership interests in the Company, and Baron Asset Fund owned 5% of the membership interests in the Company.</w:t>
      </w:r>
    </w:p>
    <w:p>
      <w:pPr>
        <w:spacing w:after="0" w:line="194"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In June 2002, The Kenneth R. Wynn Family Trust contributed $1.2 million in cash in exchange for a 0.146% of the outstanding membership interest in the Company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(approximately 307 shares at $3,904 per share). Accordingly, at June 30, 2002 there were approximately 210,834 shares outstanding.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March 26, 2002, the Company sold the aircraft (See Note 1) for approximately $8 million resulting in a loss of approximately $69,000.</w:t>
      </w:r>
    </w:p>
    <w:p>
      <w:pPr>
        <w:spacing w:after="0" w:line="262"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firstLine="351"/>
        <w:spacing w:after="0" w:line="291" w:lineRule="auto"/>
        <w:rPr>
          <w:sz w:val="20"/>
          <w:szCs w:val="20"/>
          <w:color w:val="auto"/>
        </w:rPr>
      </w:pPr>
      <w:r>
        <w:rPr>
          <w:rFonts w:ascii="Arial" w:cs="Arial" w:eastAsia="Arial" w:hAnsi="Arial"/>
          <w:sz w:val="16"/>
          <w:szCs w:val="16"/>
          <w:color w:val="auto"/>
        </w:rPr>
        <w:t>In May 2002, the Company acquired World Travel, LLC and Las Vegas Jet, LLC entities previously wholly owned by Mr. Wynn immediately prior to their acquisition by Valvino Lamore, LLC. The acquisitions have been accounted for as reorganizations of entities under common control. Accordingly,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201"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Commitments</w:t>
      </w:r>
    </w:p>
    <w:p>
      <w:pPr>
        <w:sectPr>
          <w:pgSz w:w="11900" w:h="16838" w:orient="portrait"/>
          <w:cols w:equalWidth="0" w:num="1">
            <w:col w:w="11380"/>
          </w:cols>
          <w:pgMar w:left="240" w:top="131" w:right="279" w:bottom="175" w:gutter="0" w:footer="0" w:header="0"/>
        </w:sectPr>
      </w:pPr>
    </w:p>
    <w:bookmarkStart w:id="104" w:name="page105"/>
    <w:bookmarkEnd w:id="104"/>
    <w:p>
      <w:pPr>
        <w:spacing w:after="0" w:line="1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$200 million, lead arrangers holding a majority of the commitments of the lead arrangers will have the right to convert $100 million to $400 million of the amounts outstanding to term loans with the same terms and conditions as those made under the delay draw term loan facility.</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27 months after the closing. Once repaid, term loans may not be reborrowed.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Wynn Las Vegas LLC's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Wynn Las Vegas may also use proceeds from the FF&amp;E facility to refinance a replacement corporate aircraft, in which case, Wynn Las Vegas would request the FF&amp;E lenders to increase the total commitment under the FF&amp;E facility by $10 million to $198.5 million.</w:t>
      </w:r>
    </w:p>
    <w:p>
      <w:pPr>
        <w:spacing w:after="0" w:line="1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government of the Macau Special Administrative Region of the People's Republic of China, permitting Wynn Resorts (Macau) S.A. to construct and operate one or more casinos in Macau. Under the concession agreement, Wynn Resorts (Macau) S.A. is obligated to invest at least 4 billion Macau patacas (approximately US $500 million) in building its Macau casino(s) by June 26, 2009.</w:t>
      </w:r>
    </w:p>
    <w:p>
      <w:pPr>
        <w:spacing w:after="0" w:line="197"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20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 Express Aircraft and guaranteed by the Company. The loan provides for 47 monthly principal payments of approximately</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$158,000, commencing March 1, 2003 and the payment of approximately $21.1 million remaining principal on March 1, 2007. The loan bears interest at the prime rate plus .25% per annum unless an optional rate equal to LIBOR plus 2.50% is elected, subject to certain requirements. Interest is payable monthly commencing June 1, 2002.</w:t>
      </w:r>
    </w:p>
    <w:p>
      <w:pPr>
        <w:spacing w:after="0" w:line="19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On September 24, 2002, all of the members of the Company contributed 100% of the membership interests in the Company (210,834 shares) to Wynn Resorts, Limited in exchange for 40,000,000 shares of the common stock of Wynn Resorts, Limited and the Company became a wholly owned subsidiary of Wynn Resorts, Limited.</w:t>
      </w:r>
    </w:p>
    <w:p>
      <w:pPr>
        <w:spacing w:after="0" w:line="194" w:lineRule="exact"/>
        <w:rPr>
          <w:sz w:val="20"/>
          <w:szCs w:val="20"/>
          <w:color w:val="auto"/>
        </w:rPr>
      </w:pPr>
    </w:p>
    <w:p>
      <w:pPr>
        <w:ind w:left="660" w:hanging="301"/>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Unaudited Pro Forma Equity and Statement of Operations Information</w:t>
      </w:r>
    </w:p>
    <w:p>
      <w:pPr>
        <w:spacing w:after="0" w:line="225" w:lineRule="exact"/>
        <w:rPr>
          <w:sz w:val="20"/>
          <w:szCs w:val="20"/>
          <w:color w:val="auto"/>
        </w:rPr>
      </w:pPr>
    </w:p>
    <w:p>
      <w:pPr>
        <w:ind w:right="400" w:firstLine="341"/>
        <w:spacing w:after="0" w:line="294" w:lineRule="auto"/>
        <w:rPr>
          <w:sz w:val="20"/>
          <w:szCs w:val="20"/>
          <w:color w:val="auto"/>
        </w:rPr>
      </w:pPr>
      <w:r>
        <w:rPr>
          <w:rFonts w:ascii="Arial" w:cs="Arial" w:eastAsia="Arial" w:hAnsi="Arial"/>
          <w:sz w:val="16"/>
          <w:szCs w:val="16"/>
          <w:color w:val="auto"/>
        </w:rPr>
        <w:t>As discussed in item d above on September 24, 2002 the members of the Company contributed their interest in the Company to Wynn Resorts, Limited in exchange for common stock of Wynn Resorts, Limited. Accordingly, the accompanying consolidated balance sheet includes pro forma unaudited information to reflect the revised equity of Wynn Resorts had the exchange occurred as of June 30, 2002. In addition the accompanying consolidated statements of operations include pro forma weighted average shares outstanding and loss per share information for the six month period ended June 30, 2002 and for the year ended December 31, 2001 as if the exchange had occurred as of January 1, 2001.</w:t>
      </w:r>
    </w:p>
    <w:p>
      <w:pPr>
        <w:sectPr>
          <w:pgSz w:w="11900" w:h="16854" w:orient="portrait"/>
          <w:cols w:equalWidth="0" w:num="1">
            <w:col w:w="10880"/>
          </w:cols>
          <w:pgMar w:left="780" w:top="131" w:right="239" w:bottom="0" w:gutter="0" w:footer="0" w:header="0"/>
        </w:sectPr>
      </w:pPr>
    </w:p>
    <w:bookmarkStart w:id="105" w:name="page106"/>
    <w:bookmarkEnd w:id="105"/>
    <w:p>
      <w:pPr>
        <w:spacing w:after="0" w:line="62" w:lineRule="exact"/>
        <w:rPr>
          <w:sz w:val="20"/>
          <w:szCs w:val="20"/>
          <w:color w:val="auto"/>
        </w:rPr>
      </w:pPr>
    </w:p>
    <w:p>
      <w:pPr>
        <w:ind w:left="540" w:hanging="532"/>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180" w:firstLine="348"/>
        <w:spacing w:after="0" w:line="288"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$340 million in initial principal amount of second mortgage notes. The Company, certain of its subsidiaries and Wynn Resorts, Limited will provide guarantees in connection with the issuance of such notes.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certain of its assets to Wynn Resorts, Limited. The assets to be distributed are expected to include the Company's equity interests in certain of the non-guarantor entities (Wynn Group Asia, Inc., Kevyn LLC, Rambas Marketing Co. LLC, Toasty, LLC and World Wide Wynn, LLC), inventories and affiliate 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w:t>
      </w:r>
    </w:p>
    <w:p>
      <w:pPr>
        <w:spacing w:after="0" w:line="174"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30,2002. However, because of the expected transfer of certain assets and interests to Wynn Resorts, Limited, the individual components outlined in the following consolidating financial statements may not be indicative of the individual components included in the financial position of the guarantors after the expected transfer.</w:t>
      </w:r>
    </w:p>
    <w:p>
      <w:pPr>
        <w:spacing w:after="0" w:line="197"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Wynn Las Vegas, LLC was formed in April 2001 and Wynn Las Vegas Capital Corp. was formed in June 2002. Accordingly, there is no financial information for Wynn Las Vegas</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Holdings, LLC, Palo, LLC, Desert Inn Water Company, LLC, World Travel, LLC and Las Vegas Jet, LLC.</w:t>
      </w:r>
    </w:p>
    <w:p>
      <w:pPr>
        <w:spacing w:after="0" w:line="16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Wynn Las Vegas,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2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Vegas Capital Corp.</w:t>
            </w:r>
          </w:p>
        </w:tc>
        <w:tc>
          <w:tcPr>
            <w:tcW w:w="22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Intercompany Balances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2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(8,292)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4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4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-3667125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-3667125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-3667125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-3667125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-3667125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-3667125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-3667125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-3667125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-3667125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-3667125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-3667125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-3667125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-2140585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-2140585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-2140585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-2140585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-2140585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-2140585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-2140585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-2140585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-2140585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-2140585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-2140585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-2140585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-1146175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-1146175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-1146175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-1146175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-1146175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-1146175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-1146175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-1146175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-1146175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-1146175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-1146175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-1146175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145" w:right="139" w:bottom="0" w:gutter="0" w:footer="0" w:header="0"/>
        </w:sectPr>
      </w:pPr>
    </w:p>
    <w:bookmarkStart w:id="106" w:name="page107"/>
    <w:bookmarkEnd w:id="10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8"/>
                <w:szCs w:val="18"/>
                <w:color w:val="auto"/>
              </w:rPr>
              <w:t>Current Portion of Long-Term</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Debt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Members' Equity</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8"/>
                <w:szCs w:val="18"/>
                <w:color w:val="auto"/>
              </w:rPr>
              <w:t>Deficit Accumulated from</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Inception During the</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Development Stage</w:t>
            </w: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(25,875)</w:t>
            </w: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6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46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w:t>
            </w: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260"/>
              <w:spacing w:after="0"/>
              <w:rPr>
                <w:sz w:val="20"/>
                <w:szCs w:val="20"/>
                <w:color w:val="auto"/>
              </w:rPr>
            </w:pPr>
            <w:r>
              <w:rPr>
                <w:rFonts w:ascii="Arial" w:cs="Arial" w:eastAsia="Arial" w:hAnsi="Arial"/>
                <w:sz w:val="18"/>
                <w:szCs w:val="18"/>
                <w:color w:val="auto"/>
              </w:rPr>
              <w:t>Members' Equity</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tcPr>
          <w:p>
            <w:pPr>
              <w:spacing w:after="0"/>
              <w:rPr>
                <w:sz w:val="19"/>
                <w:szCs w:val="19"/>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600" w:type="dxa"/>
            <w:vAlign w:val="bottom"/>
          </w:tcPr>
          <w:p>
            <w:pPr>
              <w:jc w:val="right"/>
              <w:ind w:right="43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58"/>
              <w:spacing w:after="0"/>
              <w:rPr>
                <w:sz w:val="20"/>
                <w:szCs w:val="20"/>
                <w:color w:val="auto"/>
              </w:rPr>
            </w:pPr>
            <w:r>
              <w:rPr>
                <w:rFonts w:ascii="Arial" w:cs="Arial" w:eastAsia="Arial" w:hAnsi="Arial"/>
                <w:sz w:val="18"/>
                <w:szCs w:val="18"/>
                <w:color w:val="auto"/>
                <w:w w:val="91"/>
              </w:rPr>
              <w:t>F-22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-2518410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-2518410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-2518410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-2518410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-2518410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-2518410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-2518410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-2518410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-2518410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-2518410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-2518410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-2518410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-1249045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-1249045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-1249045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-1249045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-1249045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-1249045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-1249045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-1249045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-1249045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-1249045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-1249045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-957580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-957580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-957580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-957580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-957580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-957580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-957580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-957580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-957580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Due from Related Parties,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Intercompany Balances, Net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(62,038)</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(18,282)</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7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w w:val="99"/>
              </w:rPr>
              <w:t>Liabilities and Members'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Current Portion of Long-Term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Contributed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Deficit Accumulated from Inception</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(18,931)</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393,641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(7,806)</w:t>
            </w:r>
          </w:p>
        </w:tc>
        <w:tc>
          <w:tcPr>
            <w:tcW w:w="24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384,230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-5879465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-5879465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-5879465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-5879465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-5879465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-5879465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-5879465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-5879465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-5879465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-5879465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-5879465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-5879465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-4490720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-4490720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-4490720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-4490720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-4490720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-4490720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-4490720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-4490720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-4490720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-4490720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-4490720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-4490720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-3221355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-3221355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-3221355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-3221355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-3221355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-3221355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-3221355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-3221355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-3221355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-3221355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-3221355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-3221355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-1763395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-1763395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-1763395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-1763395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-1763395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-1763395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-1763395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-1763395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-1763395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-1763395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-1763395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-1763395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-494030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-494030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-494030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-494030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-494030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-494030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-494030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-494030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-494030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-494030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-494030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-494030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-202565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-202565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-202565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-202565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-202565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-202565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-202565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-202565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-202565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-202565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-202565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-202565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140" w:right="139" w:bottom="0" w:gutter="0" w:footer="0" w:header="0"/>
        </w:sectPr>
      </w:pPr>
    </w:p>
    <w:bookmarkStart w:id="107" w:name="page108"/>
    <w:bookmarkEnd w:id="107"/>
    <w:p>
      <w:pPr>
        <w:ind w:left="240" w:right="60"/>
        <w:spacing w:after="0" w:line="254" w:lineRule="auto"/>
        <w:rPr>
          <w:sz w:val="20"/>
          <w:szCs w:val="20"/>
          <w:color w:val="auto"/>
        </w:rPr>
      </w:pPr>
      <w:r>
        <w:rPr>
          <w:rFonts w:ascii="Arial" w:cs="Arial" w:eastAsia="Arial" w:hAnsi="Arial"/>
          <w:sz w:val="18"/>
          <w:szCs w:val="18"/>
          <w:color w:val="auto"/>
        </w:rPr>
        <w:t>Total Liabilities and Members' $ 395,605 $ (793) $ (5,583) $ (668) $ (18) $ 388,543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2743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207010</wp:posOffset>
            </wp:positionV>
            <wp:extent cx="5458460"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45846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66,556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Intercompany Balances, Net of</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(29,330)</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Current Portion of Long-Term Debt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Deficit Accumulated from</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Inception During the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(8,562)</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vMerge w:val="restart"/>
          </w:tcPr>
          <w:p>
            <w:pPr>
              <w:ind w:left="640"/>
              <w:spacing w:after="0"/>
              <w:rPr>
                <w:sz w:val="20"/>
                <w:szCs w:val="20"/>
                <w:color w:val="auto"/>
              </w:rPr>
            </w:pPr>
            <w:r>
              <w:rPr>
                <w:rFonts w:ascii="Arial" w:cs="Arial" w:eastAsia="Arial" w:hAnsi="Arial"/>
                <w:sz w:val="18"/>
                <w:szCs w:val="18"/>
                <w:color w:val="auto"/>
                <w:w w:val="98"/>
              </w:rPr>
              <w:t>Total Liabilities and Members'</w:t>
            </w: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-6892290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-6892290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-6892290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-6892290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-6892290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-6892290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-6892290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-6892290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-6892290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-6892290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-5571490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-5571490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-5571490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-5571490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-5571490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-5571490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-5571490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-5571490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-5571490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-5571490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-4422140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-4422140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-4422140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-4422140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-4422140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-4422140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-4422140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-4422140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-4422140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-4422140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-2809875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-2809875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-2809875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-2809875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-2809875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-2809875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-2809875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-2809875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-2809875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-2809875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-1386205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-1386205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-1386205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-1386205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-1386205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-1386205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-1386205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-1386205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-1386205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-1094740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-1094740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-1094740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-1094740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-1094740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-1094740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-1094740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-1094740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-1094740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-1094740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ectPr>
          <w:pgSz w:w="11900" w:h="16838" w:orient="portrait"/>
          <w:cols w:equalWidth="0" w:num="1">
            <w:col w:w="11420"/>
          </w:cols>
          <w:pgMar w:left="240" w:top="131" w:right="239" w:bottom="0" w:gutter="0" w:footer="0" w:header="0"/>
        </w:sectPr>
      </w:pPr>
    </w:p>
    <w:bookmarkStart w:id="108" w:name="page109"/>
    <w:bookmarkEnd w:id="108"/>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Wynn Las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Vegas, LLC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and Wynn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0"/>
              </w:rPr>
              <w:t>Las Vegas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w w:val="93"/>
              </w:rPr>
              <w:t>Lamore, LLC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Capital Corp.</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Guarantors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Non-Guarantors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center"/>
              <w:ind w:left="656"/>
              <w:spacing w:after="0"/>
              <w:rPr>
                <w:sz w:val="20"/>
                <w:szCs w:val="20"/>
                <w:color w:val="auto"/>
              </w:rPr>
            </w:pPr>
            <w:r>
              <w:rPr>
                <w:rFonts w:ascii="Arial" w:cs="Arial" w:eastAsia="Arial" w:hAnsi="Arial"/>
                <w:sz w:val="18"/>
                <w:szCs w:val="18"/>
                <w:color w:val="auto"/>
                <w:w w:val="91"/>
              </w:rPr>
              <w:t>F-25</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gridSpan w:val="4"/>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3"/>
          </w:tcPr>
          <w:p>
            <w:pPr>
              <w:spacing w:after="0"/>
              <w:rPr>
                <w:sz w:val="19"/>
                <w:szCs w:val="19"/>
                <w:color w:val="auto"/>
              </w:rPr>
            </w:pPr>
          </w:p>
        </w:tc>
        <w:tc>
          <w:tcPr>
            <w:tcW w:w="1800" w:type="dxa"/>
            <w:vAlign w:val="bottom"/>
            <w:tcBorders>
              <w:bottom w:val="single" w:sz="8" w:color="808080"/>
            </w:tcBorders>
            <w:gridSpan w:val="4"/>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5"/>
          </w:tcPr>
          <w:p>
            <w:pPr>
              <w:jc w:val="center"/>
              <w:ind w:right="60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20" w:type="dxa"/>
            <w:vAlign w:val="bottom"/>
            <w:gridSpan w:val="16"/>
          </w:tcPr>
          <w:p>
            <w:pPr>
              <w:jc w:val="center"/>
              <w:ind w:right="500"/>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8"/>
              </w:rPr>
              <w:t>Six Months Ended June 30, 2001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Wynn Las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Vegas, LLC</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center"/>
              <w:ind w:left="976"/>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gridSpan w:val="4"/>
          </w:tcPr>
          <w:p>
            <w:pPr>
              <w:ind w:left="134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Selling, General &amp; Administrative</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-9427210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-9427210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-9427210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-9427210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-9427210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-9427210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-9427210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-9427210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-9427210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-9427210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-9427210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-9427210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-8517890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-8517890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-8517890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-8517890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-8517890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-8517890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-8517890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-8517890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-8517890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-8517890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-8517890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-8517890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-6631305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-6631305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-6631305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-6631305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-6631305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-6631305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-6631305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-6631305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-6631305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-6631305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-6631305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-6631305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-6322695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-6322695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-6322695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-6322695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-6322695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-6322695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-6322695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-6322695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-6322695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-6322695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-6322695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-6322695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-5310505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-5310505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-5310505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-5310505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-5310505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-5310505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-5310505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-5310505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-5310505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-5310505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-5310505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-5310505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-3921760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-3921760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-2000250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-2000250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-2000250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-2000250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-2000250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-2000250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-2000250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-2000250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-2000250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-2000250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-2000250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-2000250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-1400175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-1400175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-1400175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-1400175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-1400175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-1400175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-1400175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-1400175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-1400175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-1400175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-1400175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-1400175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1420"/>
          </w:cols>
          <w:pgMar w:left="240" w:top="125" w:right="239"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3"/>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880" w:type="dxa"/>
            <w:vAlign w:val="bottom"/>
          </w:tcPr>
          <w:p>
            <w:pPr>
              <w:ind w:left="460"/>
              <w:spacing w:after="0"/>
              <w:rPr>
                <w:sz w:val="20"/>
                <w:szCs w:val="20"/>
                <w:color w:val="auto"/>
              </w:rPr>
            </w:pPr>
            <w:r>
              <w:rPr>
                <w:rFonts w:ascii="Arial" w:cs="Arial" w:eastAsia="Arial" w:hAnsi="Arial"/>
                <w:sz w:val="18"/>
                <w:szCs w:val="18"/>
                <w:color w:val="auto"/>
              </w:rPr>
              <w:t>Total Expenses</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(7,220)</w:t>
            </w:r>
          </w:p>
        </w:tc>
        <w:tc>
          <w:tcPr>
            <w:tcW w:w="5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shd w:val="clear" w:color="auto" w:fill="CCEEFF"/>
          </w:tcPr>
          <w:p>
            <w:pPr>
              <w:spacing w:after="0"/>
              <w:rPr>
                <w:sz w:val="24"/>
                <w:szCs w:val="24"/>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431"/>
        </w:trPr>
        <w:tc>
          <w:tcPr>
            <w:tcW w:w="2880" w:type="dxa"/>
            <w:vAlign w:val="bottom"/>
          </w:tcPr>
          <w:p>
            <w:pPr>
              <w:spacing w:after="0"/>
              <w:rPr>
                <w:sz w:val="20"/>
                <w:szCs w:val="20"/>
                <w:color w:val="auto"/>
              </w:rPr>
            </w:pPr>
            <w:r>
              <w:rPr>
                <w:rFonts w:ascii="Arial" w:cs="Arial" w:eastAsia="Arial" w:hAnsi="Arial"/>
                <w:sz w:val="18"/>
                <w:szCs w:val="18"/>
                <w:color w:val="auto"/>
              </w:rPr>
              <w:t>Other Income / (Expense)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Interest Expense, Net of Amounts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w:t>
            </w:r>
          </w:p>
        </w:tc>
        <w:tc>
          <w:tcPr>
            <w:tcW w:w="56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8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vMerge w:val="restart"/>
          </w:tcPr>
          <w:p>
            <w:pPr>
              <w:ind w:left="460"/>
              <w:spacing w:after="0"/>
              <w:rPr>
                <w:sz w:val="20"/>
                <w:szCs w:val="20"/>
                <w:color w:val="auto"/>
              </w:rPr>
            </w:pPr>
            <w:r>
              <w:rPr>
                <w:rFonts w:ascii="Arial" w:cs="Arial" w:eastAsia="Arial" w:hAnsi="Arial"/>
                <w:sz w:val="18"/>
                <w:szCs w:val="18"/>
                <w:color w:val="auto"/>
              </w:rPr>
              <w:t>Net Loss Accumulated During</w:t>
            </w: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60"/>
              <w:spacing w:after="0"/>
              <w:rPr>
                <w:sz w:val="20"/>
                <w:szCs w:val="20"/>
                <w:color w:val="auto"/>
              </w:rPr>
            </w:pPr>
            <w:r>
              <w:rPr>
                <w:rFonts w:ascii="Arial" w:cs="Arial" w:eastAsia="Arial" w:hAnsi="Arial"/>
                <w:sz w:val="18"/>
                <w:szCs w:val="18"/>
                <w:color w:val="auto"/>
              </w:rPr>
              <w:t>the Development Stage</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(5,684)</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-2689860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-2689860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-2689860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-2689860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-2689860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-2689860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-2689860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-2689860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-2689860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-2689860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-2689860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-2689860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-1403350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-1403350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-1403350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-1403350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-1403350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-1094740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-1094740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-1094740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-1094740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-1094740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Valvino</w:t>
            </w:r>
          </w:p>
        </w:tc>
        <w:tc>
          <w:tcPr>
            <w:tcW w:w="24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240" w:type="dxa"/>
            <w:vAlign w:val="bottom"/>
          </w:tcPr>
          <w:p>
            <w:pPr>
              <w:spacing w:after="0"/>
              <w:rPr>
                <w:sz w:val="15"/>
                <w:szCs w:val="15"/>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Vegas, LLC</w:t>
            </w: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4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4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(12,703)</w:t>
            </w:r>
          </w:p>
        </w:tc>
        <w:tc>
          <w:tcPr>
            <w:tcW w:w="24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During the Development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jc w:val="right"/>
              <w:ind w:right="23"/>
              <w:spacing w:after="0"/>
              <w:rPr>
                <w:sz w:val="20"/>
                <w:szCs w:val="20"/>
                <w:color w:val="auto"/>
              </w:rPr>
            </w:pPr>
            <w:r>
              <w:rPr>
                <w:rFonts w:ascii="Arial" w:cs="Arial" w:eastAsia="Arial" w:hAnsi="Arial"/>
                <w:sz w:val="18"/>
                <w:szCs w:val="18"/>
                <w:color w:val="auto"/>
              </w:rPr>
              <w:t>F-27</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-5756910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-5756910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-5756910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-5756910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-5756910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-5756910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-5756910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-5756910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-5756910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-5756910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-5756910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-5756910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-4847590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-4847590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-4847590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-4847590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-4847590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-4847590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-4847590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-4847590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-4847590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-4847590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-4847590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-4847590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-2823845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-2823845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-2823845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-2823845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-2823845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-2823845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-2823845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-2823845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-2823845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-2823845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-2823845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-2823845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-2515235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-2515235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-2515235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-2515235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-2515235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-2515235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-2515235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-2515235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-2515235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-2515235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-2515235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-2515235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-1383030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-1383030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-1383030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-1383030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-1383030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-1383030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-1383030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-1383030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-1383030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-1383030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-1383030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-1383030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-1074420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-1074420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-1074420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-1074420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-1074420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-1074420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-1074420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-1074420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-1074420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-1074420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-1074420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-1074420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10" w:name="page111"/>
    <w:bookmarkEnd w:id="110"/>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772"/>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Eliminating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w w:val="93"/>
              </w:rPr>
              <w:t>Non-Guarantors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89"/>
              </w:rPr>
              <w:t>Depreciation and Amortization</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431"/>
        </w:trPr>
        <w:tc>
          <w:tcPr>
            <w:tcW w:w="242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Interest Expense, Net of Amounts</w:t>
            </w: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20" w:type="dxa"/>
            <w:vAlign w:val="bottom"/>
            <w:gridSpan w:val="2"/>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140" w:type="dxa"/>
            <w:vAlign w:val="bottom"/>
            <w:gridSpan w:val="5"/>
          </w:tcPr>
          <w:p>
            <w:pPr>
              <w:ind w:left="440"/>
              <w:spacing w:after="0"/>
              <w:rPr>
                <w:sz w:val="20"/>
                <w:szCs w:val="20"/>
                <w:color w:val="auto"/>
              </w:rPr>
            </w:pPr>
            <w:r>
              <w:rPr>
                <w:rFonts w:ascii="Arial" w:cs="Arial" w:eastAsia="Arial" w:hAnsi="Arial"/>
                <w:sz w:val="18"/>
                <w:szCs w:val="18"/>
                <w:color w:val="auto"/>
              </w:rPr>
              <w:t>Net Loss Accumulated During the</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1320" w:type="dxa"/>
            <w:vAlign w:val="bottom"/>
            <w:gridSpan w:val="2"/>
          </w:tcPr>
          <w:p>
            <w:pPr>
              <w:jc w:val="right"/>
              <w:ind w:right="5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(8,562)</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F-28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gridSpan w:val="6"/>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182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17"/>
          </w:tcPr>
          <w:p>
            <w:pPr>
              <w:jc w:val="center"/>
              <w:ind w:right="652"/>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gridSpan w:val="18"/>
          </w:tcPr>
          <w:p>
            <w:pPr>
              <w:jc w:val="center"/>
              <w:ind w:right="32"/>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11"/>
          </w:tcPr>
          <w:p>
            <w:pPr>
              <w:jc w:val="center"/>
              <w:ind w:left="196"/>
              <w:spacing w:after="0"/>
              <w:rPr>
                <w:sz w:val="20"/>
                <w:szCs w:val="20"/>
                <w:color w:val="auto"/>
              </w:rPr>
            </w:pPr>
            <w:r>
              <w:rPr>
                <w:rFonts w:ascii="Arial" w:cs="Arial" w:eastAsia="Arial" w:hAnsi="Arial"/>
                <w:sz w:val="18"/>
                <w:szCs w:val="18"/>
                <w:b w:val="1"/>
                <w:bCs w:val="1"/>
                <w:color w:val="auto"/>
                <w:w w:val="88"/>
              </w:rPr>
              <w:t>From Inception to June 30, 2002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5"/>
              </w:rPr>
              <w:t>Wynn Las Vegas,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Valvino</w:t>
            </w:r>
          </w:p>
        </w:tc>
        <w:tc>
          <w:tcPr>
            <w:tcW w:w="12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3"/>
              </w:rPr>
              <w:t>LLC and Wynn Las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Lamore, LLC</w:t>
            </w: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Vegas Capital Corp.</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4,205</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152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124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gridSpan w:val="4"/>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4,481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(2,403)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10,779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14,732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13,682</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387</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375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1,579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1,428</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-9018270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-9018270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-9018270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-9018270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-9018270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-9018270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-9018270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-9018270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-9018270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-9018270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-7698105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-7698105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-7698105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-7698105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-7698105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-7698105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-7698105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-7698105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-7698105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-7698105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-7388860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-7388860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-7388860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-7388860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-7388860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-7388860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-7388860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-7388860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-7388860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-7388860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-6257290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-6257290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-6257290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-6257290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-6257290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-6257290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-6257290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-6257290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-6257290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-6257290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-5948680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-5948680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-5948680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-5948680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-5948680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-5948680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-5948680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-5948680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-5948680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-5948680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-5005070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-5005070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-2989580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-2989580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-2989580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-2989580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-2989580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-2989580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-2989580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-2989580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-2989580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-2989580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-2989580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-2989580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-2080895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-2080895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-2080895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-2080895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-2080895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-2080895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-2080895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-2080895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-2080895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-2080895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-2080895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-2080895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bookmarkStart w:id="111" w:name="page112"/>
    <w:bookmarkEnd w:id="111"/>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1690370</wp:posOffset>
            </wp:positionH>
            <wp:positionV relativeFrom="page">
              <wp:posOffset>88900</wp:posOffset>
            </wp:positionV>
            <wp:extent cx="5672455" cy="1905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567245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Income /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w w:val="99"/>
              </w:rPr>
              <w:t>During the Development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Stage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(25,875) $</w:t>
            </w: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(1,721) $</w:t>
            </w:r>
          </w:p>
        </w:tc>
        <w:tc>
          <w:tcPr>
            <w:tcW w:w="30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(12,229) $</w:t>
            </w:r>
          </w:p>
        </w:tc>
        <w:tc>
          <w:tcPr>
            <w:tcW w:w="2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(4,108) $</w:t>
            </w:r>
          </w:p>
        </w:tc>
        <w:tc>
          <w:tcPr>
            <w:tcW w:w="18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2,815 $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F-29</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92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Six Months Ended June 30, 2002</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Wynn Las Vegas,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6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Vegas Capital Corp.</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Guarantors</w:t>
            </w:r>
          </w:p>
        </w:tc>
        <w:tc>
          <w:tcPr>
            <w:tcW w:w="260" w:type="dxa"/>
            <w:vAlign w:val="bottom"/>
          </w:tcPr>
          <w:p>
            <w:pPr>
              <w:spacing w:after="0"/>
              <w:rPr>
                <w:sz w:val="15"/>
                <w:szCs w:val="15"/>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Operating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Development Stage</w:t>
            </w:r>
          </w:p>
        </w:tc>
        <w:tc>
          <w:tcPr>
            <w:tcW w:w="3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(6,944)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(843) $</w:t>
            </w: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(4,424)</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16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(3,380)</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3"/>
                <w:szCs w:val="13"/>
                <w:color w:val="auto"/>
              </w:rPr>
            </w:pPr>
          </w:p>
        </w:tc>
        <w:tc>
          <w:tcPr>
            <w:tcW w:w="2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During the Development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Stage to Net Cash Provided by/(Used in)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96"/>
              </w:rPr>
              <w:t>Gain/(Loss) on Sale of Fixed Assets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88"/>
              </w:rPr>
              <w:t>Increase (Decrease) in Cash from Changes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(158)</w:t>
            </w: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2,650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Net Cash Provided by / (Used in) Operating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3,656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(2,662)</w:t>
            </w:r>
          </w:p>
        </w:tc>
        <w:tc>
          <w:tcPr>
            <w:tcW w:w="3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(2,574)</w:t>
            </w:r>
          </w:p>
        </w:tc>
        <w:tc>
          <w:tcPr>
            <w:tcW w:w="26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Cash Flows From Investing Activities</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4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Acquisition of Airplane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(9,591)</w:t>
            </w:r>
          </w:p>
        </w:tc>
        <w:tc>
          <w:tcPr>
            <w:tcW w:w="26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(27,518)</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Due from Related Parties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(27,111)</w:t>
            </w: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(7,683)</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Investing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(54,621)</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Financing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173,494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color w:val="auto"/>
              </w:rPr>
              <w:t>(23,804)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173,494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89"/>
              </w:rPr>
              <w:t>Principal Payments of Long-Term Debt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Net Cash Provided by Financing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173,478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gridSpan w:val="4"/>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56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26,860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(23,804)</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176,534</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color w:val="auto"/>
                <w:w w:val="99"/>
              </w:rPr>
              <w:t>Increase/(Decrease) in Cash and Cash</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122,513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(967)</w:t>
            </w:r>
          </w:p>
        </w:tc>
        <w:tc>
          <w:tcPr>
            <w:tcW w:w="260" w:type="dxa"/>
            <w:vAlign w:val="bottom"/>
          </w:tcPr>
          <w:p>
            <w:pPr>
              <w:spacing w:after="0"/>
              <w:rPr>
                <w:sz w:val="13"/>
                <w:szCs w:val="13"/>
                <w:color w:val="auto"/>
              </w:rPr>
            </w:pPr>
          </w:p>
        </w:tc>
        <w:tc>
          <w:tcPr>
            <w:tcW w:w="1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26,997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148,592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26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-9265285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-9265285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-9265285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-9265285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-9265285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-9265285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-9265285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-9265285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-9265285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-9265285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-9265285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-9265285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-8802370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-8802370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-8802370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-8802370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-8802370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-8802370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-8802370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-8802370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-8802370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-8802370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-8802370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-8802370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-7721600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-7721600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-5706745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-5706745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-5706745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-5706745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-5706745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-5706745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-5706745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-5706745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-5706745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-5706745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-5706745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-5706745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-3125470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-3125470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-3125470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-3125470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-3125470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-3125470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-3125470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-3125470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-3125470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-3125470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-3125470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-3125470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-2781935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-2781935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-2781935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-2781935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-2781935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-2781935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-2781935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-2781935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-2781935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-2781935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-2781935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-2781935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-1761490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-1761490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-1761490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-1761490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-1761490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-1761490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-1761490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-1761490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-1761490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-1761490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-1761490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-1761490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-1418590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-1418590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-1418590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-1418590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-1418590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-1418590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-1418590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-1418590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-1418590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-1418590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-1418590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-1418590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-706755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-706755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-706755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-706755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-706755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-706755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-706755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-706755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-706755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-706755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-706755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-706755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-363855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-363855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-363855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-363855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-363855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-363855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-363855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-363855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-363855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-363855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-363855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-363855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420"/>
          </w:cols>
          <w:pgMar w:left="240" w:top="374" w:right="239" w:bottom="0" w:gutter="0" w:footer="0" w:header="0"/>
        </w:sectPr>
      </w:pPr>
    </w:p>
    <w:bookmarkStart w:id="112" w:name="page113"/>
    <w:bookmarkEnd w:id="11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1758950</wp:posOffset>
            </wp:positionH>
            <wp:positionV relativeFrom="page">
              <wp:posOffset>88900</wp:posOffset>
            </wp:positionV>
            <wp:extent cx="5612765" cy="1905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561276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162,103</w:t>
            </w:r>
          </w:p>
        </w:tc>
        <w:tc>
          <w:tcPr>
            <w:tcW w:w="7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60" w:type="dxa"/>
            <w:vAlign w:val="bottom"/>
          </w:tcPr>
          <w:p>
            <w:pPr>
              <w:ind w:left="520"/>
              <w:spacing w:after="0"/>
              <w:rPr>
                <w:sz w:val="20"/>
                <w:szCs w:val="20"/>
                <w:color w:val="auto"/>
              </w:rPr>
            </w:pPr>
            <w:r>
              <w:rPr>
                <w:rFonts w:ascii="Arial" w:cs="Arial" w:eastAsia="Arial" w:hAnsi="Arial"/>
                <w:sz w:val="14"/>
                <w:szCs w:val="14"/>
                <w:color w:val="auto"/>
                <w:w w:val="85"/>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26,997</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40" w:type="dxa"/>
            <w:vAlign w:val="bottom"/>
          </w:tcPr>
          <w:p>
            <w:pPr>
              <w:ind w:left="520"/>
              <w:spacing w:after="0"/>
              <w:rPr>
                <w:sz w:val="20"/>
                <w:szCs w:val="20"/>
                <w:color w:val="auto"/>
              </w:rPr>
            </w:pPr>
            <w:r>
              <w:rPr>
                <w:rFonts w:ascii="Arial" w:cs="Arial" w:eastAsia="Arial" w:hAnsi="Arial"/>
                <w:sz w:val="14"/>
                <w:szCs w:val="14"/>
                <w:color w:val="auto"/>
                <w:w w:val="71"/>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6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w w:val="97"/>
              </w:rPr>
              <w:t>Interest Paid, Net of Amounts Capitalized</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7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60" w:type="dxa"/>
            <w:vAlign w:val="bottom"/>
          </w:tcPr>
          <w:p>
            <w:pPr>
              <w:ind w:left="520"/>
              <w:spacing w:after="0"/>
              <w:rPr>
                <w:sz w:val="20"/>
                <w:szCs w:val="20"/>
                <w:color w:val="auto"/>
              </w:rPr>
            </w:pPr>
            <w:r>
              <w:rPr>
                <w:rFonts w:ascii="Arial" w:cs="Arial" w:eastAsia="Arial" w:hAnsi="Arial"/>
                <w:sz w:val="14"/>
                <w:szCs w:val="14"/>
                <w:color w:val="auto"/>
                <w:w w:val="85"/>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40" w:type="dxa"/>
            <w:vAlign w:val="bottom"/>
          </w:tcPr>
          <w:p>
            <w:pPr>
              <w:ind w:left="520"/>
              <w:spacing w:after="0"/>
              <w:rPr>
                <w:sz w:val="20"/>
                <w:szCs w:val="20"/>
                <w:color w:val="auto"/>
              </w:rPr>
            </w:pPr>
            <w:r>
              <w:rPr>
                <w:rFonts w:ascii="Arial" w:cs="Arial" w:eastAsia="Arial" w:hAnsi="Arial"/>
                <w:sz w:val="14"/>
                <w:szCs w:val="14"/>
                <w:color w:val="auto"/>
                <w:w w:val="71"/>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900" w:orient="portrait"/>
          <w:cols w:equalWidth="0" w:num="1">
            <w:col w:w="11420"/>
          </w:cols>
          <w:pgMar w:left="240" w:top="277" w:right="239" w:bottom="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Wynn Las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Vegas, LLC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6"/>
              </w:rPr>
              <w:t>Net Loss Accumulated During the Development</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4"/>
              </w:rPr>
              <w:t>Adjustments to Reconcile Net Loss Accumulated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Provided by / (Used in) Operating Activities: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Gain / (Loss) on Sale of Fixed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880" w:type="dxa"/>
            <w:vAlign w:val="bottom"/>
          </w:tcPr>
          <w:p>
            <w:pPr>
              <w:ind w:left="240"/>
              <w:spacing w:after="0"/>
              <w:rPr>
                <w:sz w:val="20"/>
                <w:szCs w:val="20"/>
                <w:color w:val="auto"/>
              </w:rPr>
            </w:pPr>
            <w:r>
              <w:rPr>
                <w:rFonts w:ascii="Arial" w:cs="Arial" w:eastAsia="Arial" w:hAnsi="Arial"/>
                <w:sz w:val="14"/>
                <w:szCs w:val="14"/>
                <w:color w:val="auto"/>
              </w:rPr>
              <w:t>Incidental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w w:val="98"/>
              </w:rPr>
              <w:t>Increase (Decrease) in Cash from Changes in:</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(1,290)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(7,525)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Acquisition of Airplane</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Due from Related Parties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(19,500)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ind w:left="240"/>
              <w:spacing w:after="0"/>
              <w:rPr>
                <w:sz w:val="20"/>
                <w:szCs w:val="20"/>
                <w:color w:val="auto"/>
              </w:rPr>
            </w:pPr>
            <w:r>
              <w:rPr>
                <w:rFonts w:ascii="Arial" w:cs="Arial" w:eastAsia="Arial" w:hAnsi="Arial"/>
                <w:sz w:val="14"/>
                <w:szCs w:val="14"/>
                <w:color w:val="auto"/>
                <w:w w:val="98"/>
              </w:rPr>
              <w:t>Net Cash Provided by / (Used in) Investing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40"/>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(25,495)</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Equity Contributions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20,800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Third Party Fee</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(800)</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Principal Payments of Long-Term Debt</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880" w:type="dxa"/>
            <w:vAlign w:val="bottom"/>
          </w:tcPr>
          <w:p>
            <w:pPr>
              <w:ind w:left="24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w w:val="89"/>
              </w:rPr>
              <w:t>Increase/(Decrease) in Cash and Cash Equivalents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(4,743)</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tcPr>
          <w:p>
            <w:pPr>
              <w:spacing w:after="0"/>
              <w:rPr>
                <w:sz w:val="20"/>
                <w:szCs w:val="20"/>
                <w:color w:val="auto"/>
              </w:rPr>
            </w:pPr>
            <w:r>
              <w:rPr>
                <w:rFonts w:ascii="Arial" w:cs="Arial" w:eastAsia="Arial" w:hAnsi="Arial"/>
                <w:sz w:val="14"/>
                <w:szCs w:val="14"/>
                <w:color w:val="auto"/>
              </w:rPr>
              <w:t>Cash,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Supplemental Cash Flow Disclosure: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-5427345</wp:posOffset>
            </wp:positionV>
            <wp:extent cx="7246620" cy="9461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-5144770</wp:posOffset>
            </wp:positionV>
            <wp:extent cx="7246620" cy="28321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-4707255</wp:posOffset>
            </wp:positionV>
            <wp:extent cx="7246620" cy="15430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-4398645</wp:posOffset>
            </wp:positionV>
            <wp:extent cx="7246620" cy="9461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-4149725</wp:posOffset>
            </wp:positionV>
            <wp:extent cx="7246620" cy="15430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-3841115</wp:posOffset>
            </wp:positionV>
            <wp:extent cx="7246620" cy="15430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-3188970</wp:posOffset>
            </wp:positionV>
            <wp:extent cx="7246620" cy="9461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-2940685</wp:posOffset>
            </wp:positionV>
            <wp:extent cx="7246620" cy="15430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-2632075</wp:posOffset>
            </wp:positionV>
            <wp:extent cx="7246620" cy="15430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-2168525</wp:posOffset>
            </wp:positionV>
            <wp:extent cx="7246620" cy="18859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5430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246620" cy="15430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9461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9461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-5509260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-5509260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-5509260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-5509260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-3613785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-3613785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-3613785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-3613785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-3270885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-3270885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-3270885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-3270885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-2250440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-2250440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-2250440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-2250440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-1906905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-1906905</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-1906905</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-1906905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-1195070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-1195070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-1195070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-1195070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-886460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-886460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-886460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-886460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-543560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-543560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-543560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-543560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Guarantors</w:t>
            </w:r>
          </w:p>
        </w:tc>
        <w:tc>
          <w:tcPr>
            <w:tcW w:w="220" w:type="dxa"/>
            <w:vAlign w:val="bottom"/>
          </w:tcPr>
          <w:p>
            <w:pPr>
              <w:spacing w:after="0"/>
              <w:rPr>
                <w:sz w:val="15"/>
                <w:szCs w:val="15"/>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6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(2,130)</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(317)</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(8,234)</w:t>
            </w:r>
          </w:p>
        </w:tc>
      </w:tr>
      <w:tr>
        <w:trPr>
          <w:trHeight w:val="689"/>
        </w:trPr>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4,203</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21"/>
                <w:szCs w:val="21"/>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r>
      <w:tr>
        <w:trPr>
          <w:trHeight w:val="39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(383)</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(7,434)</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5,257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(6,351)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9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(15,507)</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20,800</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(800)</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61"/>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5,026</w:t>
            </w:r>
          </w:p>
        </w:tc>
        <w:tc>
          <w:tcPr>
            <w:tcW w:w="60" w:type="dxa"/>
            <w:vAlign w:val="bottom"/>
          </w:tcPr>
          <w:p>
            <w:pPr>
              <w:spacing w:after="0"/>
              <w:rPr>
                <w:sz w:val="21"/>
                <w:szCs w:val="21"/>
                <w:color w:val="auto"/>
              </w:rPr>
            </w:pPr>
          </w:p>
        </w:tc>
      </w:tr>
      <w:tr>
        <w:trPr>
          <w:trHeight w:val="17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(10,035)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54,429</w:t>
            </w:r>
          </w:p>
        </w:tc>
        <w:tc>
          <w:tcPr>
            <w:tcW w:w="60" w:type="dxa"/>
            <w:vAlign w:val="bottom"/>
          </w:tcPr>
          <w:p>
            <w:pPr>
              <w:spacing w:after="0"/>
              <w:rPr>
                <w:sz w:val="14"/>
                <w:szCs w:val="1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(275)</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59,455</w:t>
            </w:r>
          </w:p>
        </w:tc>
        <w:tc>
          <w:tcPr>
            <w:tcW w:w="60" w:type="dxa"/>
            <w:vAlign w:val="bottom"/>
          </w:tcPr>
          <w:p>
            <w:pPr>
              <w:spacing w:after="0"/>
              <w:rPr>
                <w:sz w:val="23"/>
                <w:szCs w:val="23"/>
                <w:color w:val="auto"/>
              </w:rPr>
            </w:pPr>
          </w:p>
        </w:tc>
      </w:tr>
      <w:tr>
        <w:trPr>
          <w:trHeight w:val="92"/>
        </w:trPr>
        <w:tc>
          <w:tcPr>
            <w:tcW w:w="10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960" w:type="dxa"/>
            <w:vAlign w:val="bottom"/>
            <w:tcBorders>
              <w:righ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415"/>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-5515610</wp:posOffset>
            </wp:positionV>
            <wp:extent cx="3425825"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-3620135</wp:posOffset>
            </wp:positionV>
            <wp:extent cx="3425825" cy="215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-3277235</wp:posOffset>
            </wp:positionV>
            <wp:extent cx="3425825" cy="215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-2256790</wp:posOffset>
            </wp:positionV>
            <wp:extent cx="3425825" cy="215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-1913255</wp:posOffset>
            </wp:positionV>
            <wp:extent cx="3425825" cy="215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-1201420</wp:posOffset>
            </wp:positionV>
            <wp:extent cx="3425825" cy="215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-892810</wp:posOffset>
            </wp:positionV>
            <wp:extent cx="3425825" cy="215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-549910</wp:posOffset>
            </wp:positionV>
            <wp:extent cx="3425825" cy="215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-300990</wp:posOffset>
            </wp:positionV>
            <wp:extent cx="793115" cy="3873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793115" cy="38735"/>
                    </a:xfrm>
                    <a:prstGeom prst="rect">
                      <a:avLst/>
                    </a:prstGeom>
                    <a:noFill/>
                  </pic:spPr>
                </pic:pic>
              </a:graphicData>
            </a:graphic>
          </wp:anchor>
        </w:drawing>
      </w:r>
    </w:p>
    <w:p>
      <w:pPr>
        <w:spacing w:after="0" w:line="195" w:lineRule="exact"/>
        <w:rPr>
          <w:sz w:val="20"/>
          <w:szCs w:val="20"/>
          <w:color w:val="auto"/>
        </w:rPr>
      </w:pPr>
    </w:p>
    <w:p>
      <w:pPr>
        <w:sectPr>
          <w:pgSz w:w="11900" w:h="16900" w:orient="portrait"/>
          <w:cols w:equalWidth="0" w:num="2">
            <w:col w:w="6040" w:space="220"/>
            <w:col w:w="5160"/>
          </w:cols>
          <w:pgMar w:left="240" w:top="277" w:right="239" w:bottom="0" w:gutter="0" w:footer="0" w:header="0"/>
          <w:type w:val="continuous"/>
        </w:sect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Valvino</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Wynn Las</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Eliminating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7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Lamore, LLC</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Vegas, LLC</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Non-Guarantors</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05"/>
        </w:trPr>
        <w:tc>
          <w:tcPr>
            <w:tcW w:w="276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28"/>
        </w:trPr>
        <w:tc>
          <w:tcPr>
            <w:tcW w:w="2760" w:type="dxa"/>
            <w:vAlign w:val="bottom"/>
            <w:tcBorders>
              <w:bottom w:val="single" w:sz="8" w:color="CCEEFF"/>
            </w:tcBorders>
          </w:tcPr>
          <w:p>
            <w:pPr>
              <w:spacing w:after="0"/>
              <w:rPr>
                <w:sz w:val="11"/>
                <w:szCs w:val="11"/>
                <w:color w:val="auto"/>
              </w:rPr>
            </w:pPr>
          </w:p>
        </w:tc>
        <w:tc>
          <w:tcPr>
            <w:tcW w:w="14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-107950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-107950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-107950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-107950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-107950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-107950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-107950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-107950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-107950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-107950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-107950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-107950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77" w:right="239" w:bottom="0" w:gutter="0" w:footer="0" w:header="0"/>
          <w:type w:val="continuous"/>
        </w:sectPr>
      </w:pPr>
    </w:p>
    <w:bookmarkStart w:id="113" w:name="page114"/>
    <w:bookmarkEnd w:id="1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w:t>
            </w:r>
          </w:p>
        </w:tc>
        <w:tc>
          <w:tcPr>
            <w:tcW w:w="5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(10,369)</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5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5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5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7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(19,390)</w:t>
            </w:r>
          </w:p>
        </w:tc>
        <w:tc>
          <w:tcPr>
            <w:tcW w:w="7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5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(37,351)</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(45,079)</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5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5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5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7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(10,035)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w w:val="96"/>
              </w:rPr>
              <w:t>Interest Paid, Net of Amounts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3"/>
          </w:tcPr>
          <w:p>
            <w:pPr>
              <w:jc w:val="right"/>
              <w:ind w:right="312"/>
              <w:spacing w:after="0"/>
              <w:rPr>
                <w:sz w:val="20"/>
                <w:szCs w:val="20"/>
                <w:color w:val="auto"/>
              </w:rPr>
            </w:pPr>
            <w:r>
              <w:rPr>
                <w:rFonts w:ascii="Arial" w:cs="Arial" w:eastAsia="Arial" w:hAnsi="Arial"/>
                <w:sz w:val="18"/>
                <w:szCs w:val="18"/>
                <w:color w:val="auto"/>
              </w:rPr>
              <w:t>F-32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-5177155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-5177155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-5177155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-5177155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-5177155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-5177155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-5177155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-5177155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-5177155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-5177155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-5177155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-5177155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-4747895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-4747895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-4747895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-4747895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-4747895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-4747895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-4747895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-4747895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-4747895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-4747895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-4747895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-4747895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-3633470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-3633470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-3633470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-3633470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-3633470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-3633470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-3633470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-3633470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-3633470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-3633470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-3633470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-3633470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-3204210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-3204210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-3204210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-3204210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-3204210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-3204210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-3204210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-3204210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-3204210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-3204210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-3204210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-3204210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-2226945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-2226945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-2226945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-2226945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-2226945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-2226945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-2226945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-2226945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-2226945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-2226945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-2226945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-2226945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-1798320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-1798320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-1798320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-1798320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-1798320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-1798320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-1798320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-1798320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-1798320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-1798320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-1798320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-1798320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-1231900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-1231900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-1231900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-1231900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-1231900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-1231900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-1231900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-1231900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-1231900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-1231900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Valvino</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All Other</w:t>
            </w:r>
          </w:p>
        </w:tc>
        <w:tc>
          <w:tcPr>
            <w:tcW w:w="24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4"/>
                <w:szCs w:val="14"/>
                <w:color w:val="auto"/>
              </w:rPr>
            </w:pPr>
          </w:p>
        </w:tc>
        <w:tc>
          <w:tcPr>
            <w:tcW w:w="15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Eliminating</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Lamore, LLC</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Guarantors</w:t>
            </w:r>
          </w:p>
        </w:tc>
        <w:tc>
          <w:tcPr>
            <w:tcW w:w="24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Non-Guarantors</w:t>
            </w:r>
          </w:p>
        </w:tc>
        <w:tc>
          <w:tcPr>
            <w:tcW w:w="180" w:type="dxa"/>
            <w:vAlign w:val="bottom"/>
          </w:tcPr>
          <w:p>
            <w:pPr>
              <w:spacing w:after="0"/>
              <w:rPr>
                <w:sz w:val="15"/>
                <w:szCs w:val="15"/>
                <w:color w:val="auto"/>
              </w:rPr>
            </w:pPr>
          </w:p>
        </w:tc>
        <w:tc>
          <w:tcPr>
            <w:tcW w:w="15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Entries</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 Development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-768350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-768350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-768350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-768350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-768350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-768350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-768350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-768350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-768350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-768350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4" w:right="239" w:bottom="0" w:gutter="0" w:footer="0" w:header="0"/>
        </w:sectPr>
      </w:pPr>
    </w:p>
    <w:bookmarkStart w:id="114" w:name="page115"/>
    <w:bookmarkEnd w:id="11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Stage to Net Cash Provided by / (Used in)</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Increase (Decrease) in Cash from Changes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5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 / (Used in)</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(4,377)</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(1,815)</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Desert Inn Resort and</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Casino, Net of Cash Acquired</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(270,718)</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(45,792)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5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(9,489)</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w w:val="97"/>
              </w:rPr>
              <w:t>Net Cash Provided by / (Used in) Investing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(319,897)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(10,307)</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(328,419)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Contributions</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480,713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Distributions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(110,482)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Third Party Fee</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Proceeds from Issuance of Long-Term Debt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(125,018)</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Origination Fees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Proceeds from Issuance of Related</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Party Loan</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Principal Payments of Related Party</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Loan</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Net Cash Provided by Financing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388,748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 in Cash and Cash</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Equivalents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5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3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tcBorders>
              <w:right w:val="single" w:sz="8" w:color="808080"/>
            </w:tcBorders>
            <w:gridSpan w:val="2"/>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340" w:type="dxa"/>
            <w:vAlign w:val="bottom"/>
            <w:gridSpan w:val="2"/>
          </w:tcPr>
          <w:p>
            <w:pPr>
              <w:spacing w:after="0"/>
              <w:rPr>
                <w:sz w:val="20"/>
                <w:szCs w:val="20"/>
                <w:color w:val="auto"/>
              </w:rPr>
            </w:pPr>
            <w:r>
              <w:rPr>
                <w:rFonts w:ascii="Arial" w:cs="Arial" w:eastAsia="Arial" w:hAnsi="Arial"/>
                <w:sz w:val="18"/>
                <w:szCs w:val="18"/>
                <w:color w:val="auto"/>
              </w:rPr>
              <w:t>Supplemental Cash Flow Disclosure:</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Paid, Net of Amounts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Capitalized</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F-33</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-6000115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-6000115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-6000115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-6000115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-6000115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-6000115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-6000115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-6000115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-6000115</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-6000115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-5571490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-5571490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-5571490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-5571490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-5571490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-5571490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-5571490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-5571490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-5571490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-5571490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-4319270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-4319270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-4319270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-4319270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-4319270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-4319270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-4319270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-4319270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-4319270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-3890645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-3890645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-3890645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-3890645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-3890645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-3890645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-3890645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-3890645</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-3890645</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-3890645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-2226945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-2226945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-2226945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-2226945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-2226945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-2226945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-2226945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-2226945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-2226945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-1798320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-1798320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-1798320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-1798320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-1798320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-1798320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-1798320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-1798320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-1798320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-1798320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-1231900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-1231900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-1231900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-1231900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-1231900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-1231900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-1231900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-1231900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-1231900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Wynn Las Vegas,</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Vegas Capital Corp.</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w w:val="92"/>
              </w:rPr>
              <w:t>Net Loss Accumulated During the Development Stage  $</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(25,875)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(1,721)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(12,229)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2,815</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During the Development Stage to Net Cash Provided</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13,682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1,053</w:t>
            </w:r>
          </w:p>
        </w:tc>
        <w:tc>
          <w:tcPr>
            <w:tcW w:w="22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2,071</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-661670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-661670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-661670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-661670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-661670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-661670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-661670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-661670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-661670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-661670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-661670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-661670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4" w:orient="portrait"/>
          <w:cols w:equalWidth="0" w:num="1">
            <w:col w:w="11420"/>
          </w:cols>
          <w:pgMar w:left="240" w:top="140" w:right="239" w:bottom="0" w:gutter="0" w:footer="0" w:header="0"/>
        </w:sectPr>
      </w:pPr>
    </w:p>
    <w:bookmarkStart w:id="115" w:name="page116"/>
    <w:bookmarkEnd w:id="115"/>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Amortization of Loan Origination Fees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5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4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(2,288)</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5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(8,100)</w:t>
            </w: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Operating</w:t>
            </w: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(494)</w:t>
            </w:r>
          </w:p>
        </w:tc>
        <w:tc>
          <w:tcPr>
            <w:tcW w:w="4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c>
          <w:tcPr>
            <w:tcW w:w="5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(8,880)</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w w:val="96"/>
              </w:rPr>
              <w:t>Acquisition of Desert Inn Resort and Casino, Net of</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20" w:type="dxa"/>
            <w:vAlign w:val="bottom"/>
            <w:gridSpan w:val="2"/>
          </w:tcPr>
          <w:p>
            <w:pPr>
              <w:spacing w:after="0" w:line="159" w:lineRule="exact"/>
              <w:rPr>
                <w:sz w:val="20"/>
                <w:szCs w:val="20"/>
                <w:color w:val="auto"/>
              </w:rPr>
            </w:pPr>
            <w:r>
              <w:rPr>
                <w:rFonts w:ascii="Arial" w:cs="Arial" w:eastAsia="Arial" w:hAnsi="Arial"/>
                <w:sz w:val="14"/>
                <w:szCs w:val="14"/>
                <w:color w:val="auto"/>
              </w:rPr>
              <w:t>Cash Acquired</w:t>
            </w:r>
          </w:p>
        </w:tc>
        <w:tc>
          <w:tcPr>
            <w:tcW w:w="520" w:type="dxa"/>
            <w:vAlign w:val="bottom"/>
          </w:tcPr>
          <w:p>
            <w:pPr>
              <w:spacing w:after="0"/>
              <w:rPr>
                <w:sz w:val="13"/>
                <w:szCs w:val="13"/>
                <w:color w:val="auto"/>
              </w:rPr>
            </w:pPr>
          </w:p>
        </w:tc>
        <w:tc>
          <w:tcPr>
            <w:tcW w:w="10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48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1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(55,459)</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(40,043)</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(654)</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Acquisition of Airplane</w:t>
            </w:r>
          </w:p>
        </w:tc>
        <w:tc>
          <w:tcPr>
            <w:tcW w:w="5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(9,489)</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(27,653)</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Intercompany Balances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(67,326)</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(8,610)</w:t>
            </w: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Equipment</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w w:val="97"/>
              </w:rPr>
              <w:t>Net Cash Provided by/(Used in) Investing Activities</w:t>
            </w:r>
          </w:p>
        </w:tc>
        <w:tc>
          <w:tcPr>
            <w:tcW w:w="5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(419,597)</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7,640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(10,584)</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33,839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Third Party Fee</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(10,800)</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(125,066)</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Loan Origination Fees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(1,465)</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Principal Payments of Related Party Loan</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(70,000)</w:t>
            </w:r>
          </w:p>
        </w:tc>
        <w:tc>
          <w:tcPr>
            <w:tcW w:w="4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582,194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36,895</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Supplemental Cash Flow Disclosure:</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-3853815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-3853815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-3853815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-3853815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-3853815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-3853815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-3853815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-3853815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-3853815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-3853815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-3853815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-3510915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-3510915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-3510915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-3510915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-3510915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-3510915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-3510915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-3510915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-3510915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-3510915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-3510915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-2601595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-2601595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-2601595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-2601595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-2601595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-2601595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-2601595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-2601595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-2601595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-2601595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-2601595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-2601595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-2353310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-2353310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-2353310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-2353310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-2353310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-2353310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-2353310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-2353310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-2353310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-2353310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-2353310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-2353310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-1255395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-1255395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-1255395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-1255395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-1255395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-1255395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-1255395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-1255395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-1255395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-1255395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-1255395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-1255395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-1006475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-1006475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-1006475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-1006475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-1006475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-1006475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-1006475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-1006475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-1006475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-1006475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-1006475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-1006475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-663575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-663575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-663575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-663575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-663575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-663575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-663575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-663575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-663575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-663575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-663575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-663575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issuance of the Company's financial statements as of June 30, 2002, December 31, 2001 and December 31, 2000, the Company's management determined that the acquisitions of Kevyn, LLC, World Travel, LLC and Las Vegas Jet, LLC had been accounted for based on the incorrect application of an accounting principle. As a result, the consolidated financial statements of the Company for all periods presented have been restated from the amounts previously reported to reflect the transactions as reorganizations of entities under common control in accordance with SFAS No. 141, "Business Combinations". Accordingly, operating results for Kevyn, LLC, World Travel, LLC and Las Vegas Jet, LLC have been included in the consolidated statements of operations of the Company for all periods presented and assets and liabilities of the acquired entities have been recorded at carrying value in each of the consolidated balance sheets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3"/>
              </w:rPr>
              <w:t>2001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2000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June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76"/>
              </w:rPr>
              <w:t>as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76"/>
              </w:rPr>
              <w:t>as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Previously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Previously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4"/>
              </w:rPr>
              <w:t>Restated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4"/>
              </w:rPr>
              <w:t>Restated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jc w:val="right"/>
              <w:ind w:right="12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380,236</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379,726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337,464</w:t>
            </w:r>
          </w:p>
        </w:tc>
        <w:tc>
          <w:tcPr>
            <w:tcW w:w="1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337,467</w:t>
            </w:r>
          </w:p>
        </w:tc>
        <w:tc>
          <w:tcPr>
            <w:tcW w:w="5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313,022</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322,696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586,407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586,036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390,788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388,543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388,467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Deficit Accumulated during the</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40,747</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41,118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26,054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28,342</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9,155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10,616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line="136" w:lineRule="exact"/>
              <w:rPr>
                <w:sz w:val="20"/>
                <w:szCs w:val="20"/>
                <w:color w:val="auto"/>
              </w:rPr>
            </w:pPr>
            <w:r>
              <w:rPr>
                <w:rFonts w:ascii="Arial" w:cs="Arial" w:eastAsia="Arial" w:hAnsi="Arial"/>
                <w:sz w:val="14"/>
                <w:szCs w:val="14"/>
                <w:color w:val="auto"/>
              </w:rPr>
              <w:t>Total Liabilities and Members' Equity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6" w:lineRule="exact"/>
              <w:rPr>
                <w:sz w:val="20"/>
                <w:szCs w:val="20"/>
                <w:color w:val="auto"/>
              </w:rPr>
            </w:pPr>
            <w:r>
              <w:rPr>
                <w:rFonts w:ascii="Arial" w:cs="Arial" w:eastAsia="Arial" w:hAnsi="Arial"/>
                <w:sz w:val="14"/>
                <w:szCs w:val="14"/>
                <w:color w:val="auto"/>
              </w:rPr>
              <w:t>586,407</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72"/>
              <w:spacing w:after="0" w:line="136" w:lineRule="exact"/>
              <w:rPr>
                <w:sz w:val="20"/>
                <w:szCs w:val="20"/>
                <w:color w:val="auto"/>
              </w:rPr>
            </w:pPr>
            <w:r>
              <w:rPr>
                <w:rFonts w:ascii="Arial" w:cs="Arial" w:eastAsia="Arial" w:hAnsi="Arial"/>
                <w:sz w:val="14"/>
                <w:szCs w:val="14"/>
                <w:color w:val="auto"/>
              </w:rPr>
              <w:t>586,036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gridSpan w:val="2"/>
          </w:tcPr>
          <w:p>
            <w:pPr>
              <w:jc w:val="right"/>
              <w:spacing w:after="0" w:line="136" w:lineRule="exact"/>
              <w:rPr>
                <w:sz w:val="20"/>
                <w:szCs w:val="20"/>
                <w:color w:val="auto"/>
              </w:rPr>
            </w:pPr>
            <w:r>
              <w:rPr>
                <w:rFonts w:ascii="Arial" w:cs="Arial" w:eastAsia="Arial" w:hAnsi="Arial"/>
                <w:sz w:val="14"/>
                <w:szCs w:val="14"/>
                <w:color w:val="auto"/>
                <w:w w:val="86"/>
              </w:rPr>
              <w:t>390,788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spacing w:after="0" w:line="136" w:lineRule="exact"/>
              <w:rPr>
                <w:sz w:val="20"/>
                <w:szCs w:val="20"/>
                <w:color w:val="auto"/>
              </w:rPr>
            </w:pPr>
            <w:r>
              <w:rPr>
                <w:rFonts w:ascii="Arial" w:cs="Arial" w:eastAsia="Arial" w:hAnsi="Arial"/>
                <w:sz w:val="14"/>
                <w:szCs w:val="14"/>
                <w:color w:val="auto"/>
                <w:w w:val="86"/>
              </w:rPr>
              <w:t>388,543</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4"/>
                <w:szCs w:val="14"/>
                <w:color w:val="auto"/>
                <w:w w:val="98"/>
              </w:rPr>
              <w:t>388,467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spacing w:after="0" w:line="136"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Six Months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Six Months</w:t>
            </w:r>
          </w:p>
        </w:tc>
        <w:tc>
          <w:tcPr>
            <w:tcW w:w="160" w:type="dxa"/>
            <w:vAlign w:val="bottom"/>
          </w:tcPr>
          <w:p>
            <w:pPr>
              <w:spacing w:after="0"/>
              <w:rPr>
                <w:sz w:val="12"/>
                <w:szCs w:val="12"/>
                <w:color w:val="auto"/>
              </w:rPr>
            </w:pPr>
          </w:p>
        </w:tc>
        <w:tc>
          <w:tcPr>
            <w:tcW w:w="14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3"/>
              </w:rPr>
              <w:t>2001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4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76"/>
              </w:rPr>
              <w:t>as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76"/>
              </w:rPr>
              <w:t>as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8"/>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Previously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2000" w:type="dxa"/>
            <w:vAlign w:val="bottom"/>
            <w:gridSpan w:val="8"/>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Reported</w:t>
            </w:r>
          </w:p>
        </w:tc>
        <w:tc>
          <w:tcPr>
            <w:tcW w:w="2000" w:type="dxa"/>
            <w:vAlign w:val="bottom"/>
            <w:gridSpan w:val="8"/>
          </w:tcPr>
          <w:p>
            <w:pPr>
              <w:jc w:val="center"/>
              <w:ind w:right="70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9,193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9,042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5,490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10,980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11,862</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(15,915)</w:t>
            </w:r>
          </w:p>
        </w:tc>
        <w:tc>
          <w:tcPr>
            <w:tcW w:w="80" w:type="dxa"/>
            <w:vAlign w:val="bottom"/>
          </w:tcPr>
          <w:p>
            <w:pPr>
              <w:spacing w:after="0"/>
              <w:rPr>
                <w:sz w:val="12"/>
                <w:szCs w:val="12"/>
                <w:color w:val="auto"/>
              </w:rPr>
            </w:pP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(14,348)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(9,813)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(10,456)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4"/>
              </w:rPr>
              <w:t>(20,151)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(21,217)</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(14,693)</w:t>
            </w: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(12,776)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(7,935)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(8,234)</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4"/>
              </w:rPr>
              <w:t>(16,899)</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8"/>
              </w:rPr>
              <w:t>(17,726)</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line="136" w:lineRule="exact"/>
              <w:rPr>
                <w:sz w:val="20"/>
                <w:szCs w:val="20"/>
                <w:color w:val="auto"/>
              </w:rPr>
            </w:pPr>
            <w:r>
              <w:rPr>
                <w:rFonts w:ascii="Arial" w:cs="Arial" w:eastAsia="Arial" w:hAnsi="Arial"/>
                <w:sz w:val="14"/>
                <w:szCs w:val="14"/>
                <w:color w:val="auto"/>
              </w:rPr>
              <w:t>Loss Per Share—Basic and Diluted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jc w:val="right"/>
              <w:ind w:right="180"/>
              <w:spacing w:after="0" w:line="136" w:lineRule="exact"/>
              <w:rPr>
                <w:sz w:val="20"/>
                <w:szCs w:val="20"/>
                <w:color w:val="auto"/>
              </w:rPr>
            </w:pPr>
            <w:r>
              <w:rPr>
                <w:rFonts w:ascii="Arial" w:cs="Arial" w:eastAsia="Arial" w:hAnsi="Arial"/>
                <w:sz w:val="14"/>
                <w:szCs w:val="14"/>
                <w:color w:val="auto"/>
              </w:rPr>
              <w:t>(70.37)</w:t>
            </w:r>
          </w:p>
        </w:tc>
        <w:tc>
          <w:tcPr>
            <w:tcW w:w="80" w:type="dxa"/>
            <w:vAlign w:val="bottom"/>
          </w:tcPr>
          <w:p>
            <w:pPr>
              <w:spacing w:after="0"/>
              <w:rPr>
                <w:sz w:val="11"/>
                <w:szCs w:val="11"/>
                <w:color w:val="auto"/>
              </w:rPr>
            </w:pPr>
          </w:p>
        </w:tc>
        <w:tc>
          <w:tcPr>
            <w:tcW w:w="1000" w:type="dxa"/>
            <w:vAlign w:val="bottom"/>
            <w:gridSpan w:val="3"/>
          </w:tcPr>
          <w:p>
            <w:pPr>
              <w:jc w:val="right"/>
              <w:ind w:right="40"/>
              <w:spacing w:after="0" w:line="136" w:lineRule="exact"/>
              <w:rPr>
                <w:sz w:val="20"/>
                <w:szCs w:val="20"/>
                <w:color w:val="auto"/>
              </w:rPr>
            </w:pPr>
            <w:r>
              <w:rPr>
                <w:rFonts w:ascii="Arial" w:cs="Arial" w:eastAsia="Arial" w:hAnsi="Arial"/>
                <w:sz w:val="14"/>
                <w:szCs w:val="14"/>
                <w:color w:val="auto"/>
              </w:rPr>
              <w:t>(61.19)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jc w:val="right"/>
              <w:ind w:right="100"/>
              <w:spacing w:after="0" w:line="136" w:lineRule="exact"/>
              <w:rPr>
                <w:sz w:val="20"/>
                <w:szCs w:val="20"/>
                <w:color w:val="auto"/>
              </w:rPr>
            </w:pPr>
            <w:r>
              <w:rPr>
                <w:rFonts w:ascii="Arial" w:cs="Arial" w:eastAsia="Arial" w:hAnsi="Arial"/>
                <w:sz w:val="14"/>
                <w:szCs w:val="14"/>
                <w:color w:val="auto"/>
              </w:rPr>
              <w:t>(39.04)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right"/>
              <w:ind w:right="20"/>
              <w:spacing w:after="0" w:line="136" w:lineRule="exact"/>
              <w:rPr>
                <w:sz w:val="20"/>
                <w:szCs w:val="20"/>
                <w:color w:val="auto"/>
              </w:rPr>
            </w:pPr>
            <w:r>
              <w:rPr>
                <w:rFonts w:ascii="Arial" w:cs="Arial" w:eastAsia="Arial" w:hAnsi="Arial"/>
                <w:sz w:val="14"/>
                <w:szCs w:val="14"/>
                <w:color w:val="auto"/>
              </w:rPr>
              <w:t>(40.52)</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ind w:right="180"/>
              <w:spacing w:after="0" w:line="136" w:lineRule="exact"/>
              <w:rPr>
                <w:sz w:val="20"/>
                <w:szCs w:val="20"/>
                <w:color w:val="auto"/>
              </w:rPr>
            </w:pPr>
            <w:r>
              <w:rPr>
                <w:rFonts w:ascii="Arial" w:cs="Arial" w:eastAsia="Arial" w:hAnsi="Arial"/>
                <w:sz w:val="14"/>
                <w:szCs w:val="14"/>
                <w:color w:val="auto"/>
                <w:w w:val="99"/>
              </w:rPr>
              <w:t>(82.24)</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4"/>
                <w:szCs w:val="14"/>
                <w:color w:val="auto"/>
              </w:rPr>
              <w:t>(86.27)</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gridSpan w:val="5"/>
          </w:tcPr>
          <w:p>
            <w:pPr>
              <w:ind w:left="80"/>
              <w:spacing w:after="0"/>
              <w:rPr>
                <w:sz w:val="20"/>
                <w:szCs w:val="20"/>
                <w:color w:val="auto"/>
              </w:rPr>
            </w:pPr>
            <w:r>
              <w:rPr>
                <w:rFonts w:ascii="Arial" w:cs="Arial" w:eastAsia="Arial" w:hAnsi="Arial"/>
                <w:sz w:val="14"/>
                <w:szCs w:val="14"/>
                <w:b w:val="1"/>
                <w:bCs w:val="1"/>
                <w:color w:val="auto"/>
              </w:rPr>
              <w:t>Inception to</w:t>
            </w:r>
          </w:p>
        </w:tc>
        <w:tc>
          <w:tcPr>
            <w:tcW w:w="1040" w:type="dxa"/>
            <w:vAlign w:val="bottom"/>
            <w:gridSpan w:val="7"/>
          </w:tcPr>
          <w:p>
            <w:pPr>
              <w:jc w:val="center"/>
              <w:ind w:left="272"/>
              <w:spacing w:after="0"/>
              <w:rPr>
                <w:sz w:val="20"/>
                <w:szCs w:val="20"/>
                <w:color w:val="auto"/>
              </w:rPr>
            </w:pPr>
            <w:r>
              <w:rPr>
                <w:rFonts w:ascii="Arial" w:cs="Arial" w:eastAsia="Arial" w:hAnsi="Arial"/>
                <w:sz w:val="14"/>
                <w:szCs w:val="14"/>
                <w:b w:val="1"/>
                <w:bCs w:val="1"/>
                <w:color w:val="auto"/>
                <w:w w:val="88"/>
              </w:rPr>
              <w:t>Inception to</w:t>
            </w:r>
          </w:p>
        </w:tc>
        <w:tc>
          <w:tcPr>
            <w:tcW w:w="16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Inception to June 30,</w:t>
            </w:r>
          </w:p>
        </w:tc>
        <w:tc>
          <w:tcPr>
            <w:tcW w:w="12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Inception to</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-2035810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-2035810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-2035810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-2035810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-2035810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-2035810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-2035810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-2035810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-2035810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-2035810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-2035810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-2035810</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-843915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-843915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-843915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-843915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-843915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-843915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-843915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-843915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-843915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-843915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-843915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-843915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420"/>
          </w:cols>
          <w:pgMar w:left="240" w:top="383" w:right="239"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 2000</w:t>
            </w:r>
          </w:p>
        </w:tc>
        <w:tc>
          <w:tcPr>
            <w:tcW w:w="80" w:type="dxa"/>
            <w:vAlign w:val="bottom"/>
          </w:tcPr>
          <w:p>
            <w:pPr>
              <w:spacing w:after="0"/>
              <w:rPr>
                <w:sz w:val="14"/>
                <w:szCs w:val="14"/>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 2000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June 30, 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6"/>
              </w:rPr>
              <w:t>as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Restated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84"/>
              </w:rPr>
              <w:t>Previously</w:t>
            </w: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4,522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24,695</w:t>
            </w:r>
          </w:p>
        </w:tc>
        <w:tc>
          <w:tcPr>
            <w:tcW w:w="1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15,626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(10,572)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(45,432)</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(10,616)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(40,747)</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Loss Per Share—Basic and Diluted</w:t>
            </w:r>
          </w:p>
        </w:tc>
        <w:tc>
          <w:tcPr>
            <w:tcW w:w="6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(45.78)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(53.08)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(199.27)</w:t>
            </w:r>
          </w:p>
        </w:tc>
        <w:tc>
          <w:tcPr>
            <w:tcW w:w="1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-661670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-661670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-850900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-850900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-661670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-661670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-850900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-850900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Concession Agreement with the Government of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Considerations for</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Non-U.S. 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Underwriting</w:t>
            </w: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-3923030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-3923030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Resorts, Limited</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28,125,000 Shares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JPMorgan</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Jefferies &amp; Company, Inc.</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Lazard</w:t>
      </w:r>
    </w:p>
    <w:p>
      <w:pPr>
        <w:sectPr>
          <w:pgSz w:w="11900" w:h="16838" w:orient="portrait"/>
          <w:cols w:equalWidth="0" w:num="1">
            <w:col w:w="11280"/>
          </w:cols>
          <w:pgMar w:left="240" w:top="114" w:right="379" w:bottom="0" w:gutter="0" w:footer="0" w:header="0"/>
        </w:sectPr>
      </w:pPr>
    </w:p>
    <w:bookmarkStart w:id="117" w:name="page118"/>
    <w:bookmarkEnd w:id="117"/>
    <w:p>
      <w:pPr>
        <w:spacing w:after="0" w:line="8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SG Cowen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Thomas Weisel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3,775,112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-1574800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intends to enter into separate indemnification agreements, attached as Exhibit 10.14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ectPr>
          <w:pgSz w:w="11900" w:h="16924" w:orient="portrait"/>
          <w:cols w:equalWidth="0" w:num="1">
            <w:col w:w="11420"/>
          </w:cols>
          <w:pgMar w:left="240" w:top="111" w:right="239" w:bottom="0" w:gutter="0" w:footer="0" w:header="0"/>
        </w:sectPr>
      </w:pPr>
    </w:p>
    <w:bookmarkStart w:id="118" w:name="page119"/>
    <w:bookmarkEnd w:id="118"/>
    <w:p>
      <w:pPr>
        <w:spacing w:after="0" w:line="61" w:lineRule="exact"/>
        <w:rPr>
          <w:sz w:val="20"/>
          <w:szCs w:val="20"/>
          <w:color w:val="auto"/>
        </w:rPr>
      </w:pPr>
    </w:p>
    <w:p>
      <w:pPr>
        <w:jc w:val="both"/>
        <w:ind w:left="540" w:right="120" w:firstLine="359"/>
        <w:spacing w:after="0" w:line="256" w:lineRule="auto"/>
        <w:tabs>
          <w:tab w:leader="none" w:pos="118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rFonts w:ascii="Arial" w:cs="Arial" w:eastAsia="Arial" w:hAnsi="Arial"/>
          <w:sz w:val="18"/>
          <w:szCs w:val="18"/>
          <w:color w:val="auto"/>
        </w:rPr>
      </w:pPr>
    </w:p>
    <w:p>
      <w:pPr>
        <w:ind w:left="540" w:right="60" w:firstLine="359"/>
        <w:spacing w:after="0" w:line="332" w:lineRule="auto"/>
        <w:tabs>
          <w:tab w:leader="none" w:pos="117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60" w:firstLine="359"/>
        <w:spacing w:after="0" w:line="314" w:lineRule="auto"/>
        <w:tabs>
          <w:tab w:leader="none" w:pos="1184" w:val="left"/>
        </w:tabs>
        <w:numPr>
          <w:ilvl w:val="0"/>
          <w:numId w:val="163"/>
        </w:numPr>
        <w:rPr>
          <w:rFonts w:ascii="Arial" w:cs="Arial" w:eastAsia="Arial" w:hAnsi="Arial"/>
          <w:sz w:val="15"/>
          <w:szCs w:val="15"/>
          <w:color w:val="auto"/>
        </w:rPr>
      </w:pPr>
      <w:r>
        <w:rPr>
          <w:rFonts w:ascii="Arial" w:cs="Arial" w:eastAsia="Arial" w:hAnsi="Arial"/>
          <w:sz w:val="15"/>
          <w:szCs w:val="15"/>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58" w:lineRule="exact"/>
        <w:rPr>
          <w:rFonts w:ascii="Arial" w:cs="Arial" w:eastAsia="Arial" w:hAnsi="Arial"/>
          <w:sz w:val="15"/>
          <w:szCs w:val="15"/>
          <w:color w:val="auto"/>
        </w:rPr>
      </w:pPr>
    </w:p>
    <w:p>
      <w:pPr>
        <w:ind w:left="540" w:right="380" w:firstLine="359"/>
        <w:spacing w:after="0" w:line="268" w:lineRule="auto"/>
        <w:tabs>
          <w:tab w:leader="none" w:pos="117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June 2002, the Kenneth R. Wynn Family Trust contributed $1.2 million in cash to Valvino in exchange for 307.38 common shares, which represented approximately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0.146% interest in the profits and losses of Valvino, and was admitted as a member of Valvino.</w:t>
      </w:r>
    </w:p>
    <w:p>
      <w:pPr>
        <w:spacing w:after="0" w:line="225" w:lineRule="exact"/>
        <w:rPr>
          <w:sz w:val="20"/>
          <w:szCs w:val="20"/>
          <w:color w:val="auto"/>
        </w:rPr>
      </w:pPr>
    </w:p>
    <w:p>
      <w:pPr>
        <w:ind w:left="540" w:firstLine="359"/>
        <w:spacing w:after="0" w:line="268" w:lineRule="auto"/>
        <w:tabs>
          <w:tab w:leader="none" w:pos="124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September 2002, in exchange for the contribution of all of their respective membership interests in Valvino, the Registrant issued shares of its common stock to each of Mr. Wynn, Aruze USA, Baron Asset Fund and the Kenneth R. Wynn Family Trust.</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8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Agreement.(10)</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Fourth Amended and Restated Bylaws of the Registrant.(12)</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1080" w:right="266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0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4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780" w:hanging="563"/>
        <w:spacing w:after="0" w:line="250"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pacing w:after="0" w:line="1" w:lineRule="exact"/>
        <w:rPr>
          <w:sz w:val="20"/>
          <w:szCs w:val="20"/>
          <w:color w:val="auto"/>
        </w:rPr>
      </w:pPr>
    </w:p>
    <w:p>
      <w:pPr>
        <w:ind w:left="1080" w:right="3140" w:hanging="563"/>
        <w:spacing w:after="0" w:line="250" w:lineRule="auto"/>
        <w:tabs>
          <w:tab w:leader="none" w:pos="106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1080" w:right="2680" w:hanging="563"/>
        <w:spacing w:after="0" w:line="261" w:lineRule="auto"/>
        <w:tabs>
          <w:tab w:leader="none" w:pos="106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080" w:right="2660" w:hanging="651"/>
        <w:spacing w:after="0" w:line="254" w:lineRule="auto"/>
        <w:tabs>
          <w:tab w:leader="none" w:pos="106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ind w:left="420"/>
        <w:spacing w:after="0"/>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Agreement for Guaranteed Maximum Price Construction Services between Wynn Las Vegas, LLC and Marnell</w:t>
      </w:r>
    </w:p>
    <w:p>
      <w:pPr>
        <w:sectPr>
          <w:pgSz w:w="11900" w:h="16900" w:orient="portrait"/>
          <w:cols w:equalWidth="0" w:num="1">
            <w:col w:w="11400"/>
          </w:cols>
          <w:pgMar w:left="240" w:top="131" w:right="259" w:bottom="0" w:gutter="0" w:footer="0" w:header="0"/>
        </w:sectPr>
      </w:pPr>
    </w:p>
    <w:bookmarkStart w:id="119" w:name="page120"/>
    <w:bookmarkEnd w:id="119"/>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Corrao Associates, Inc. for Le Rêve.(1)</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660" w:right="1619" w:hanging="651"/>
        <w:spacing w:after="0" w:line="250" w:lineRule="auto"/>
        <w:tabs>
          <w:tab w:leader="none" w:pos="64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1" w:lineRule="exact"/>
        <w:rPr>
          <w:sz w:val="20"/>
          <w:szCs w:val="20"/>
          <w:color w:val="auto"/>
        </w:rPr>
      </w:pPr>
    </w:p>
    <w:p>
      <w:pPr>
        <w:jc w:val="center"/>
        <w:ind w:right="1459"/>
        <w:spacing w:after="0" w:line="281"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146050</wp:posOffset>
            </wp:positionV>
            <wp:extent cx="7250430" cy="215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10.39</w:t>
        <w:tab/>
        <w:t>Employment Agreement, dated as of September 6, 2002, by and between Wynn Resorts, Limited and Marc H. Rubinstein.(4)</w:t>
      </w:r>
    </w:p>
    <w:p>
      <w:pPr>
        <w:spacing w:after="0" w:line="1"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spacing w:after="0" w:line="1" w:lineRule="exact"/>
        <w:rPr>
          <w:sz w:val="20"/>
          <w:szCs w:val="20"/>
          <w:color w:val="auto"/>
        </w:rPr>
      </w:pP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10.44</w:t>
        <w:tab/>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10.45</w:t>
        <w:tab/>
        <w:t>Employment Agreement, dated as of September 26, 2002, by and between Wynn Design &amp; Development, LLC and DeRuyter O. Butler.(5)</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10.46</w:t>
        <w:tab/>
        <w:t>Employment Agreement, dated as of October 4, 2002, by and between Wynn Resorts, Limited and Stephen A. Wynn.(5)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10.48</w:t>
        <w:tab/>
        <w:t>First Amendment to Letter of Intent, dated as of October 4, 2002, by and between Valvino Lamore, LLC and Ferrari North America, Inc.(7)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660" w:right="1499" w:hanging="651"/>
        <w:spacing w:after="0" w:line="261" w:lineRule="auto"/>
        <w:tabs>
          <w:tab w:leader="none" w:pos="640" w:val="left"/>
        </w:tabs>
        <w:rPr>
          <w:sz w:val="20"/>
          <w:szCs w:val="20"/>
          <w:color w:val="auto"/>
        </w:rPr>
      </w:pPr>
      <w:r>
        <w:rPr>
          <w:rFonts w:ascii="Arial" w:cs="Arial" w:eastAsia="Arial" w:hAnsi="Arial"/>
          <w:sz w:val="18"/>
          <w:szCs w:val="18"/>
          <w:color w:val="auto"/>
        </w:rPr>
        <w:t>10.50</w:t>
        <w:tab/>
        <w:t>First Amendment to Letter of Intent, dated as of October 4, 2002, by and between Valvino Lamore, LLC and Maserati North America, Inc.(7)</w:t>
      </w:r>
    </w:p>
    <w:p>
      <w:pPr>
        <w:sectPr>
          <w:pgSz w:w="11900" w:h="16913" w:orient="portrait"/>
          <w:cols w:equalWidth="0" w:num="1">
            <w:col w:w="9799"/>
          </w:cols>
          <w:pgMar w:left="660" w:top="131" w:right="1440" w:bottom="0" w:gutter="0" w:footer="0" w:header="0"/>
        </w:sectPr>
      </w:pPr>
    </w:p>
    <w:bookmarkStart w:id="120" w:name="page121"/>
    <w:bookmarkEnd w:id="120"/>
    <w:p>
      <w:pPr>
        <w:ind w:left="420"/>
        <w:spacing w:after="0"/>
        <w:tabs>
          <w:tab w:leader="none" w:pos="106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5"/>
          <w:szCs w:val="15"/>
          <w:color w:val="auto"/>
        </w:rPr>
        <w:t>Employment Agreement, dated as of October 4, 2002, by and between Wynn Resorts, Limited and Marc 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Schorr.(7)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Restricted Stock Agreement.(7)</w:t>
      </w:r>
    </w:p>
    <w:p>
      <w:pPr>
        <w:spacing w:after="0" w:line="9" w:lineRule="exact"/>
        <w:rPr>
          <w:sz w:val="20"/>
          <w:szCs w:val="20"/>
          <w:color w:val="auto"/>
        </w:rPr>
      </w:pPr>
    </w:p>
    <w:p>
      <w:pPr>
        <w:ind w:left="1080" w:right="2880" w:hanging="651"/>
        <w:spacing w:after="0" w:line="250" w:lineRule="auto"/>
        <w:tabs>
          <w:tab w:leader="none" w:pos="1060" w:val="left"/>
        </w:tabs>
        <w:rPr>
          <w:sz w:val="20"/>
          <w:szCs w:val="20"/>
          <w:color w:val="auto"/>
        </w:rPr>
      </w:pPr>
      <w:r>
        <w:rPr>
          <w:rFonts w:ascii="Arial" w:cs="Arial" w:eastAsia="Arial" w:hAnsi="Arial"/>
          <w:sz w:val="18"/>
          <w:szCs w:val="18"/>
          <w:color w:val="auto"/>
        </w:rPr>
        <w:t>10.53</w:t>
        <w:tab/>
        <w:t>Distribution Agreement and Assignment, effective as of October 17, 2002, by and between Wynn Resorts, Limited and Valvino Lamore, LLC.(7)</w:t>
      </w:r>
    </w:p>
    <w:p>
      <w:pPr>
        <w:spacing w:after="0" w:line="1" w:lineRule="exact"/>
        <w:rPr>
          <w:sz w:val="20"/>
          <w:szCs w:val="20"/>
          <w:color w:val="auto"/>
        </w:rPr>
      </w:pPr>
    </w:p>
    <w:p>
      <w:pPr>
        <w:ind w:left="1080" w:right="2660" w:hanging="651"/>
        <w:spacing w:after="0" w:line="250" w:lineRule="auto"/>
        <w:tabs>
          <w:tab w:leader="none" w:pos="1060" w:val="left"/>
        </w:tabs>
        <w:rPr>
          <w:sz w:val="20"/>
          <w:szCs w:val="20"/>
          <w:color w:val="auto"/>
        </w:rPr>
      </w:pPr>
      <w:r>
        <w:rPr>
          <w:rFonts w:ascii="Arial" w:cs="Arial" w:eastAsia="Arial" w:hAnsi="Arial"/>
          <w:sz w:val="18"/>
          <w:szCs w:val="18"/>
          <w:color w:val="auto"/>
        </w:rPr>
        <w:t>10.54</w:t>
        <w:tab/>
        <w:t>Form of Master Disbursement Agreement by and among Wynn Las Vegas, LLC, Wynn Las Vegas Capital Corp., Wynn Design &amp; Development, LLC, Deutsche Bank Trust Company Americas and Wells Fargo Bank, National Association.(6)</w:t>
      </w:r>
    </w:p>
    <w:p>
      <w:pPr>
        <w:spacing w:after="0" w:line="1" w:lineRule="exact"/>
        <w:rPr>
          <w:sz w:val="20"/>
          <w:szCs w:val="20"/>
          <w:color w:val="auto"/>
        </w:rPr>
      </w:pPr>
    </w:p>
    <w:p>
      <w:pPr>
        <w:ind w:left="1080" w:right="2780" w:hanging="651"/>
        <w:spacing w:after="0" w:line="250" w:lineRule="auto"/>
        <w:tabs>
          <w:tab w:leader="none" w:pos="1060" w:val="left"/>
        </w:tabs>
        <w:rPr>
          <w:sz w:val="20"/>
          <w:szCs w:val="20"/>
          <w:color w:val="auto"/>
        </w:rPr>
      </w:pPr>
      <w:r>
        <w:rPr>
          <w:rFonts w:ascii="Arial" w:cs="Arial" w:eastAsia="Arial" w:hAnsi="Arial"/>
          <w:sz w:val="18"/>
          <w:szCs w:val="18"/>
          <w:color w:val="auto"/>
        </w:rPr>
        <w:t>10.55</w:t>
        <w:tab/>
        <w:t>Form of Deed of Trust, Assignment of Rents and Leases, Security Agreement and Fixture Filing in favor of Wells Fargo Bank, National Association, as trustee under the Indenture.(6)</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6"/>
          <w:szCs w:val="16"/>
          <w:color w:val="auto"/>
        </w:rPr>
        <w:t>Form of Lease Agreement by and between Valvino Lamore, LLC and Wynn Las Vegas, LLC.(7)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6"/>
          <w:szCs w:val="16"/>
          <w:color w:val="auto"/>
        </w:rPr>
        <w:t>Form of Golf Course Lease by and between Wynn Resorts Holdings, LLC and Wynn Las Vegas, LLC.(7)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II-5</w:t>
            </w:r>
          </w:p>
        </w:tc>
      </w:tr>
      <w:tr>
        <w:trPr>
          <w:trHeight w:val="228"/>
        </w:trPr>
        <w:tc>
          <w:tcPr>
            <w:tcW w:w="940" w:type="dxa"/>
            <w:vAlign w:val="bottom"/>
            <w:tcBorders>
              <w:bottom w:val="single" w:sz="8" w:color="808080"/>
            </w:tcBorders>
          </w:tcPr>
          <w:p>
            <w:pPr>
              <w:spacing w:after="0"/>
              <w:rPr>
                <w:sz w:val="19"/>
                <w:szCs w:val="19"/>
                <w:color w:val="auto"/>
              </w:rPr>
            </w:pPr>
          </w:p>
        </w:tc>
        <w:tc>
          <w:tcPr>
            <w:tcW w:w="10480" w:type="dxa"/>
            <w:vAlign w:val="bottom"/>
            <w:tcBorders>
              <w:bottom w:val="single" w:sz="8" w:color="808080"/>
            </w:tcBorders>
            <w:gridSpan w:val="3"/>
          </w:tcPr>
          <w:p>
            <w:pPr>
              <w:spacing w:after="0"/>
              <w:rPr>
                <w:sz w:val="19"/>
                <w:szCs w:val="19"/>
                <w:color w:val="auto"/>
              </w:rPr>
            </w:pPr>
          </w:p>
        </w:tc>
      </w:tr>
      <w:tr>
        <w:trPr>
          <w:trHeight w:val="313"/>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Driving Range Lease by and between Valvino Lamore, LLC and Wynn Las Vegas, LLC.(7)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Parking Facility Lease by and between Valvino Lamore, LLC and Wynn Las Vegas, LLC.(7)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and Bank of America, N.A.(7)</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10.64</w:t>
            </w:r>
          </w:p>
        </w:tc>
        <w:tc>
          <w:tcPr>
            <w:tcW w:w="3540" w:type="dxa"/>
            <w:vAlign w:val="bottom"/>
          </w:tcPr>
          <w:p>
            <w:pPr>
              <w:ind w:left="140"/>
              <w:spacing w:after="0"/>
              <w:rPr>
                <w:sz w:val="20"/>
                <w:szCs w:val="20"/>
                <w:color w:val="auto"/>
              </w:rPr>
            </w:pPr>
            <w:r>
              <w:rPr>
                <w:rFonts w:ascii="Arial" w:cs="Arial" w:eastAsia="Arial" w:hAnsi="Arial"/>
                <w:sz w:val="18"/>
                <w:szCs w:val="18"/>
                <w:color w:val="auto"/>
                <w:w w:val="92"/>
              </w:rPr>
              <w:t>Form of Management Agreement, made as of</w:t>
            </w:r>
          </w:p>
        </w:tc>
        <w:tc>
          <w:tcPr>
            <w:tcW w:w="6940" w:type="dxa"/>
            <w:vAlign w:val="bottom"/>
            <w:gridSpan w:val="2"/>
          </w:tcPr>
          <w:p>
            <w:pPr>
              <w:ind w:left="320"/>
              <w:spacing w:after="0"/>
              <w:rPr>
                <w:sz w:val="20"/>
                <w:szCs w:val="20"/>
                <w:color w:val="auto"/>
              </w:rPr>
            </w:pPr>
            <w:r>
              <w:rPr>
                <w:rFonts w:ascii="Arial" w:cs="Arial" w:eastAsia="Arial" w:hAnsi="Arial"/>
                <w:sz w:val="18"/>
                <w:szCs w:val="18"/>
                <w:color w:val="auto"/>
              </w:rPr>
              <w:t>, 2002, by and among Wynn Las Vegas, LLC and the</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10.65</w:t>
            </w:r>
          </w:p>
        </w:tc>
        <w:tc>
          <w:tcPr>
            <w:tcW w:w="3540" w:type="dxa"/>
            <w:vAlign w:val="bottom"/>
          </w:tcPr>
          <w:p>
            <w:pPr>
              <w:ind w:left="140"/>
              <w:spacing w:after="0"/>
              <w:rPr>
                <w:sz w:val="20"/>
                <w:szCs w:val="20"/>
                <w:color w:val="auto"/>
              </w:rPr>
            </w:pPr>
            <w:r>
              <w:rPr>
                <w:rFonts w:ascii="Arial" w:cs="Arial" w:eastAsia="Arial" w:hAnsi="Arial"/>
                <w:sz w:val="18"/>
                <w:szCs w:val="18"/>
                <w:color w:val="auto"/>
                <w:w w:val="89"/>
              </w:rPr>
              <w:t>Form of Credit Agreement, dated as of October</w:t>
            </w: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 2002, among Wynn Las Vegas, LLC and the several</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7"/>
              </w:rPr>
              <w:t>lenders from time to time parties thereto.(9)</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10.66</w:t>
            </w:r>
          </w:p>
        </w:tc>
        <w:tc>
          <w:tcPr>
            <w:tcW w:w="3540" w:type="dxa"/>
            <w:vAlign w:val="bottom"/>
          </w:tcPr>
          <w:p>
            <w:pPr>
              <w:ind w:left="140"/>
              <w:spacing w:after="0"/>
              <w:rPr>
                <w:sz w:val="20"/>
                <w:szCs w:val="20"/>
                <w:color w:val="auto"/>
              </w:rPr>
            </w:pPr>
            <w:r>
              <w:rPr>
                <w:rFonts w:ascii="Arial" w:cs="Arial" w:eastAsia="Arial" w:hAnsi="Arial"/>
                <w:sz w:val="18"/>
                <w:szCs w:val="18"/>
                <w:color w:val="auto"/>
                <w:w w:val="91"/>
              </w:rPr>
              <w:t>Form of Loan Agreement, dated as of October</w:t>
            </w: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 2002, by and among Wynn Las Vegas, LLC, Wells Fargo</w:t>
            </w:r>
          </w:p>
        </w:tc>
      </w:tr>
      <w:tr>
        <w:trPr>
          <w:trHeight w:val="216"/>
        </w:trPr>
        <w:tc>
          <w:tcPr>
            <w:tcW w:w="94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rPr>
              <w:t>Bank Nevada, N.A. and the lenders listed therein.(9)</w:t>
            </w: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3, 2002, from Deutsche Bank Trust Company Americas,</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of America, N.A. and Bear Stearns Corporate Lending, Inc. to Bank of America, National Association.</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16, 2002, from Bank of America, N.A. to Bank of</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America, National Association.(10)</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August 22, 2002, from The CIT Group/Equipment Financing, Inc. to</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18, 2002, from General Electric Capital Corporation to</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13, 2002, from SG Cowen Securities and Societe</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1"/>
              </w:rPr>
              <w:t>Generale to Deutsche Bank Securities Inc.(10)</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22, 2002, from GMAC Commercial Mortgage Corporation</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3"/>
              </w:rPr>
              <w:t>to Bank of America, National Association.(10)</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Underwriting Agreement by and among Wynn Las Vegas, LLC, Wynn Las Vegas Capital Corp. and</w:t>
            </w:r>
          </w:p>
        </w:tc>
      </w:tr>
      <w:tr>
        <w:trPr>
          <w:trHeight w:val="216"/>
        </w:trPr>
        <w:tc>
          <w:tcPr>
            <w:tcW w:w="94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6"/>
              </w:rPr>
              <w:t>the several Underwriters listed in Schedule I thereto.(9)</w:t>
            </w: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10.74</w:t>
            </w:r>
          </w:p>
        </w:tc>
        <w:tc>
          <w:tcPr>
            <w:tcW w:w="354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10.75</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6100" w:type="dxa"/>
            <w:vAlign w:val="bottom"/>
          </w:tcPr>
          <w:p>
            <w:pPr>
              <w:ind w:left="180"/>
              <w:spacing w:after="0"/>
              <w:rPr>
                <w:sz w:val="20"/>
                <w:szCs w:val="20"/>
                <w:color w:val="auto"/>
              </w:rPr>
            </w:pPr>
            <w:r>
              <w:rPr>
                <w:rFonts w:ascii="Arial" w:cs="Arial" w:eastAsia="Arial" w:hAnsi="Arial"/>
                <w:sz w:val="18"/>
                <w:szCs w:val="18"/>
                <w:color w:val="auto"/>
              </w:rPr>
              <w:t>, 2002, by Wynn Las Vegas, LLC, in favor of</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Nevada, National Association.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Promissory Note made by Wynn Las Vegas, LLC.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10.77</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6100" w:type="dxa"/>
            <w:vAlign w:val="bottom"/>
          </w:tcPr>
          <w:p>
            <w:pPr>
              <w:ind w:left="60"/>
              <w:spacing w:after="0"/>
              <w:rPr>
                <w:sz w:val="20"/>
                <w:szCs w:val="20"/>
                <w:color w:val="auto"/>
              </w:rPr>
            </w:pPr>
            <w:r>
              <w:rPr>
                <w:rFonts w:ascii="Arial" w:cs="Arial" w:eastAsia="Arial" w:hAnsi="Arial"/>
                <w:sz w:val="18"/>
                <w:szCs w:val="18"/>
                <w:color w:val="auto"/>
              </w:rPr>
              <w:t>, 2002, by Wells Fargo Bank Northwest, National</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Association. (included in Exhibit 10.66)(9)</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Assignment and Assumption Agreement, dated as of October   , 2002, between Wynn Las Vegas,</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LLC and Wells Fargo Bank Nevada, National Association.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Completion Guaranty, dated as of October   , 2002, by Wynn Completion Guarantor, LLC in favor of</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Deutsche Bank Trust Company Americas, as the Bank Agent, and Wells Fargo Bank, National Association, as</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Trustee.(9)</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22"/>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10.80</w:t>
            </w:r>
          </w:p>
        </w:tc>
        <w:tc>
          <w:tcPr>
            <w:tcW w:w="354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4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32"/>
        </w:trPr>
        <w:tc>
          <w:tcPr>
            <w:tcW w:w="9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II-6</w:t>
            </w:r>
          </w:p>
        </w:tc>
      </w:tr>
      <w:tr>
        <w:trPr>
          <w:trHeight w:val="228"/>
        </w:trPr>
        <w:tc>
          <w:tcPr>
            <w:tcW w:w="940" w:type="dxa"/>
            <w:vAlign w:val="bottom"/>
            <w:tcBorders>
              <w:bottom w:val="single" w:sz="8" w:color="808080"/>
            </w:tcBorders>
          </w:tcPr>
          <w:p>
            <w:pPr>
              <w:spacing w:after="0"/>
              <w:rPr>
                <w:sz w:val="19"/>
                <w:szCs w:val="19"/>
                <w:color w:val="auto"/>
              </w:rPr>
            </w:pPr>
          </w:p>
        </w:tc>
        <w:tc>
          <w:tcPr>
            <w:tcW w:w="10480" w:type="dxa"/>
            <w:vAlign w:val="bottom"/>
            <w:tcBorders>
              <w:bottom w:val="single" w:sz="8" w:color="808080"/>
            </w:tcBorders>
            <w:gridSpan w:val="3"/>
          </w:tcPr>
          <w:p>
            <w:pPr>
              <w:spacing w:after="0"/>
              <w:rPr>
                <w:sz w:val="19"/>
                <w:szCs w:val="19"/>
                <w:color w:val="auto"/>
              </w:rPr>
            </w:pPr>
          </w:p>
        </w:tc>
      </w:tr>
      <w:tr>
        <w:trPr>
          <w:trHeight w:val="313"/>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Project Lenders Intercreditor Agreement by and among Deutsche Bank Trust Company Americas and</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Wells Fargo Bank, National Association.(9)</w:t>
            </w:r>
          </w:p>
        </w:tc>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FF&amp;E Intercreditor Agreement by and among Deutsche Bank Trust Company Americas, Wells Fargo</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National Association and Wells Fargo Bank Nevada, National Association.(9)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10.83</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ind w:left="860"/>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other Grantors from time to time party</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Wells Fargo Bank, National Association, as trustee.(9)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10.84</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ind w:left="860"/>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Grantors from time to time party</w:t>
            </w:r>
          </w:p>
        </w:tc>
      </w:tr>
      <w:tr>
        <w:trPr>
          <w:trHeight w:val="222"/>
        </w:trPr>
        <w:tc>
          <w:tcPr>
            <w:tcW w:w="940" w:type="dxa"/>
            <w:vAlign w:val="bottom"/>
          </w:tcPr>
          <w:p>
            <w:pPr>
              <w:spacing w:after="0"/>
              <w:rPr>
                <w:sz w:val="19"/>
                <w:szCs w:val="19"/>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Deutsche Bank Trust Company Americas, as administrative agent.(9)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-8397875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-8397875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10.85</w:t>
            </w:r>
          </w:p>
        </w:tc>
        <w:tc>
          <w:tcPr>
            <w:tcW w:w="3460" w:type="dxa"/>
            <w:vAlign w:val="bottom"/>
          </w:tcPr>
          <w:p>
            <w:pPr>
              <w:ind w:left="140"/>
              <w:spacing w:after="0"/>
              <w:rPr>
                <w:sz w:val="20"/>
                <w:szCs w:val="20"/>
                <w:color w:val="auto"/>
              </w:rPr>
            </w:pPr>
            <w:r>
              <w:rPr>
                <w:rFonts w:ascii="Arial" w:cs="Arial" w:eastAsia="Arial" w:hAnsi="Arial"/>
                <w:sz w:val="18"/>
                <w:szCs w:val="18"/>
                <w:color w:val="auto"/>
                <w:w w:val="89"/>
              </w:rPr>
              <w:t>Form of Parent Guaranty, dated as of October</w:t>
            </w:r>
          </w:p>
        </w:tc>
        <w:tc>
          <w:tcPr>
            <w:tcW w:w="4380" w:type="dxa"/>
            <w:vAlign w:val="bottom"/>
          </w:tcPr>
          <w:p>
            <w:pPr>
              <w:ind w:left="100"/>
              <w:spacing w:after="0"/>
              <w:rPr>
                <w:sz w:val="20"/>
                <w:szCs w:val="20"/>
                <w:color w:val="auto"/>
              </w:rPr>
            </w:pPr>
            <w:r>
              <w:rPr>
                <w:rFonts w:ascii="Arial" w:cs="Arial" w:eastAsia="Arial" w:hAnsi="Arial"/>
                <w:sz w:val="18"/>
                <w:szCs w:val="18"/>
                <w:color w:val="auto"/>
                <w:w w:val="94"/>
              </w:rPr>
              <w:t>, 2002, by Wynn Resorts, Limited in favor of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w w:val="96"/>
              </w:rPr>
              <w:t>Bank National Association, as Trustee.(11)</w:t>
            </w:r>
          </w:p>
        </w:tc>
        <w:tc>
          <w:tcPr>
            <w:tcW w:w="438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3460" w:type="dxa"/>
            <w:vAlign w:val="bottom"/>
          </w:tcPr>
          <w:p>
            <w:pPr>
              <w:ind w:left="140"/>
              <w:spacing w:after="0"/>
              <w:rPr>
                <w:sz w:val="20"/>
                <w:szCs w:val="20"/>
                <w:color w:val="auto"/>
              </w:rPr>
            </w:pPr>
            <w:r>
              <w:rPr>
                <w:rFonts w:ascii="Arial" w:cs="Arial" w:eastAsia="Arial" w:hAnsi="Arial"/>
                <w:sz w:val="18"/>
                <w:szCs w:val="18"/>
                <w:color w:val="auto"/>
                <w:w w:val="89"/>
              </w:rPr>
              <w:t>Form of Parent Guaranty, dated as of October</w:t>
            </w:r>
          </w:p>
        </w:tc>
        <w:tc>
          <w:tcPr>
            <w:tcW w:w="4380" w:type="dxa"/>
            <w:vAlign w:val="bottom"/>
          </w:tcPr>
          <w:p>
            <w:pPr>
              <w:ind w:left="100"/>
              <w:spacing w:after="0"/>
              <w:rPr>
                <w:sz w:val="20"/>
                <w:szCs w:val="20"/>
                <w:color w:val="auto"/>
              </w:rPr>
            </w:pPr>
            <w:r>
              <w:rPr>
                <w:rFonts w:ascii="Arial" w:cs="Arial" w:eastAsia="Arial" w:hAnsi="Arial"/>
                <w:sz w:val="18"/>
                <w:szCs w:val="18"/>
                <w:color w:val="auto"/>
                <w:w w:val="89"/>
              </w:rPr>
              <w:t>, 2002, by Wynn Resorts, Limited in favor of Deutsche Bank</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Trust Company Americas, as administrative agent.(11)</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46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438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3460" w:type="dxa"/>
            <w:vAlign w:val="bottom"/>
          </w:tcPr>
          <w:p>
            <w:pPr>
              <w:ind w:left="140"/>
              <w:spacing w:after="0"/>
              <w:rPr>
                <w:sz w:val="20"/>
                <w:szCs w:val="20"/>
                <w:color w:val="auto"/>
              </w:rPr>
            </w:pPr>
            <w:r>
              <w:rPr>
                <w:rFonts w:ascii="Arial" w:cs="Arial" w:eastAsia="Arial" w:hAnsi="Arial"/>
                <w:sz w:val="18"/>
                <w:szCs w:val="18"/>
                <w:color w:val="auto"/>
              </w:rPr>
              <w:t>Subsidiaries of the Registrant.(7)</w:t>
            </w:r>
          </w:p>
        </w:tc>
        <w:tc>
          <w:tcPr>
            <w:tcW w:w="438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Consent of Schreck Brignone (included in Exhibit 5.1).(8)</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3460" w:type="dxa"/>
            <w:vAlign w:val="bottom"/>
          </w:tcPr>
          <w:p>
            <w:pPr>
              <w:ind w:left="140"/>
              <w:spacing w:after="0"/>
              <w:rPr>
                <w:sz w:val="20"/>
                <w:szCs w:val="20"/>
                <w:color w:val="auto"/>
              </w:rPr>
            </w:pPr>
            <w:r>
              <w:rPr>
                <w:rFonts w:ascii="Arial" w:cs="Arial" w:eastAsia="Arial" w:hAnsi="Arial"/>
                <w:sz w:val="18"/>
                <w:szCs w:val="18"/>
                <w:color w:val="auto"/>
              </w:rPr>
              <w:t>Consent of Deloitte &amp; Touche LLP.(12)</w:t>
            </w:r>
          </w:p>
        </w:tc>
        <w:tc>
          <w:tcPr>
            <w:tcW w:w="4380" w:type="dxa"/>
            <w:vAlign w:val="bottom"/>
          </w:tcPr>
          <w:p>
            <w:pPr>
              <w:spacing w:after="0"/>
              <w:rPr>
                <w:sz w:val="18"/>
                <w:szCs w:val="18"/>
                <w:color w:val="auto"/>
              </w:rPr>
            </w:pPr>
          </w:p>
        </w:tc>
      </w:tr>
      <w:tr>
        <w:trPr>
          <w:trHeight w:val="222"/>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346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438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3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left="460" w:hanging="101"/>
        <w:spacing w:after="0"/>
        <w:tabs>
          <w:tab w:leader="none" w:pos="46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65"/>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 on September 18,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 on October 7, 2002.</w:t>
      </w:r>
    </w:p>
    <w:p>
      <w:pPr>
        <w:spacing w:after="0" w:line="71" w:lineRule="exact"/>
        <w:rPr>
          <w:rFonts w:ascii="Arial" w:cs="Arial" w:eastAsia="Arial" w:hAnsi="Arial"/>
          <w:sz w:val="23"/>
          <w:szCs w:val="23"/>
          <w:color w:val="auto"/>
          <w:vertAlign w:val="subscript"/>
        </w:rPr>
      </w:pPr>
    </w:p>
    <w:p>
      <w:pPr>
        <w:ind w:left="540" w:right="240" w:hanging="532"/>
        <w:spacing w:after="0" w:line="186" w:lineRule="auto"/>
        <w:tabs>
          <w:tab w:leader="none" w:pos="540" w:val="left"/>
        </w:tabs>
        <w:numPr>
          <w:ilvl w:val="0"/>
          <w:numId w:val="165"/>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ind w:left="540" w:hanging="532"/>
        <w:spacing w:after="0" w:line="187" w:lineRule="auto"/>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6 to the Form S-1 filed by the Registrant on October 22, 2002.</w:t>
      </w:r>
    </w:p>
    <w:p>
      <w:pPr>
        <w:spacing w:after="0" w:line="71" w:lineRule="exact"/>
        <w:rPr>
          <w:rFonts w:ascii="Arial" w:cs="Arial" w:eastAsia="Arial" w:hAnsi="Arial"/>
          <w:sz w:val="23"/>
          <w:szCs w:val="23"/>
          <w:color w:val="auto"/>
          <w:vertAlign w:val="subscript"/>
        </w:rPr>
      </w:pPr>
    </w:p>
    <w:p>
      <w:pPr>
        <w:ind w:left="540" w:right="500" w:hanging="532"/>
        <w:spacing w:after="0" w:line="186" w:lineRule="auto"/>
        <w:tabs>
          <w:tab w:leader="none" w:pos="540" w:val="left"/>
        </w:tabs>
        <w:numPr>
          <w:ilvl w:val="0"/>
          <w:numId w:val="165"/>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6 to the Registration Statement on Form S-1 of Wynn Las Vegas, LLC, Wynn Las Vegas Capital Corp. and the Other Registrants listed therein on October 23, 2002 (Registration No. 333-98369).</w:t>
      </w:r>
    </w:p>
    <w:p>
      <w:pPr>
        <w:ind w:left="540" w:hanging="532"/>
        <w:spacing w:after="0" w:line="187" w:lineRule="auto"/>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7 to the Form S-1 filed by the Registrant on October 23, 2002.</w:t>
      </w:r>
    </w:p>
    <w:p>
      <w:pPr>
        <w:spacing w:after="0" w:line="85" w:lineRule="exact"/>
        <w:rPr>
          <w:rFonts w:ascii="Arial" w:cs="Arial" w:eastAsia="Arial" w:hAnsi="Arial"/>
          <w:sz w:val="27"/>
          <w:szCs w:val="27"/>
          <w:color w:val="auto"/>
          <w:vertAlign w:val="subscript"/>
        </w:rPr>
      </w:pPr>
    </w:p>
    <w:p>
      <w:pPr>
        <w:ind w:left="540" w:right="500" w:hanging="532"/>
        <w:spacing w:after="0" w:line="186" w:lineRule="auto"/>
        <w:tabs>
          <w:tab w:leader="none" w:pos="540" w:val="left"/>
        </w:tabs>
        <w:numPr>
          <w:ilvl w:val="0"/>
          <w:numId w:val="165"/>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7 to the Registration Statement on Form S-1 of Wynn Las Vegas, LLC, Wynn Las Vegas Capital Corp. and the Other Registrants listed therein on October 24, 2002 (Registration No. 333-98369).</w:t>
      </w:r>
    </w:p>
    <w:p>
      <w:pPr>
        <w:ind w:left="540" w:hanging="532"/>
        <w:spacing w:after="0" w:line="187" w:lineRule="auto"/>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Filed herewith.</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66675</wp:posOffset>
            </wp:positionV>
            <wp:extent cx="278765" cy="215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w w:val="78"/>
              </w:rPr>
              <w:t>S-3</w:t>
            </w: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00" w:firstLine="359"/>
        <w:spacing w:after="0" w:line="306" w:lineRule="auto"/>
        <w:tabs>
          <w:tab w:leader="none" w:pos="118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00" w:firstLine="359"/>
        <w:spacing w:after="0" w:line="259" w:lineRule="auto"/>
        <w:tabs>
          <w:tab w:leader="none" w:pos="118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23rd day of October, 2002.</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ectPr>
          <w:pgSz w:w="11900" w:h="16838" w:orient="portrait"/>
          <w:cols w:equalWidth="0" w:num="1">
            <w:col w:w="11400"/>
          </w:cols>
          <w:pgMar w:left="240" w:top="131" w:right="259" w:bottom="0" w:gutter="0" w:footer="0" w:header="0"/>
        </w:sectPr>
      </w:pPr>
    </w:p>
    <w:bookmarkStart w:id="122" w:name="page123"/>
    <w:bookmarkEnd w:id="122"/>
    <w:tbl>
      <w:tblPr>
        <w:tblLayout w:type="fixed"/>
        <w:tblInd w:w="574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900"/>
              <w:spacing w:after="0"/>
              <w:rPr>
                <w:sz w:val="20"/>
                <w:szCs w:val="20"/>
                <w:color w:val="auto"/>
              </w:rPr>
            </w:pPr>
            <w:r>
              <w:rPr>
                <w:rFonts w:ascii="Arial" w:cs="Arial" w:eastAsia="Arial" w:hAnsi="Arial"/>
                <w:sz w:val="18"/>
                <w:szCs w:val="18"/>
                <w:color w:val="auto"/>
              </w:rPr>
              <w:t>/s/ STEPHEN A. WYNN</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rPr>
                <w:sz w:val="20"/>
                <w:szCs w:val="20"/>
                <w:color w:val="auto"/>
              </w:rPr>
            </w:pPr>
            <w:r>
              <w:rPr>
                <w:rFonts w:ascii="Arial" w:cs="Arial" w:eastAsia="Arial" w:hAnsi="Arial"/>
                <w:sz w:val="18"/>
                <w:szCs w:val="18"/>
                <w:color w:val="auto"/>
              </w:rPr>
              <w:t>Stephen A. Wynn</w:t>
            </w:r>
          </w:p>
        </w:tc>
      </w:tr>
      <w:tr>
        <w:trPr>
          <w:trHeight w:val="216"/>
        </w:trPr>
        <w:tc>
          <w:tcPr>
            <w:tcW w:w="4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w w:val="92"/>
              </w:rPr>
              <w:t>Chairman of the Board &amp; Chief Executive Officer (Principal</w:t>
            </w:r>
          </w:p>
        </w:tc>
      </w:tr>
      <w:tr>
        <w:trPr>
          <w:trHeight w:val="222"/>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-491490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360" w:type="dxa"/>
            <w:vAlign w:val="bottom"/>
          </w:tcPr>
          <w:p>
            <w:pPr>
              <w:ind w:left="340"/>
              <w:spacing w:after="0"/>
              <w:rPr>
                <w:sz w:val="20"/>
                <w:szCs w:val="20"/>
                <w:color w:val="auto"/>
              </w:rPr>
            </w:pPr>
            <w:r>
              <w:rPr>
                <w:rFonts w:ascii="Arial" w:cs="Arial" w:eastAsia="Arial" w:hAnsi="Arial"/>
                <w:sz w:val="18"/>
                <w:szCs w:val="18"/>
                <w:color w:val="auto"/>
              </w:rPr>
              <w:t>Chief Executive Officer (Principal Executive Officer) and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23,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8"/>
              </w:rPr>
              <w:t>Stephen A. Wynn</w:t>
            </w:r>
          </w:p>
        </w:tc>
        <w:tc>
          <w:tcPr>
            <w:tcW w:w="536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360" w:type="dxa"/>
            <w:vAlign w:val="bottom"/>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23,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36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rPr>
              <w:t>/s/ KAZUO OKADA</w:t>
            </w:r>
          </w:p>
        </w:tc>
        <w:tc>
          <w:tcPr>
            <w:tcW w:w="5360" w:type="dxa"/>
            <w:vAlign w:val="bottom"/>
          </w:tcPr>
          <w:p>
            <w:pPr>
              <w:ind w:left="34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23,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7"/>
              </w:rPr>
              <w:t>Kazuo Okada</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RONALD J. KRAMER</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23,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8"/>
              </w:rPr>
              <w:t>Ronald J. Kramer</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ROBERT J. MILLER</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23,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2"/>
              </w:rPr>
              <w:t>Robert J. Miller</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JOHN A. MORAN</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23,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0"/>
              </w:rPr>
              <w:t>John A. Moran</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ELAINE P. WYNN</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23,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7"/>
              </w:rPr>
              <w:t>Elaine P. Wynn</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STANLEY R. ZAX</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23,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Stanley R. Zax</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rPr>
              <w:t>/s/ ALLAN ZEMAN</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23,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1"/>
              </w:rPr>
              <w:t>Allan Zeman</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5360" w:type="dxa"/>
            <w:vAlign w:val="bottom"/>
          </w:tcPr>
          <w:p>
            <w:pPr>
              <w:ind w:left="1820"/>
              <w:spacing w:after="0"/>
              <w:rPr>
                <w:sz w:val="20"/>
                <w:szCs w:val="20"/>
                <w:color w:val="auto"/>
              </w:rPr>
            </w:pPr>
            <w:r>
              <w:rPr>
                <w:rFonts w:ascii="Arial" w:cs="Arial" w:eastAsia="Arial" w:hAnsi="Arial"/>
                <w:sz w:val="18"/>
                <w:szCs w:val="18"/>
                <w:color w:val="auto"/>
              </w:rPr>
              <w:t>S-1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8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-6137275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-5571490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-5571490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-4867910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-4867910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-4164965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-4164965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-3462020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-2758440</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-2758440</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-2055495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-1351915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-648970</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have audited the consolidated financial statements of Valviono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(October 2, 2002 as to the effects of the restatement at Note 12); such consolidated financial statements and report are included in the Registration Statement of Wynn Resorts, Inc.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ectPr>
          <w:pgSz w:w="11900" w:h="16838" w:orient="portrait"/>
          <w:cols w:equalWidth="0" w:num="1">
            <w:col w:w="11420"/>
          </w:cols>
          <w:pgMar w:left="240" w:top="347" w:right="239" w:bottom="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Balance at</w:t>
            </w:r>
          </w:p>
        </w:tc>
        <w:tc>
          <w:tcPr>
            <w:tcW w:w="280" w:type="dxa"/>
            <w:vAlign w:val="bottom"/>
          </w:tcPr>
          <w:p>
            <w:pPr>
              <w:spacing w:after="0"/>
              <w:rPr>
                <w:sz w:val="14"/>
                <w:szCs w:val="14"/>
                <w:color w:val="auto"/>
              </w:rPr>
            </w:pPr>
          </w:p>
        </w:tc>
        <w:tc>
          <w:tcPr>
            <w:tcW w:w="920" w:type="dxa"/>
            <w:vAlign w:val="bottom"/>
          </w:tcPr>
          <w:p>
            <w:pPr>
              <w:jc w:val="right"/>
              <w:ind w:right="224"/>
              <w:spacing w:after="0"/>
              <w:rPr>
                <w:sz w:val="20"/>
                <w:szCs w:val="20"/>
                <w:color w:val="auto"/>
              </w:rPr>
            </w:pPr>
            <w:r>
              <w:rPr>
                <w:rFonts w:ascii="Arial" w:cs="Arial" w:eastAsia="Arial" w:hAnsi="Arial"/>
                <w:sz w:val="14"/>
                <w:szCs w:val="14"/>
                <w:b w:val="1"/>
                <w:bCs w:val="1"/>
                <w:color w:val="auto"/>
                <w:w w:val="85"/>
              </w:rPr>
              <w:t>Balance at</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280" w:type="dxa"/>
            <w:vAlign w:val="bottom"/>
          </w:tcPr>
          <w:p>
            <w:pPr>
              <w:spacing w:after="0"/>
              <w:rPr>
                <w:sz w:val="12"/>
                <w:szCs w:val="12"/>
                <w:color w:val="auto"/>
              </w:rPr>
            </w:pPr>
          </w:p>
        </w:tc>
        <w:tc>
          <w:tcPr>
            <w:tcW w:w="920" w:type="dxa"/>
            <w:vAlign w:val="bottom"/>
          </w:tcPr>
          <w:p>
            <w:pPr>
              <w:jc w:val="right"/>
              <w:ind w:right="324"/>
              <w:spacing w:after="0" w:line="149" w:lineRule="exact"/>
              <w:rPr>
                <w:sz w:val="20"/>
                <w:szCs w:val="20"/>
                <w:color w:val="auto"/>
              </w:rPr>
            </w:pPr>
            <w:r>
              <w:rPr>
                <w:rFonts w:ascii="Arial" w:cs="Arial" w:eastAsia="Arial" w:hAnsi="Arial"/>
                <w:sz w:val="14"/>
                <w:szCs w:val="14"/>
                <w:b w:val="1"/>
                <w:bCs w:val="1"/>
                <w:color w:val="auto"/>
              </w:rPr>
              <w:t>End of</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Period</w:t>
            </w:r>
          </w:p>
        </w:tc>
        <w:tc>
          <w:tcPr>
            <w:tcW w:w="280" w:type="dxa"/>
            <w:vAlign w:val="bottom"/>
          </w:tcPr>
          <w:p>
            <w:pPr>
              <w:spacing w:after="0"/>
              <w:rPr>
                <w:sz w:val="15"/>
                <w:szCs w:val="15"/>
                <w:color w:val="auto"/>
              </w:rPr>
            </w:pPr>
          </w:p>
        </w:tc>
        <w:tc>
          <w:tcPr>
            <w:tcW w:w="920" w:type="dxa"/>
            <w:vAlign w:val="bottom"/>
          </w:tcPr>
          <w:p>
            <w:pPr>
              <w:jc w:val="right"/>
              <w:ind w:right="324"/>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3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1,295</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3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80" w:type="dxa"/>
            <w:vAlign w:val="bottom"/>
            <w:gridSpan w:val="3"/>
          </w:tcPr>
          <w:p>
            <w:pPr>
              <w:jc w:val="right"/>
              <w:ind w:right="1280"/>
              <w:spacing w:after="0"/>
              <w:rPr>
                <w:sz w:val="20"/>
                <w:szCs w:val="20"/>
                <w:color w:val="auto"/>
              </w:rPr>
            </w:pPr>
            <w:r>
              <w:rPr>
                <w:rFonts w:ascii="Arial" w:cs="Arial" w:eastAsia="Arial" w:hAnsi="Arial"/>
                <w:sz w:val="18"/>
                <w:szCs w:val="18"/>
                <w:color w:val="auto"/>
              </w:rPr>
              <w:t>S-3</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gridSpan w:val="3"/>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EXHIBIT INDEX</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92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89"/>
              </w:rPr>
              <w:t>Exhibit</w:t>
            </w: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gridSpan w:val="3"/>
          </w:tcPr>
          <w:p>
            <w:pPr>
              <w:jc w:val="center"/>
              <w:ind w:right="3120"/>
              <w:spacing w:after="0"/>
              <w:rPr>
                <w:sz w:val="20"/>
                <w:szCs w:val="20"/>
                <w:color w:val="auto"/>
              </w:rPr>
            </w:pPr>
            <w:r>
              <w:rPr>
                <w:rFonts w:ascii="Arial" w:cs="Arial" w:eastAsia="Arial" w:hAnsi="Arial"/>
                <w:sz w:val="14"/>
                <w:szCs w:val="14"/>
                <w:b w:val="1"/>
                <w:bCs w:val="1"/>
                <w:color w:val="auto"/>
                <w:w w:val="88"/>
              </w:rPr>
              <w:t>No.</w:t>
            </w:r>
          </w:p>
        </w:tc>
        <w:tc>
          <w:tcPr>
            <w:tcW w:w="3180" w:type="dxa"/>
            <w:vAlign w:val="bottom"/>
            <w:gridSpan w:val="3"/>
          </w:tcPr>
          <w:p>
            <w:pPr>
              <w:jc w:val="right"/>
              <w:ind w:right="1800"/>
              <w:spacing w:after="0"/>
              <w:rPr>
                <w:sz w:val="20"/>
                <w:szCs w:val="20"/>
                <w:color w:val="auto"/>
              </w:rPr>
            </w:pPr>
            <w:r>
              <w:rPr>
                <w:rFonts w:ascii="Arial" w:cs="Arial" w:eastAsia="Arial" w:hAnsi="Arial"/>
                <w:sz w:val="14"/>
                <w:szCs w:val="14"/>
                <w:b w:val="1"/>
                <w:bCs w:val="1"/>
                <w:color w:val="auto"/>
              </w:rPr>
              <w:t>Description</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-1746885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-1746885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-1746885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-1746885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-1746885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-14605</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-14605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Agreement.(10)</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Fourth Amended and Restated Bylaws of the Registrant.(12)</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2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800" w:hanging="563"/>
        <w:spacing w:after="0" w:line="250"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pacing w:after="0" w:line="1" w:lineRule="exact"/>
        <w:rPr>
          <w:sz w:val="20"/>
          <w:szCs w:val="20"/>
          <w:color w:val="auto"/>
        </w:rPr>
      </w:pPr>
    </w:p>
    <w:p>
      <w:pPr>
        <w:ind w:left="1080" w:right="3160" w:hanging="563"/>
        <w:spacing w:after="0" w:line="250" w:lineRule="auto"/>
        <w:tabs>
          <w:tab w:leader="none" w:pos="106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1080" w:right="2700" w:hanging="563"/>
        <w:spacing w:after="0" w:line="250" w:lineRule="auto"/>
        <w:tabs>
          <w:tab w:leader="none" w:pos="106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1080" w:right="2680" w:hanging="651"/>
        <w:spacing w:after="0" w:line="250" w:lineRule="auto"/>
        <w:tabs>
          <w:tab w:leader="none" w:pos="106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1080" w:right="2520" w:hanging="644"/>
        <w:spacing w:after="0" w:line="250" w:lineRule="auto"/>
        <w:tabs>
          <w:tab w:leader="none" w:pos="106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1080" w:right="2580" w:hanging="651"/>
        <w:spacing w:after="0" w:line="250" w:lineRule="auto"/>
        <w:tabs>
          <w:tab w:leader="none" w:pos="106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dated April 1, 2002, by and between Wynn Resorts Holdings, LLC and Ronald J.</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Kramer.(2)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Contribution Agreement, dated as of June 11, 2002 by and among Stephen A. Wynn, Aruze USA, Inc., Baron</w:t>
      </w:r>
    </w:p>
    <w:p>
      <w:pPr>
        <w:sectPr>
          <w:pgSz w:w="11900" w:h="16838" w:orient="portrait"/>
          <w:cols w:equalWidth="0" w:num="1">
            <w:col w:w="11420"/>
          </w:cols>
          <w:pgMar w:left="240" w:top="131" w:right="239" w:bottom="0" w:gutter="0" w:footer="0" w:header="0"/>
        </w:sectPr>
      </w:pPr>
    </w:p>
    <w:bookmarkStart w:id="124" w:name="page125"/>
    <w:bookmarkEnd w:id="124"/>
    <w:p>
      <w:pPr>
        <w:jc w:val="center"/>
        <w:ind w:right="1419"/>
        <w:spacing w:after="0"/>
        <w:rPr>
          <w:sz w:val="20"/>
          <w:szCs w:val="20"/>
          <w:color w:val="auto"/>
        </w:rPr>
      </w:pPr>
      <w:r>
        <w:rPr>
          <w:rFonts w:ascii="Arial" w:cs="Arial" w:eastAsia="Arial" w:hAnsi="Arial"/>
          <w:sz w:val="18"/>
          <w:szCs w:val="18"/>
          <w:color w:val="auto"/>
        </w:rPr>
        <w:t>Asset Fund, the Kenneth R. Wynn Family Trust dated February 1985 and Wynn Resorts, Limited.(2)</w:t>
      </w:r>
    </w:p>
    <w:p>
      <w:pPr>
        <w:spacing w:after="0" w:line="15"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61" w:lineRule="auto"/>
        <w:tabs>
          <w:tab w:leader="none" w:pos="640" w:val="left"/>
        </w:tabs>
        <w:rPr>
          <w:sz w:val="20"/>
          <w:szCs w:val="20"/>
          <w:color w:val="auto"/>
        </w:rPr>
      </w:pPr>
      <w:r>
        <w:rPr>
          <w:rFonts w:ascii="Arial" w:cs="Arial" w:eastAsia="Arial" w:hAnsi="Arial"/>
          <w:sz w:val="18"/>
          <w:szCs w:val="18"/>
          <w:color w:val="auto"/>
        </w:rPr>
        <w:t>10.39</w:t>
        <w:tab/>
        <w:t>Employment Agreement, dated as of September 6, 2002, by and between Wynn Resorts, Limited and Marc H. Rubinstein.(4)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56515</wp:posOffset>
            </wp:positionV>
            <wp:extent cx="7250430"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ind w:left="660" w:right="1659" w:hanging="651"/>
        <w:spacing w:after="0" w:line="254" w:lineRule="auto"/>
        <w:tabs>
          <w:tab w:leader="none" w:pos="640"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10.44</w:t>
        <w:tab/>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10.45</w:t>
        <w:tab/>
        <w:t>Employment Agreement, dated as of September 26, 2002, by and between Wynn Design &amp; Development, LLC and DeRuyter O. Butler.(5)</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10.46</w:t>
        <w:tab/>
        <w:t>Employment Agreement, dated as of October 4, 2002, by and between Wynn Resorts, Limited and Stephen A. Wynn.(5)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10.48</w:t>
        <w:tab/>
        <w:t>First Amendment to Letter of Intent, dated as of October 4, 2002, by and between Valvino Lamore, LLC and Ferrari North America, Inc.(7)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10.50</w:t>
        <w:tab/>
        <w:t>First Amendment to Letter of Intent, dated as of October 4, 2002, by and between Valvino Lamore, LLC and Maserati North America, Inc.(7)</w:t>
      </w:r>
    </w:p>
    <w:p>
      <w:pPr>
        <w:spacing w:after="0" w:line="1" w:lineRule="exact"/>
        <w:rPr>
          <w:sz w:val="20"/>
          <w:szCs w:val="20"/>
          <w:color w:val="auto"/>
        </w:rPr>
      </w:pPr>
    </w:p>
    <w:p>
      <w:pPr>
        <w:ind w:left="660" w:right="1599" w:hanging="651"/>
        <w:spacing w:after="0" w:line="250" w:lineRule="auto"/>
        <w:tabs>
          <w:tab w:leader="none" w:pos="640" w:val="left"/>
        </w:tabs>
        <w:rPr>
          <w:sz w:val="20"/>
          <w:szCs w:val="20"/>
          <w:color w:val="auto"/>
        </w:rPr>
      </w:pPr>
      <w:r>
        <w:rPr>
          <w:rFonts w:ascii="Arial" w:cs="Arial" w:eastAsia="Arial" w:hAnsi="Arial"/>
          <w:sz w:val="18"/>
          <w:szCs w:val="18"/>
          <w:color w:val="auto"/>
        </w:rPr>
        <w:t>10.51</w:t>
        <w:tab/>
        <w:t>Employment Agreement, dated as of October 4, 2002, by and between Wynn Resorts, Limited and Marc D. Schorr.(7)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Restricted Stock Agreement.(7)</w:t>
      </w:r>
    </w:p>
    <w:p>
      <w:pPr>
        <w:spacing w:after="0" w:line="9" w:lineRule="exact"/>
        <w:rPr>
          <w:sz w:val="20"/>
          <w:szCs w:val="20"/>
          <w:color w:val="auto"/>
        </w:rPr>
      </w:pPr>
    </w:p>
    <w:p>
      <w:pPr>
        <w:ind w:left="660" w:right="1679" w:hanging="651"/>
        <w:spacing w:after="0" w:line="250" w:lineRule="auto"/>
        <w:tabs>
          <w:tab w:leader="none" w:pos="640" w:val="left"/>
        </w:tabs>
        <w:rPr>
          <w:sz w:val="20"/>
          <w:szCs w:val="20"/>
          <w:color w:val="auto"/>
        </w:rPr>
      </w:pPr>
      <w:r>
        <w:rPr>
          <w:rFonts w:ascii="Arial" w:cs="Arial" w:eastAsia="Arial" w:hAnsi="Arial"/>
          <w:sz w:val="18"/>
          <w:szCs w:val="18"/>
          <w:color w:val="auto"/>
        </w:rPr>
        <w:t>10.53</w:t>
        <w:tab/>
        <w:t>Distribution Agreement and Assignment, effective as of October 17, 2002, by and between Wynn Resorts, Limited and Valvino Lamore, LLC.(7)</w:t>
      </w:r>
    </w:p>
    <w:p>
      <w:pPr>
        <w:spacing w:after="0" w:line="1"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10.54</w:t>
        <w:tab/>
        <w:t>Form of Master Disbursement Agreement by and among Wynn Las Vegas, LLC, Wynn Las Vegas Capital Corp., Wynn Design &amp; Development, LLC, Deutsche Bank Trust Company Americas and Wells Fargo Bank, National Association.(6)</w:t>
      </w:r>
    </w:p>
    <w:p>
      <w:pPr>
        <w:spacing w:after="0" w:line="1"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10.55</w:t>
        <w:tab/>
        <w:t>Form of Deed of Trust, Assignment of Rents and Leases, Security Agreement and Fixture Filing in favor of Wells Fargo Bank, National Association, as trustee under the Indenture.(6)</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6"/>
          <w:szCs w:val="16"/>
          <w:color w:val="auto"/>
        </w:rPr>
        <w:t>Form of Lease Agreement by and between Valvino Lamore, LLC and Wynn Las Vegas, LLC.(7)</w:t>
      </w:r>
    </w:p>
    <w:p>
      <w:pPr>
        <w:sectPr>
          <w:pgSz w:w="11900" w:h="16838" w:orient="portrait"/>
          <w:cols w:equalWidth="0" w:num="1">
            <w:col w:w="9799"/>
          </w:cols>
          <w:pgMar w:left="660" w:top="131" w:right="1440" w:bottom="0" w:gutter="0" w:footer="0" w:header="0"/>
        </w:sectPr>
      </w:pPr>
    </w:p>
    <w:bookmarkStart w:id="125" w:name="page126"/>
    <w:bookmarkEnd w:id="125"/>
    <w:p>
      <w:pPr>
        <w:ind w:left="420"/>
        <w:spacing w:after="0"/>
        <w:tabs>
          <w:tab w:leader="none" w:pos="106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6"/>
          <w:szCs w:val="16"/>
          <w:color w:val="auto"/>
        </w:rPr>
        <w:t>Form of Golf Course Lease by and between Wynn Resorts Holdings, LLC and Wynn Las Vegas, LLC.(7)</w:t>
      </w:r>
    </w:p>
    <w:p>
      <w:pPr>
        <w:spacing w:after="0" w:line="15"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6"/>
          <w:szCs w:val="16"/>
          <w:color w:val="auto"/>
        </w:rPr>
        <w:t>Form of Driving Range Lease by and between Valvino Lamore, LLC and Wynn Las Vegas, LLC.(7)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6"/>
          <w:szCs w:val="16"/>
          <w:color w:val="auto"/>
        </w:rPr>
        <w:t>Form of Parking Facility Lease by and between Valvino Lamore, LLC and Wynn Las Vegas, LLC.(7)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and Bank of America, N.A.(7)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3520" w:type="dxa"/>
            <w:vAlign w:val="bottom"/>
          </w:tcPr>
          <w:p>
            <w:pPr>
              <w:ind w:left="140"/>
              <w:spacing w:after="0"/>
              <w:rPr>
                <w:sz w:val="20"/>
                <w:szCs w:val="20"/>
                <w:color w:val="auto"/>
              </w:rPr>
            </w:pPr>
            <w:r>
              <w:rPr>
                <w:rFonts w:ascii="Arial" w:cs="Arial" w:eastAsia="Arial" w:hAnsi="Arial"/>
                <w:sz w:val="18"/>
                <w:szCs w:val="18"/>
                <w:color w:val="auto"/>
                <w:w w:val="92"/>
              </w:rPr>
              <w:t>Form of Management Agreement, made as of</w:t>
            </w:r>
          </w:p>
        </w:tc>
        <w:tc>
          <w:tcPr>
            <w:tcW w:w="6960" w:type="dxa"/>
            <w:vAlign w:val="bottom"/>
            <w:gridSpan w:val="2"/>
          </w:tcPr>
          <w:p>
            <w:pPr>
              <w:jc w:val="right"/>
              <w:ind w:right="2812"/>
              <w:spacing w:after="0"/>
              <w:rPr>
                <w:sz w:val="20"/>
                <w:szCs w:val="20"/>
                <w:color w:val="auto"/>
              </w:rPr>
            </w:pPr>
            <w:r>
              <w:rPr>
                <w:rFonts w:ascii="Arial" w:cs="Arial" w:eastAsia="Arial" w:hAnsi="Arial"/>
                <w:sz w:val="18"/>
                <w:szCs w:val="18"/>
                <w:color w:val="auto"/>
                <w:w w:val="95"/>
              </w:rPr>
              <w:t>, 2002, by and among Wynn Las Vegas, LLC and the</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10.65</w:t>
            </w:r>
          </w:p>
        </w:tc>
        <w:tc>
          <w:tcPr>
            <w:tcW w:w="3520" w:type="dxa"/>
            <w:vAlign w:val="bottom"/>
          </w:tcPr>
          <w:p>
            <w:pPr>
              <w:ind w:left="140"/>
              <w:spacing w:after="0"/>
              <w:rPr>
                <w:sz w:val="20"/>
                <w:szCs w:val="20"/>
                <w:color w:val="auto"/>
              </w:rPr>
            </w:pPr>
            <w:r>
              <w:rPr>
                <w:rFonts w:ascii="Arial" w:cs="Arial" w:eastAsia="Arial" w:hAnsi="Arial"/>
                <w:sz w:val="18"/>
                <w:szCs w:val="18"/>
                <w:color w:val="auto"/>
                <w:w w:val="89"/>
              </w:rPr>
              <w:t>Form of Credit Agreement, dated as of October</w:t>
            </w:r>
          </w:p>
        </w:tc>
        <w:tc>
          <w:tcPr>
            <w:tcW w:w="6960" w:type="dxa"/>
            <w:vAlign w:val="bottom"/>
            <w:gridSpan w:val="2"/>
          </w:tcPr>
          <w:p>
            <w:pPr>
              <w:jc w:val="right"/>
              <w:ind w:right="2952"/>
              <w:spacing w:after="0"/>
              <w:rPr>
                <w:sz w:val="20"/>
                <w:szCs w:val="20"/>
                <w:color w:val="auto"/>
              </w:rPr>
            </w:pPr>
            <w:r>
              <w:rPr>
                <w:rFonts w:ascii="Arial" w:cs="Arial" w:eastAsia="Arial" w:hAnsi="Arial"/>
                <w:sz w:val="18"/>
                <w:szCs w:val="18"/>
                <w:color w:val="auto"/>
                <w:w w:val="91"/>
              </w:rPr>
              <w:t>, 2002, among Wynn Las Vegas, LLC and the several</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7"/>
              </w:rPr>
              <w:t>lenders from time to time parties thereto.(9)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Loan Agreement, dated as of October</w:t>
            </w:r>
          </w:p>
        </w:tc>
        <w:tc>
          <w:tcPr>
            <w:tcW w:w="6960" w:type="dxa"/>
            <w:vAlign w:val="bottom"/>
            <w:gridSpan w:val="2"/>
          </w:tcPr>
          <w:p>
            <w:pPr>
              <w:jc w:val="right"/>
              <w:ind w:right="2692"/>
              <w:spacing w:after="0"/>
              <w:rPr>
                <w:sz w:val="20"/>
                <w:szCs w:val="20"/>
                <w:color w:val="auto"/>
              </w:rPr>
            </w:pPr>
            <w:r>
              <w:rPr>
                <w:rFonts w:ascii="Arial" w:cs="Arial" w:eastAsia="Arial" w:hAnsi="Arial"/>
                <w:sz w:val="18"/>
                <w:szCs w:val="18"/>
                <w:color w:val="auto"/>
                <w:w w:val="89"/>
              </w:rPr>
              <w:t>, 2002, by and among Wynn Las Vegas, LLC,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rPr>
              <w:t>Bank Nevada, N.A. and the lenders listed therein.(9)</w:t>
            </w: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3, 2002, from Deutsche Bank Trust Company Americas,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of America, N.A. and Bear Stearns Corporate Lending, Inc. to Bank of America, National Association.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16, 2002, from Bank of America, N.A. to Bank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August 22, 2002, from The CIT Group/Equipment Financing, Inc. to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18, 2002, from General Electric Capital Corporation to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13, 2002, from SG Cowen Securities and Societe</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0"/>
              </w:rPr>
              <w:t>Generale to Deutsche Bank Securities Inc.(10)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22, 2002, from GMAC Commercial Mortgage Corporation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2"/>
              </w:rPr>
              <w:t>to 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Underwriting Agreement by and among Wynn Las Vegas, LLC, Wynn Las Vegas Capital Corp.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6"/>
              </w:rPr>
              <w:t>the several Underwriters listed in Schedule I thereto.(9)</w:t>
            </w: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352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6100" w:type="dxa"/>
            <w:vAlign w:val="bottom"/>
          </w:tcPr>
          <w:p>
            <w:pPr>
              <w:jc w:val="right"/>
              <w:ind w:right="2672"/>
              <w:spacing w:after="0"/>
              <w:rPr>
                <w:sz w:val="20"/>
                <w:szCs w:val="20"/>
                <w:color w:val="auto"/>
              </w:rPr>
            </w:pPr>
            <w:r>
              <w:rPr>
                <w:rFonts w:ascii="Arial" w:cs="Arial" w:eastAsia="Arial" w:hAnsi="Arial"/>
                <w:sz w:val="18"/>
                <w:szCs w:val="18"/>
                <w:color w:val="auto"/>
                <w:w w:val="94"/>
              </w:rPr>
              <w:t>, 2002, by Wynn Las Vegas, LLC,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Nevada, National Association.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Promissory Note made by Wynn Las Vegas, LLC.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6100" w:type="dxa"/>
            <w:vAlign w:val="bottom"/>
          </w:tcPr>
          <w:p>
            <w:pPr>
              <w:jc w:val="right"/>
              <w:ind w:right="2492"/>
              <w:spacing w:after="0"/>
              <w:rPr>
                <w:sz w:val="20"/>
                <w:szCs w:val="20"/>
                <w:color w:val="auto"/>
              </w:rPr>
            </w:pPr>
            <w:r>
              <w:rPr>
                <w:rFonts w:ascii="Arial" w:cs="Arial" w:eastAsia="Arial" w:hAnsi="Arial"/>
                <w:sz w:val="18"/>
                <w:szCs w:val="18"/>
                <w:color w:val="auto"/>
                <w:w w:val="90"/>
              </w:rPr>
              <w:t>, 2002, by Wells Fargo Bank Northwest, National</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Association. (included in Exhibit 10.66)(9)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Assignment and Assumption Agreement, dated as of October   , 2002, between Wynn Las Vegas,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LLC and Wells Fargo Bank Nevada, National Association.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Completion Guaranty, dated as of October   , 2002, by Wynn Completion Guarantor, LLC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Deutsche Bank Trust Company Americas, as the Bank Agent, and Wells Fargo Bank, National Association, 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Trustee.(9)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352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Project Lenders Intercreditor Agreement by and among Deutsche Bank Trust Company Americas and</w:t>
            </w:r>
          </w:p>
        </w:tc>
      </w:tr>
      <w:tr>
        <w:trPr>
          <w:trHeight w:val="222"/>
        </w:trPr>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Wells Fargo Bank, National Association.(9)</w:t>
            </w:r>
          </w:p>
        </w:tc>
        <w:tc>
          <w:tcPr>
            <w:tcW w:w="86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gridSpan w:val="3"/>
          </w:tcPr>
          <w:p>
            <w:pPr>
              <w:spacing w:after="0"/>
              <w:rPr>
                <w:sz w:val="10"/>
                <w:szCs w:val="10"/>
                <w:color w:val="auto"/>
              </w:rPr>
            </w:pPr>
          </w:p>
        </w:tc>
      </w:tr>
      <w:tr>
        <w:trPr>
          <w:trHeight w:val="313"/>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FF&amp;E Intercreditor Agreement by and among Deutsche Bank Trust Company Americas,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National Association and Wells Fargo Bank Nevada, National Association.(9)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10.83</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jc w:val="right"/>
              <w:ind w:right="251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other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Wells Fargo Bank, National Association, as trustee.(9)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jc w:val="right"/>
              <w:ind w:right="255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Deutsche Bank Trust Company Americas, as administrative agent.(9)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10.85</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Parent Guaranty, dated as of October</w:t>
            </w:r>
          </w:p>
        </w:tc>
        <w:tc>
          <w:tcPr>
            <w:tcW w:w="6960" w:type="dxa"/>
            <w:vAlign w:val="bottom"/>
            <w:gridSpan w:val="2"/>
          </w:tcPr>
          <w:p>
            <w:pPr>
              <w:jc w:val="right"/>
              <w:ind w:right="2772"/>
              <w:spacing w:after="0"/>
              <w:rPr>
                <w:sz w:val="20"/>
                <w:szCs w:val="20"/>
                <w:color w:val="auto"/>
              </w:rPr>
            </w:pPr>
            <w:r>
              <w:rPr>
                <w:rFonts w:ascii="Arial" w:cs="Arial" w:eastAsia="Arial" w:hAnsi="Arial"/>
                <w:sz w:val="18"/>
                <w:szCs w:val="18"/>
                <w:color w:val="auto"/>
                <w:w w:val="90"/>
              </w:rPr>
              <w:t>, 2002, by Wynn Resorts, Limited in favor of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National Association, as Trustee.(11)</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Parent Guaranty, dated as of October</w:t>
            </w:r>
          </w:p>
        </w:tc>
        <w:tc>
          <w:tcPr>
            <w:tcW w:w="6960" w:type="dxa"/>
            <w:vAlign w:val="bottom"/>
            <w:gridSpan w:val="2"/>
          </w:tcPr>
          <w:p>
            <w:pPr>
              <w:jc w:val="right"/>
              <w:ind w:right="2552"/>
              <w:spacing w:after="0"/>
              <w:rPr>
                <w:sz w:val="20"/>
                <w:szCs w:val="20"/>
                <w:color w:val="auto"/>
              </w:rPr>
            </w:pPr>
            <w:r>
              <w:rPr>
                <w:rFonts w:ascii="Arial" w:cs="Arial" w:eastAsia="Arial" w:hAnsi="Arial"/>
                <w:sz w:val="18"/>
                <w:szCs w:val="18"/>
                <w:color w:val="auto"/>
                <w:w w:val="90"/>
              </w:rPr>
              <w:t>, 2002, by Wynn Resorts, Limited in favor of Deutsche Bank</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6"/>
              </w:rPr>
              <w:t>Trust Company Americas, as administrative agent.(11)</w:t>
            </w: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52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3520" w:type="dxa"/>
            <w:vAlign w:val="bottom"/>
          </w:tcPr>
          <w:p>
            <w:pPr>
              <w:ind w:left="140"/>
              <w:spacing w:after="0"/>
              <w:rPr>
                <w:sz w:val="20"/>
                <w:szCs w:val="20"/>
                <w:color w:val="auto"/>
              </w:rPr>
            </w:pPr>
            <w:r>
              <w:rPr>
                <w:rFonts w:ascii="Arial" w:cs="Arial" w:eastAsia="Arial" w:hAnsi="Arial"/>
                <w:sz w:val="18"/>
                <w:szCs w:val="18"/>
                <w:color w:val="auto"/>
              </w:rPr>
              <w:t>Subsidiaries of the Registrant.(7)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3"/>
              </w:rPr>
              <w:t>Consent of Schreck Brignone (included in Exhibit 5.1).(8)</w:t>
            </w: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3520" w:type="dxa"/>
            <w:vAlign w:val="bottom"/>
          </w:tcPr>
          <w:p>
            <w:pPr>
              <w:ind w:left="140"/>
              <w:spacing w:after="0"/>
              <w:rPr>
                <w:sz w:val="20"/>
                <w:szCs w:val="20"/>
                <w:color w:val="auto"/>
              </w:rPr>
            </w:pPr>
            <w:r>
              <w:rPr>
                <w:rFonts w:ascii="Arial" w:cs="Arial" w:eastAsia="Arial" w:hAnsi="Arial"/>
                <w:sz w:val="18"/>
                <w:szCs w:val="18"/>
                <w:color w:val="auto"/>
              </w:rPr>
              <w:t>Consent of Deloitte &amp; Touche LLP.(12)</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22"/>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352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86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167"/>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167"/>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1 to the Form S-1 filed by the Registrant on August 20, 2002.</w:t>
      </w:r>
    </w:p>
    <w:p>
      <w:pPr>
        <w:spacing w:after="0" w:line="41"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167"/>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2 to the Form S-1 filed by the Registrant on August 26, 2002.</w:t>
      </w:r>
    </w:p>
    <w:p>
      <w:pPr>
        <w:spacing w:after="0" w:line="55" w:lineRule="exact"/>
        <w:rPr>
          <w:rFonts w:ascii="Arial" w:cs="Arial" w:eastAsia="Arial" w:hAnsi="Arial"/>
          <w:sz w:val="27"/>
          <w:szCs w:val="27"/>
          <w:color w:val="auto"/>
          <w:vertAlign w:val="subscript"/>
        </w:rPr>
      </w:pPr>
    </w:p>
    <w:p>
      <w:pPr>
        <w:ind w:left="540" w:hanging="532"/>
        <w:spacing w:after="0" w:line="198" w:lineRule="auto"/>
        <w:tabs>
          <w:tab w:leader="none" w:pos="540" w:val="left"/>
        </w:tabs>
        <w:numPr>
          <w:ilvl w:val="0"/>
          <w:numId w:val="167"/>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3 to the Form S-1 filed by the Registrant on September 18, 2002.</w:t>
      </w:r>
    </w:p>
    <w:p>
      <w:pPr>
        <w:sectPr>
          <w:pgSz w:w="11900" w:h="16838" w:orient="portrait"/>
          <w:cols w:equalWidth="0" w:num="1">
            <w:col w:w="11420"/>
          </w:cols>
          <w:pgMar w:left="240" w:top="131" w:right="239" w:bottom="0" w:gutter="0" w:footer="0" w:header="0"/>
        </w:sectPr>
      </w:pPr>
    </w:p>
    <w:bookmarkStart w:id="126" w:name="page127"/>
    <w:bookmarkEnd w:id="126"/>
    <w:p>
      <w:pPr>
        <w:spacing w:after="0" w:line="75" w:lineRule="exact"/>
        <w:rPr>
          <w:sz w:val="20"/>
          <w:szCs w:val="20"/>
          <w:color w:val="auto"/>
        </w:rPr>
      </w:pPr>
    </w:p>
    <w:p>
      <w:pPr>
        <w:ind w:left="540" w:hanging="532"/>
        <w:spacing w:after="0"/>
        <w:tabs>
          <w:tab w:leader="none" w:pos="54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Previously filed with Amendment No. 4 to the Form S-1 filed by the Registrant on October 7, 2002.</w:t>
      </w:r>
    </w:p>
    <w:p>
      <w:pPr>
        <w:spacing w:after="0" w:line="149" w:lineRule="exact"/>
        <w:rPr>
          <w:rFonts w:ascii="Arial" w:cs="Arial" w:eastAsia="Arial" w:hAnsi="Arial"/>
          <w:sz w:val="14"/>
          <w:szCs w:val="14"/>
          <w:color w:val="auto"/>
        </w:rPr>
      </w:pPr>
    </w:p>
    <w:p>
      <w:pPr>
        <w:ind w:left="540" w:right="200" w:hanging="532"/>
        <w:spacing w:after="0" w:line="186" w:lineRule="auto"/>
        <w:tabs>
          <w:tab w:leader="none" w:pos="540" w:val="left"/>
        </w:tabs>
        <w:numPr>
          <w:ilvl w:val="0"/>
          <w:numId w:val="168"/>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spacing w:after="0" w:line="13" w:lineRule="exact"/>
        <w:rPr>
          <w:rFonts w:ascii="Arial" w:cs="Arial" w:eastAsia="Arial" w:hAnsi="Arial"/>
          <w:sz w:val="24"/>
          <w:szCs w:val="24"/>
          <w:color w:val="auto"/>
          <w:vertAlign w:val="subscript"/>
        </w:rPr>
      </w:pPr>
    </w:p>
    <w:p>
      <w:pPr>
        <w:ind w:left="540" w:hanging="532"/>
        <w:spacing w:after="0"/>
        <w:tabs>
          <w:tab w:leader="none" w:pos="540" w:val="left"/>
        </w:tabs>
        <w:numPr>
          <w:ilvl w:val="0"/>
          <w:numId w:val="16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40"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16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6 to the Form S-1 filed by the Registrant on October 22, 2002.</w:t>
      </w:r>
    </w:p>
    <w:p>
      <w:pPr>
        <w:spacing w:after="0" w:line="139" w:lineRule="exact"/>
        <w:rPr>
          <w:rFonts w:ascii="Arial" w:cs="Arial" w:eastAsia="Arial" w:hAnsi="Arial"/>
          <w:sz w:val="27"/>
          <w:szCs w:val="27"/>
          <w:color w:val="auto"/>
          <w:vertAlign w:val="subscript"/>
        </w:rPr>
      </w:pPr>
    </w:p>
    <w:p>
      <w:pPr>
        <w:ind w:left="540" w:right="460" w:hanging="532"/>
        <w:spacing w:after="0" w:line="186" w:lineRule="auto"/>
        <w:tabs>
          <w:tab w:leader="none" w:pos="540" w:val="left"/>
        </w:tabs>
        <w:numPr>
          <w:ilvl w:val="0"/>
          <w:numId w:val="168"/>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6 to the Registration Statement on Form S-1 of Wynn Las Vegas, LLC, Wynn Las Vegas Capital Corp. and the Other Registrants listed therein on October 23, 2002 (Registration No. 333-98369).</w:t>
      </w:r>
    </w:p>
    <w:p>
      <w:pPr>
        <w:spacing w:after="0" w:line="13" w:lineRule="exact"/>
        <w:rPr>
          <w:rFonts w:ascii="Arial" w:cs="Arial" w:eastAsia="Arial" w:hAnsi="Arial"/>
          <w:sz w:val="24"/>
          <w:szCs w:val="24"/>
          <w:color w:val="auto"/>
          <w:vertAlign w:val="subscript"/>
        </w:rPr>
      </w:pPr>
    </w:p>
    <w:p>
      <w:pPr>
        <w:ind w:left="540" w:hanging="532"/>
        <w:spacing w:after="0"/>
        <w:tabs>
          <w:tab w:leader="none" w:pos="540" w:val="left"/>
        </w:tabs>
        <w:numPr>
          <w:ilvl w:val="0"/>
          <w:numId w:val="16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7 to the Form S-1 filed by the Registrants on October 23, 2002.</w:t>
      </w:r>
    </w:p>
    <w:p>
      <w:pPr>
        <w:spacing w:after="0" w:line="138" w:lineRule="exact"/>
        <w:rPr>
          <w:rFonts w:ascii="Arial" w:cs="Arial" w:eastAsia="Arial" w:hAnsi="Arial"/>
          <w:sz w:val="27"/>
          <w:szCs w:val="27"/>
          <w:color w:val="auto"/>
          <w:vertAlign w:val="subscript"/>
        </w:rPr>
      </w:pPr>
    </w:p>
    <w:p>
      <w:pPr>
        <w:ind w:left="540" w:right="460" w:hanging="532"/>
        <w:spacing w:after="0" w:line="186" w:lineRule="auto"/>
        <w:tabs>
          <w:tab w:leader="none" w:pos="540" w:val="left"/>
        </w:tabs>
        <w:numPr>
          <w:ilvl w:val="0"/>
          <w:numId w:val="168"/>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7 to the Registration Statement on Form S-1 of Wynn Las Vegas, LLC, Wynn Las Vegas Capital Corp. and the Other Registrants listed therein on October 24, 2002 (Registration No. 333-98369).</w:t>
      </w:r>
    </w:p>
    <w:p>
      <w:pPr>
        <w:ind w:left="540" w:hanging="532"/>
        <w:spacing w:after="0" w:line="187" w:lineRule="auto"/>
        <w:tabs>
          <w:tab w:leader="none" w:pos="540" w:val="left"/>
        </w:tabs>
        <w:numPr>
          <w:ilvl w:val="0"/>
          <w:numId w:val="168"/>
        </w:numPr>
        <w:rPr>
          <w:rFonts w:ascii="Arial" w:cs="Arial" w:eastAsia="Arial" w:hAnsi="Arial"/>
          <w:sz w:val="27"/>
          <w:szCs w:val="27"/>
          <w:color w:val="auto"/>
          <w:vertAlign w:val="subscript"/>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Company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Le Rêve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Macau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 of 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Issuer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Risks Related to 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2680"/>
        <w:spacing w:after="0" w:line="250"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Macau Annual Tourism Statistical 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CONCESSION AGREEMENT WITH THE GOVERNMENT OF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DESCRIPTION OF CERTAIN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SHARES ELIGIBLE FOR FUTURE SALE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U.S. FEDERAL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440"/>
        <w:spacing w:after="0" w:line="250" w:lineRule="auto"/>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jc w:val="both"/>
        <w:ind w:right="160"/>
        <w:spacing w:after="0" w:line="250" w:lineRule="auto"/>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400"/>
        <w:spacing w:after="0" w:line="250" w:lineRule="auto"/>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160"/>
        <w:spacing w:after="0" w:line="281" w:lineRule="auto"/>
        <w:rPr>
          <w:rFonts w:ascii="Arial" w:cs="Arial" w:eastAsia="Arial" w:hAnsi="Arial"/>
          <w:sz w:val="16"/>
          <w:szCs w:val="16"/>
          <w:u w:val="single" w:color="auto"/>
          <w:color w:val="0000EE"/>
        </w:rPr>
      </w:pPr>
      <w:hyperlink w:anchor="page99">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06">
        <w:r>
          <w:rPr>
            <w:rFonts w:ascii="Arial" w:cs="Arial" w:eastAsia="Arial" w:hAnsi="Arial"/>
            <w:sz w:val="16"/>
            <w:szCs w:val="16"/>
            <w:u w:val="single" w:color="auto"/>
            <w:color w:val="0000EE"/>
          </w:rPr>
          <w:t>VALVINO LAMORE, LLC AND SUBSIDIARIES CONSOLIDATING BALANCE SHEET INFORMATION As of June 30, 2002 (In thousands) (Unaudited)</w:t>
        </w:r>
      </w:hyperlink>
      <w:r>
        <w:rPr>
          <w:rFonts w:ascii="Arial" w:cs="Arial" w:eastAsia="Arial" w:hAnsi="Arial"/>
          <w:sz w:val="16"/>
          <w:szCs w:val="16"/>
          <w:u w:val="single" w:color="auto"/>
          <w:color w:val="0000EE"/>
        </w:rPr>
        <w:t xml:space="preserve"> </w:t>
      </w:r>
      <w:hyperlink w:anchor="page107">
        <w:r>
          <w:rPr>
            <w:rFonts w:ascii="Arial" w:cs="Arial" w:eastAsia="Arial" w:hAnsi="Arial"/>
            <w:sz w:val="16"/>
            <w:szCs w:val="16"/>
            <w:u w:val="single" w:color="auto"/>
            <w:color w:val="0000EE"/>
          </w:rPr>
          <w:t>VALVINO LAMORE, LLC AND SUBSIDIARIES CONSOLIDATING BALANCE SHEET INFORMATION As of December 31, 2001 (In thousands)</w:t>
        </w:r>
      </w:hyperlink>
      <w:r>
        <w:rPr>
          <w:rFonts w:ascii="Arial" w:cs="Arial" w:eastAsia="Arial" w:hAnsi="Arial"/>
          <w:sz w:val="16"/>
          <w:szCs w:val="16"/>
          <w:u w:val="single" w:color="auto"/>
          <w:color w:val="0000EE"/>
        </w:rPr>
        <w:t xml:space="preserve"> </w:t>
      </w:r>
      <w:hyperlink w:anchor="page108">
        <w:r>
          <w:rPr>
            <w:rFonts w:ascii="Arial" w:cs="Arial" w:eastAsia="Arial" w:hAnsi="Arial"/>
            <w:sz w:val="16"/>
            <w:szCs w:val="16"/>
            <w:u w:val="single" w:color="auto"/>
            <w:color w:val="0000EE"/>
          </w:rPr>
          <w:t>VALVINO LAMORE, LLC AND SUBSIDIARIES CONSOLIDATING BALANCE SHEET INFORMATION AS OF DECEMBER 31, 2000 (In Thousands)</w:t>
        </w:r>
      </w:hyperlink>
    </w:p>
    <w:p>
      <w:pPr>
        <w:spacing w:after="0" w:line="3" w:lineRule="exact"/>
        <w:rPr>
          <w:rFonts w:ascii="Arial" w:cs="Arial" w:eastAsia="Arial" w:hAnsi="Arial"/>
          <w:sz w:val="16"/>
          <w:szCs w:val="16"/>
          <w:u w:val="single" w:color="auto"/>
          <w:color w:val="0000EE"/>
        </w:rPr>
      </w:pPr>
    </w:p>
    <w:p>
      <w:pPr>
        <w:spacing w:after="0" w:line="261"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VALVINO LAMORE, LLC AND SUBSIDIARIES CONSOLIDATING STATEMENTS OF OPERATIONS INFORMATION SIX MONTHS ENDED JUNE 30,</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2002 (In Thousands) (Unaudited)</w:t>
        </w:r>
      </w:hyperlink>
    </w:p>
    <w:p>
      <w:pPr>
        <w:sectPr>
          <w:pgSz w:w="11900" w:h="16913" w:orient="portrait"/>
          <w:cols w:equalWidth="0" w:num="1">
            <w:col w:w="11360"/>
          </w:cols>
          <w:pgMar w:left="240" w:top="129" w:right="299" w:bottom="0" w:gutter="0" w:footer="0" w:header="0"/>
        </w:sectPr>
      </w:pPr>
    </w:p>
    <w:bookmarkStart w:id="127" w:name="page128"/>
    <w:bookmarkEnd w:id="127"/>
    <w:p>
      <w:pPr>
        <w:ind w:right="160"/>
        <w:spacing w:after="0" w:line="254" w:lineRule="auto"/>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VALVINO LAMORE, LLC AND SUBSIDIARIES CONSOLIDATING STATEMENTS OF OPERATIONS INFORMATION Six Months Ended June 30, 2001</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(In Thousands) (Unaudited)</w:t>
        </w:r>
      </w:hyperlink>
    </w:p>
    <w:p>
      <w:pPr>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Year Ended December 31, 2001 (In</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VALVINO LAMORE, LLC AND SUBSIDIARIES CONSOLIDATING STATEMENTS OF OPERATIONS INFORMATION From Inception to December 31,</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2000 (In 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VALVINO LAMORE, LLC AND SUBSIDIARIES CONSOLIDATING STATEMENTS OF OPERATIONS INFORMATION From Inception to June 30, 2002</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Six Months Ended June 30, 2002</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VALVINO LAMORE, LLC AND SUBSIDIARIES CONSOLIDATING STATEMENTS OF CASH FLOW INFORMATION Six Months Ended June 30, 2001</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VALVINO LAMORE, LLC AND SUBSIDIARIES CONSOLIDATING STATEMENTS OF CASH FLOW INFORMATION Year Ended December 31, 2001 (In</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40"/>
        <w:spacing w:after="0" w:line="250" w:lineRule="auto"/>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VALVINO LAMORE, LLC AND SUBSIDIARIES CONSOLIDATING STATEMENTS OF CASH FLOW INFORMATION Inception to December 31, 2000 (In</w:t>
        </w:r>
      </w:hyperlink>
      <w:r>
        <w:rPr>
          <w:rFonts w:ascii="Arial" w:cs="Arial" w:eastAsia="Arial" w:hAnsi="Arial"/>
          <w:sz w:val="18"/>
          <w:szCs w:val="18"/>
          <w:u w:val="single" w:color="auto"/>
          <w:color w:val="0000EE"/>
        </w:rPr>
        <w:t xml:space="preserve"> </w:t>
      </w:r>
      <w:hyperlink w:anchor="page114">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
        <w:spacing w:after="0" w:line="250" w:lineRule="auto"/>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VALVINO LAMORE, LLC AND SUBSIDIARIES CONSOLIDATING STATEMENTS OF CASH FLOW INFORMATION From Inception to June 30, 2002 (In</w:t>
        </w:r>
      </w:hyperlink>
      <w:r>
        <w:rPr>
          <w:rFonts w:ascii="Arial" w:cs="Arial" w:eastAsia="Arial" w:hAnsi="Arial"/>
          <w:sz w:val="18"/>
          <w:szCs w:val="18"/>
          <w:u w:val="single" w:color="auto"/>
          <w:color w:val="0000EE"/>
        </w:rPr>
        <w:t xml:space="preserve"> </w:t>
      </w:r>
      <w:hyperlink w:anchor="page115">
        <w:r>
          <w:rPr>
            <w:rFonts w:ascii="Arial" w:cs="Arial" w:eastAsia="Arial" w:hAnsi="Arial"/>
            <w:sz w:val="18"/>
            <w:szCs w:val="18"/>
            <w:u w:val="single" w:color="auto"/>
            <w:color w:val="0000EE"/>
          </w:rPr>
          <w:t>Thousands) (Unaudited)</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PART II INFORMATION NOT REQUIRED IN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Valvino Lamore, LLC and Subsidiaries (A Development Stage Company) Schedule II Valuation and Qualifying Accounts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sectPr>
      </w:pPr>
    </w:p>
    <w:bookmarkStart w:id="128" w:name="page129"/>
    <w:bookmarkEnd w:id="128"/>
    <w:p>
      <w:pPr>
        <w:spacing w:after="0" w:line="62" w:lineRule="exact"/>
        <w:rPr>
          <w:sz w:val="20"/>
          <w:szCs w:val="20"/>
          <w:color w:val="auto"/>
        </w:rPr>
      </w:pPr>
    </w:p>
    <w:p>
      <w:pPr>
        <w:spacing w:after="0"/>
        <w:rPr>
          <w:rFonts w:ascii="Arial" w:cs="Arial" w:eastAsia="Arial" w:hAnsi="Arial"/>
          <w:sz w:val="22"/>
          <w:szCs w:val="22"/>
          <w:color w:val="0000EE"/>
        </w:rPr>
      </w:pPr>
      <w:hyperlink w:anchor="page1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 Nevada corporation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OCTOBER 21,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9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OFFICES</w:t>
            </w:r>
          </w:p>
        </w:tc>
        <w:tc>
          <w:tcPr>
            <w:tcW w:w="7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1.1</w:t>
            </w:r>
          </w:p>
        </w:tc>
        <w:tc>
          <w:tcPr>
            <w:tcW w:w="7980" w:type="dxa"/>
            <w:vAlign w:val="bottom"/>
          </w:tcPr>
          <w:p>
            <w:pPr>
              <w:ind w:left="380"/>
              <w:spacing w:after="0"/>
              <w:rPr>
                <w:sz w:val="20"/>
                <w:szCs w:val="20"/>
                <w:color w:val="auto"/>
              </w:rPr>
            </w:pPr>
            <w:r>
              <w:rPr>
                <w:rFonts w:ascii="Arial" w:cs="Arial" w:eastAsia="Arial" w:hAnsi="Arial"/>
                <w:sz w:val="18"/>
                <w:szCs w:val="18"/>
                <w:color w:val="auto"/>
              </w:rPr>
              <w:t>Principal Office</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1.2</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Offices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0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1840" w:type="dxa"/>
            <w:vAlign w:val="bottom"/>
          </w:tcPr>
          <w:p>
            <w:pPr>
              <w:ind w:left="80"/>
              <w:spacing w:after="0"/>
              <w:rPr>
                <w:sz w:val="20"/>
                <w:szCs w:val="20"/>
                <w:color w:val="auto"/>
              </w:rPr>
            </w:pPr>
            <w:r>
              <w:rPr>
                <w:rFonts w:ascii="Arial" w:cs="Arial" w:eastAsia="Arial" w:hAnsi="Arial"/>
                <w:sz w:val="18"/>
                <w:szCs w:val="18"/>
                <w:color w:val="auto"/>
              </w:rPr>
              <w:t>STOCKHOLDERS</w:t>
            </w:r>
          </w:p>
        </w:tc>
        <w:tc>
          <w:tcPr>
            <w:tcW w:w="79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Annual Meeting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2.2</w:t>
            </w:r>
          </w:p>
        </w:tc>
        <w:tc>
          <w:tcPr>
            <w:tcW w:w="7980" w:type="dxa"/>
            <w:vAlign w:val="bottom"/>
          </w:tcPr>
          <w:p>
            <w:pPr>
              <w:ind w:left="380"/>
              <w:spacing w:after="0"/>
              <w:rPr>
                <w:sz w:val="20"/>
                <w:szCs w:val="20"/>
                <w:color w:val="auto"/>
              </w:rPr>
            </w:pPr>
            <w:r>
              <w:rPr>
                <w:rFonts w:ascii="Arial" w:cs="Arial" w:eastAsia="Arial" w:hAnsi="Arial"/>
                <w:sz w:val="18"/>
                <w:szCs w:val="18"/>
                <w:color w:val="auto"/>
              </w:rPr>
              <w:t>Special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Place of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2.4</w:t>
            </w:r>
          </w:p>
        </w:tc>
        <w:tc>
          <w:tcPr>
            <w:tcW w:w="7980" w:type="dxa"/>
            <w:vAlign w:val="bottom"/>
          </w:tcPr>
          <w:p>
            <w:pPr>
              <w:ind w:left="380"/>
              <w:spacing w:after="0"/>
              <w:rPr>
                <w:sz w:val="20"/>
                <w:szCs w:val="20"/>
                <w:color w:val="auto"/>
              </w:rPr>
            </w:pPr>
            <w:r>
              <w:rPr>
                <w:rFonts w:ascii="Arial" w:cs="Arial" w:eastAsia="Arial" w:hAnsi="Arial"/>
                <w:sz w:val="18"/>
                <w:szCs w:val="18"/>
                <w:color w:val="auto"/>
              </w:rPr>
              <w:t>Notice of Meetings; Waiver of Notice</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Determination of Stockholders of Record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2.6</w:t>
            </w:r>
          </w:p>
        </w:tc>
        <w:tc>
          <w:tcPr>
            <w:tcW w:w="7980" w:type="dxa"/>
            <w:vAlign w:val="bottom"/>
          </w:tcPr>
          <w:p>
            <w:pPr>
              <w:ind w:left="380"/>
              <w:spacing w:after="0"/>
              <w:rPr>
                <w:sz w:val="20"/>
                <w:szCs w:val="20"/>
                <w:color w:val="auto"/>
              </w:rPr>
            </w:pPr>
            <w:r>
              <w:rPr>
                <w:rFonts w:ascii="Arial" w:cs="Arial" w:eastAsia="Arial" w:hAnsi="Arial"/>
                <w:sz w:val="18"/>
                <w:szCs w:val="18"/>
                <w:color w:val="auto"/>
              </w:rPr>
              <w:t>Quorum; Adjourned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Voting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2.8</w:t>
            </w:r>
          </w:p>
        </w:tc>
        <w:tc>
          <w:tcPr>
            <w:tcW w:w="7980" w:type="dxa"/>
            <w:vAlign w:val="bottom"/>
          </w:tcPr>
          <w:p>
            <w:pPr>
              <w:ind w:left="380"/>
              <w:spacing w:after="0"/>
              <w:rPr>
                <w:sz w:val="20"/>
                <w:szCs w:val="20"/>
                <w:color w:val="auto"/>
              </w:rPr>
            </w:pPr>
            <w:r>
              <w:rPr>
                <w:rFonts w:ascii="Arial" w:cs="Arial" w:eastAsia="Arial" w:hAnsi="Arial"/>
                <w:sz w:val="18"/>
                <w:szCs w:val="18"/>
                <w:color w:val="auto"/>
              </w:rPr>
              <w:t>Proxies</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2.9</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Action Without A Meeting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2.10</w:t>
            </w:r>
          </w:p>
        </w:tc>
        <w:tc>
          <w:tcPr>
            <w:tcW w:w="7980" w:type="dxa"/>
            <w:vAlign w:val="bottom"/>
          </w:tcPr>
          <w:p>
            <w:pPr>
              <w:ind w:left="380"/>
              <w:spacing w:after="0"/>
              <w:rPr>
                <w:sz w:val="20"/>
                <w:szCs w:val="20"/>
                <w:color w:val="auto"/>
              </w:rPr>
            </w:pPr>
            <w:r>
              <w:rPr>
                <w:rFonts w:ascii="Arial" w:cs="Arial" w:eastAsia="Arial" w:hAnsi="Arial"/>
                <w:sz w:val="18"/>
                <w:szCs w:val="18"/>
                <w:color w:val="auto"/>
              </w:rPr>
              <w:t>Organization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2.11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Absentees' Consent to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2.12</w:t>
            </w:r>
          </w:p>
        </w:tc>
        <w:tc>
          <w:tcPr>
            <w:tcW w:w="7980" w:type="dxa"/>
            <w:vAlign w:val="bottom"/>
          </w:tcPr>
          <w:p>
            <w:pPr>
              <w:ind w:left="380"/>
              <w:spacing w:after="0"/>
              <w:rPr>
                <w:sz w:val="20"/>
                <w:szCs w:val="20"/>
                <w:color w:val="auto"/>
              </w:rPr>
            </w:pPr>
            <w:r>
              <w:rPr>
                <w:rFonts w:ascii="Arial" w:cs="Arial" w:eastAsia="Arial" w:hAnsi="Arial"/>
                <w:sz w:val="18"/>
                <w:szCs w:val="18"/>
                <w:color w:val="auto"/>
              </w:rPr>
              <w:t>Director Nominations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2.13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Advance Notice of Stockholder Proposals and Director Nominations by Stockholders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00" w:type="dxa"/>
            <w:vAlign w:val="bottom"/>
            <w:gridSpan w:val="2"/>
          </w:tcPr>
          <w:p>
            <w:pPr>
              <w:spacing w:after="0"/>
              <w:rPr>
                <w:sz w:val="20"/>
                <w:szCs w:val="20"/>
                <w:color w:val="auto"/>
              </w:rPr>
            </w:pPr>
            <w:r>
              <w:rPr>
                <w:rFonts w:ascii="Arial" w:cs="Arial" w:eastAsia="Arial" w:hAnsi="Arial"/>
                <w:sz w:val="18"/>
                <w:szCs w:val="18"/>
                <w:color w:val="auto"/>
              </w:rPr>
              <w:t>ARTICLE III</w:t>
            </w:r>
          </w:p>
        </w:tc>
        <w:tc>
          <w:tcPr>
            <w:tcW w:w="1840" w:type="dxa"/>
            <w:vAlign w:val="bottom"/>
          </w:tcPr>
          <w:p>
            <w:pPr>
              <w:ind w:left="140"/>
              <w:spacing w:after="0"/>
              <w:rPr>
                <w:sz w:val="20"/>
                <w:szCs w:val="20"/>
                <w:color w:val="auto"/>
              </w:rPr>
            </w:pPr>
            <w:r>
              <w:rPr>
                <w:rFonts w:ascii="Arial" w:cs="Arial" w:eastAsia="Arial" w:hAnsi="Arial"/>
                <w:sz w:val="18"/>
                <w:szCs w:val="18"/>
                <w:color w:val="auto"/>
              </w:rPr>
              <w:t>DIRECTORS</w:t>
            </w:r>
          </w:p>
        </w:tc>
        <w:tc>
          <w:tcPr>
            <w:tcW w:w="79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Powers; Performance of Duties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3.2</w:t>
            </w:r>
          </w:p>
        </w:tc>
        <w:tc>
          <w:tcPr>
            <w:tcW w:w="7980" w:type="dxa"/>
            <w:vAlign w:val="bottom"/>
          </w:tcPr>
          <w:p>
            <w:pPr>
              <w:ind w:left="380"/>
              <w:spacing w:after="0"/>
              <w:rPr>
                <w:sz w:val="20"/>
                <w:szCs w:val="20"/>
                <w:color w:val="auto"/>
              </w:rPr>
            </w:pPr>
            <w:r>
              <w:rPr>
                <w:rFonts w:ascii="Arial" w:cs="Arial" w:eastAsia="Arial" w:hAnsi="Arial"/>
                <w:sz w:val="18"/>
                <w:szCs w:val="18"/>
                <w:color w:val="auto"/>
              </w:rPr>
              <w:t>Number, Tenure, and Qualifications</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Chairman of the Board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3.4</w:t>
            </w:r>
          </w:p>
        </w:tc>
        <w:tc>
          <w:tcPr>
            <w:tcW w:w="7980" w:type="dxa"/>
            <w:vAlign w:val="bottom"/>
          </w:tcPr>
          <w:p>
            <w:pPr>
              <w:ind w:left="380"/>
              <w:spacing w:after="0"/>
              <w:rPr>
                <w:sz w:val="20"/>
                <w:szCs w:val="20"/>
                <w:color w:val="auto"/>
              </w:rPr>
            </w:pPr>
            <w:r>
              <w:rPr>
                <w:rFonts w:ascii="Arial" w:cs="Arial" w:eastAsia="Arial" w:hAnsi="Arial"/>
                <w:sz w:val="18"/>
                <w:szCs w:val="18"/>
                <w:color w:val="auto"/>
              </w:rPr>
              <w:t>Vice-Chairman of the Board</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Classification and Elections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3.6</w:t>
            </w:r>
          </w:p>
        </w:tc>
        <w:tc>
          <w:tcPr>
            <w:tcW w:w="7980" w:type="dxa"/>
            <w:vAlign w:val="bottom"/>
          </w:tcPr>
          <w:p>
            <w:pPr>
              <w:ind w:left="380"/>
              <w:spacing w:after="0"/>
              <w:rPr>
                <w:sz w:val="20"/>
                <w:szCs w:val="20"/>
                <w:color w:val="auto"/>
              </w:rPr>
            </w:pPr>
            <w:r>
              <w:rPr>
                <w:rFonts w:ascii="Arial" w:cs="Arial" w:eastAsia="Arial" w:hAnsi="Arial"/>
                <w:sz w:val="18"/>
                <w:szCs w:val="18"/>
                <w:color w:val="auto"/>
              </w:rPr>
              <w:t>Removal and Resignation of Directors</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Vacancies; Newly Created Directorships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3.8</w:t>
            </w:r>
          </w:p>
        </w:tc>
        <w:tc>
          <w:tcPr>
            <w:tcW w:w="7980" w:type="dxa"/>
            <w:vAlign w:val="bottom"/>
          </w:tcPr>
          <w:p>
            <w:pPr>
              <w:ind w:left="380"/>
              <w:spacing w:after="0"/>
              <w:rPr>
                <w:sz w:val="20"/>
                <w:szCs w:val="20"/>
                <w:color w:val="auto"/>
              </w:rPr>
            </w:pPr>
            <w:r>
              <w:rPr>
                <w:rFonts w:ascii="Arial" w:cs="Arial" w:eastAsia="Arial" w:hAnsi="Arial"/>
                <w:sz w:val="18"/>
                <w:szCs w:val="18"/>
                <w:color w:val="auto"/>
              </w:rPr>
              <w:t>Annual and Regular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3.9</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3.10</w:t>
            </w:r>
          </w:p>
        </w:tc>
        <w:tc>
          <w:tcPr>
            <w:tcW w:w="7980" w:type="dxa"/>
            <w:vAlign w:val="bottom"/>
          </w:tcPr>
          <w:p>
            <w:pPr>
              <w:ind w:left="380"/>
              <w:spacing w:after="0"/>
              <w:rPr>
                <w:sz w:val="20"/>
                <w:szCs w:val="20"/>
                <w:color w:val="auto"/>
              </w:rPr>
            </w:pPr>
            <w:r>
              <w:rPr>
                <w:rFonts w:ascii="Arial" w:cs="Arial" w:eastAsia="Arial" w:hAnsi="Arial"/>
                <w:sz w:val="18"/>
                <w:szCs w:val="18"/>
                <w:color w:val="auto"/>
              </w:rPr>
              <w:t>Place of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Notice of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3.12</w:t>
            </w:r>
          </w:p>
        </w:tc>
        <w:tc>
          <w:tcPr>
            <w:tcW w:w="7980" w:type="dxa"/>
            <w:vAlign w:val="bottom"/>
          </w:tcPr>
          <w:p>
            <w:pPr>
              <w:ind w:left="380"/>
              <w:spacing w:after="0"/>
              <w:rPr>
                <w:sz w:val="20"/>
                <w:szCs w:val="20"/>
                <w:color w:val="auto"/>
              </w:rPr>
            </w:pPr>
            <w:r>
              <w:rPr>
                <w:rFonts w:ascii="Arial" w:cs="Arial" w:eastAsia="Arial" w:hAnsi="Arial"/>
                <w:sz w:val="18"/>
                <w:szCs w:val="18"/>
                <w:color w:val="auto"/>
              </w:rPr>
              <w:t>Quorum; Adjourned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Manner of Acting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3.14</w:t>
            </w:r>
          </w:p>
        </w:tc>
        <w:tc>
          <w:tcPr>
            <w:tcW w:w="7980" w:type="dxa"/>
            <w:vAlign w:val="bottom"/>
          </w:tcPr>
          <w:p>
            <w:pPr>
              <w:ind w:left="380"/>
              <w:spacing w:after="0"/>
              <w:rPr>
                <w:sz w:val="20"/>
                <w:szCs w:val="20"/>
                <w:color w:val="auto"/>
              </w:rPr>
            </w:pPr>
            <w:r>
              <w:rPr>
                <w:rFonts w:ascii="Arial" w:cs="Arial" w:eastAsia="Arial" w:hAnsi="Arial"/>
                <w:sz w:val="18"/>
                <w:szCs w:val="18"/>
                <w:color w:val="auto"/>
              </w:rPr>
              <w:t>Super-majority Approval</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Telephonic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3.16</w:t>
            </w:r>
          </w:p>
        </w:tc>
        <w:tc>
          <w:tcPr>
            <w:tcW w:w="7980" w:type="dxa"/>
            <w:vAlign w:val="bottom"/>
          </w:tcPr>
          <w:p>
            <w:pPr>
              <w:ind w:left="380"/>
              <w:spacing w:after="0"/>
              <w:rPr>
                <w:sz w:val="20"/>
                <w:szCs w:val="20"/>
                <w:color w:val="auto"/>
              </w:rPr>
            </w:pPr>
            <w:r>
              <w:rPr>
                <w:rFonts w:ascii="Arial" w:cs="Arial" w:eastAsia="Arial" w:hAnsi="Arial"/>
                <w:sz w:val="18"/>
                <w:szCs w:val="18"/>
                <w:color w:val="auto"/>
              </w:rPr>
              <w:t>Action Without Meeting</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Powers and Duties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3.18</w:t>
            </w:r>
          </w:p>
        </w:tc>
        <w:tc>
          <w:tcPr>
            <w:tcW w:w="7980" w:type="dxa"/>
            <w:vAlign w:val="bottom"/>
          </w:tcPr>
          <w:p>
            <w:pPr>
              <w:ind w:left="380"/>
              <w:spacing w:after="0"/>
              <w:rPr>
                <w:sz w:val="20"/>
                <w:szCs w:val="20"/>
                <w:color w:val="auto"/>
              </w:rPr>
            </w:pPr>
            <w:r>
              <w:rPr>
                <w:rFonts w:ascii="Arial" w:cs="Arial" w:eastAsia="Arial" w:hAnsi="Arial"/>
                <w:sz w:val="18"/>
                <w:szCs w:val="18"/>
                <w:color w:val="auto"/>
              </w:rPr>
              <w:t>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3.19</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Organization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00" w:type="dxa"/>
            <w:vAlign w:val="bottom"/>
            <w:gridSpan w:val="2"/>
          </w:tcPr>
          <w:p>
            <w:pPr>
              <w:spacing w:after="0"/>
              <w:rPr>
                <w:sz w:val="20"/>
                <w:szCs w:val="20"/>
                <w:color w:val="auto"/>
              </w:rPr>
            </w:pPr>
            <w:r>
              <w:rPr>
                <w:rFonts w:ascii="Arial" w:cs="Arial" w:eastAsia="Arial" w:hAnsi="Arial"/>
                <w:sz w:val="18"/>
                <w:szCs w:val="18"/>
                <w:color w:val="auto"/>
                <w:w w:val="99"/>
              </w:rPr>
              <w:t>ARTICLE IV</w:t>
            </w:r>
          </w:p>
        </w:tc>
        <w:tc>
          <w:tcPr>
            <w:tcW w:w="1840" w:type="dxa"/>
            <w:vAlign w:val="bottom"/>
          </w:tcPr>
          <w:p>
            <w:pPr>
              <w:ind w:left="140"/>
              <w:spacing w:after="0"/>
              <w:rPr>
                <w:sz w:val="20"/>
                <w:szCs w:val="20"/>
                <w:color w:val="auto"/>
              </w:rPr>
            </w:pPr>
            <w:r>
              <w:rPr>
                <w:rFonts w:ascii="Arial" w:cs="Arial" w:eastAsia="Arial" w:hAnsi="Arial"/>
                <w:sz w:val="18"/>
                <w:szCs w:val="18"/>
                <w:color w:val="auto"/>
              </w:rPr>
              <w:t>OFFICERS</w:t>
            </w:r>
          </w:p>
        </w:tc>
        <w:tc>
          <w:tcPr>
            <w:tcW w:w="79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Election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4.2</w:t>
            </w:r>
          </w:p>
        </w:tc>
        <w:tc>
          <w:tcPr>
            <w:tcW w:w="7980" w:type="dxa"/>
            <w:vAlign w:val="bottom"/>
          </w:tcPr>
          <w:p>
            <w:pPr>
              <w:ind w:left="380"/>
              <w:spacing w:after="0"/>
              <w:rPr>
                <w:sz w:val="20"/>
                <w:szCs w:val="20"/>
                <w:color w:val="auto"/>
              </w:rPr>
            </w:pPr>
            <w:r>
              <w:rPr>
                <w:rFonts w:ascii="Arial" w:cs="Arial" w:eastAsia="Arial" w:hAnsi="Arial"/>
                <w:sz w:val="18"/>
                <w:szCs w:val="18"/>
                <w:color w:val="auto"/>
              </w:rPr>
              <w:t>Removal; Resignation</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Vacancies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4.4</w:t>
            </w:r>
          </w:p>
        </w:tc>
        <w:tc>
          <w:tcPr>
            <w:tcW w:w="7980" w:type="dxa"/>
            <w:vAlign w:val="bottom"/>
          </w:tcPr>
          <w:p>
            <w:pPr>
              <w:ind w:left="380"/>
              <w:spacing w:after="0"/>
              <w:rPr>
                <w:sz w:val="20"/>
                <w:szCs w:val="20"/>
                <w:color w:val="auto"/>
              </w:rPr>
            </w:pPr>
            <w:r>
              <w:rPr>
                <w:rFonts w:ascii="Arial" w:cs="Arial" w:eastAsia="Arial" w:hAnsi="Arial"/>
                <w:sz w:val="18"/>
                <w:szCs w:val="18"/>
                <w:color w:val="auto"/>
              </w:rPr>
              <w:t>Chief Executive Officer</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President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4.6</w:t>
            </w:r>
          </w:p>
        </w:tc>
        <w:tc>
          <w:tcPr>
            <w:tcW w:w="7980" w:type="dxa"/>
            <w:vAlign w:val="bottom"/>
          </w:tcPr>
          <w:p>
            <w:pPr>
              <w:ind w:left="380"/>
              <w:spacing w:after="0"/>
              <w:rPr>
                <w:sz w:val="20"/>
                <w:szCs w:val="20"/>
                <w:color w:val="auto"/>
              </w:rPr>
            </w:pPr>
            <w:r>
              <w:rPr>
                <w:rFonts w:ascii="Arial" w:cs="Arial" w:eastAsia="Arial" w:hAnsi="Arial"/>
                <w:sz w:val="18"/>
                <w:szCs w:val="18"/>
                <w:color w:val="auto"/>
              </w:rPr>
              <w:t>Vice Presidents</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Secretary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980" w:type="dxa"/>
            <w:vAlign w:val="bottom"/>
          </w:tcPr>
          <w:p>
            <w:pPr>
              <w:ind w:left="2840"/>
              <w:spacing w:after="0"/>
              <w:rPr>
                <w:sz w:val="20"/>
                <w:szCs w:val="20"/>
                <w:color w:val="auto"/>
              </w:rPr>
            </w:pPr>
            <w:r>
              <w:rPr>
                <w:rFonts w:ascii="Arial" w:cs="Arial" w:eastAsia="Arial" w:hAnsi="Arial"/>
                <w:sz w:val="18"/>
                <w:szCs w:val="18"/>
                <w:color w:val="auto"/>
              </w:rPr>
              <w:t>i</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1840" w:type="dxa"/>
            <w:vAlign w:val="bottom"/>
            <w:tcBorders>
              <w:top w:val="single" w:sz="8" w:color="808080"/>
            </w:tcBorders>
          </w:tcPr>
          <w:p>
            <w:pPr>
              <w:spacing w:after="0"/>
              <w:rPr>
                <w:sz w:val="9"/>
                <w:szCs w:val="9"/>
                <w:color w:val="auto"/>
              </w:rPr>
            </w:pPr>
          </w:p>
        </w:tc>
        <w:tc>
          <w:tcPr>
            <w:tcW w:w="798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4.8</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Assistant Secretaries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4.9</w:t>
            </w:r>
          </w:p>
        </w:tc>
        <w:tc>
          <w:tcPr>
            <w:tcW w:w="7980" w:type="dxa"/>
            <w:vAlign w:val="bottom"/>
          </w:tcPr>
          <w:p>
            <w:pPr>
              <w:ind w:left="380"/>
              <w:spacing w:after="0"/>
              <w:rPr>
                <w:sz w:val="20"/>
                <w:szCs w:val="20"/>
                <w:color w:val="auto"/>
              </w:rPr>
            </w:pPr>
            <w:r>
              <w:rPr>
                <w:rFonts w:ascii="Arial" w:cs="Arial" w:eastAsia="Arial" w:hAnsi="Arial"/>
                <w:sz w:val="18"/>
                <w:szCs w:val="18"/>
                <w:color w:val="auto"/>
              </w:rPr>
              <w:t>Treasurer</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4.10</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Assistant Treasurers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Section 4.11</w:t>
            </w:r>
          </w:p>
        </w:tc>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Execution of Negotiable Instruments, Deeds and Contracts</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-7723505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-7723505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-640080</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-640080</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61" w:right="239" w:bottom="0" w:gutter="0" w:footer="0" w:header="0"/>
        </w:sectPr>
      </w:pPr>
    </w:p>
    <w:bookmarkStart w:id="129" w:name="page130"/>
    <w:bookmarkEnd w:id="129"/>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CAPITAL STOCK</w:t>
            </w:r>
          </w:p>
        </w:tc>
        <w:tc>
          <w:tcPr>
            <w:tcW w:w="5540" w:type="dxa"/>
            <w:vAlign w:val="bottom"/>
            <w:shd w:val="clear" w:color="auto" w:fill="CCEEFF"/>
          </w:tcPr>
          <w:p>
            <w:pPr>
              <w:spacing w:after="0"/>
              <w:rPr>
                <w:sz w:val="24"/>
                <w:szCs w:val="24"/>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5.1</w:t>
            </w:r>
          </w:p>
        </w:tc>
        <w:tc>
          <w:tcPr>
            <w:tcW w:w="5540" w:type="dxa"/>
            <w:vAlign w:val="bottom"/>
          </w:tcPr>
          <w:p>
            <w:pPr>
              <w:spacing w:after="0"/>
              <w:rPr>
                <w:sz w:val="20"/>
                <w:szCs w:val="20"/>
                <w:color w:val="auto"/>
              </w:rPr>
            </w:pPr>
            <w:r>
              <w:rPr>
                <w:rFonts w:ascii="Arial" w:cs="Arial" w:eastAsia="Arial" w:hAnsi="Arial"/>
                <w:sz w:val="18"/>
                <w:szCs w:val="18"/>
                <w:color w:val="auto"/>
              </w:rPr>
              <w:t>Issuance</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5.2</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Stock Certificates and Uncertified Shares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5.3</w:t>
            </w:r>
          </w:p>
        </w:tc>
        <w:tc>
          <w:tcPr>
            <w:tcW w:w="5540" w:type="dxa"/>
            <w:vAlign w:val="bottom"/>
          </w:tcPr>
          <w:p>
            <w:pPr>
              <w:spacing w:after="0"/>
              <w:rPr>
                <w:sz w:val="20"/>
                <w:szCs w:val="20"/>
                <w:color w:val="auto"/>
              </w:rPr>
            </w:pPr>
            <w:r>
              <w:rPr>
                <w:rFonts w:ascii="Arial" w:cs="Arial" w:eastAsia="Arial" w:hAnsi="Arial"/>
                <w:sz w:val="18"/>
                <w:szCs w:val="18"/>
                <w:color w:val="auto"/>
              </w:rPr>
              <w:t>Surrendered; Lost or Destroyed Certificates</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5.4</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Replacement Certificate</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5.5</w:t>
            </w:r>
          </w:p>
        </w:tc>
        <w:tc>
          <w:tcPr>
            <w:tcW w:w="5540" w:type="dxa"/>
            <w:vAlign w:val="bottom"/>
          </w:tcPr>
          <w:p>
            <w:pPr>
              <w:spacing w:after="0"/>
              <w:rPr>
                <w:sz w:val="20"/>
                <w:szCs w:val="20"/>
                <w:color w:val="auto"/>
              </w:rPr>
            </w:pPr>
            <w:r>
              <w:rPr>
                <w:rFonts w:ascii="Arial" w:cs="Arial" w:eastAsia="Arial" w:hAnsi="Arial"/>
                <w:sz w:val="18"/>
                <w:szCs w:val="18"/>
                <w:color w:val="auto"/>
              </w:rPr>
              <w:t>Transfer of Shares</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5.6</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Registrars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5.7</w:t>
            </w:r>
          </w:p>
        </w:tc>
        <w:tc>
          <w:tcPr>
            <w:tcW w:w="5540" w:type="dxa"/>
            <w:vAlign w:val="bottom"/>
          </w:tcPr>
          <w:p>
            <w:pPr>
              <w:spacing w:after="0"/>
              <w:rPr>
                <w:sz w:val="20"/>
                <w:szCs w:val="20"/>
                <w:color w:val="auto"/>
              </w:rPr>
            </w:pPr>
            <w:r>
              <w:rPr>
                <w:rFonts w:ascii="Arial" w:cs="Arial" w:eastAsia="Arial" w:hAnsi="Arial"/>
                <w:sz w:val="18"/>
                <w:szCs w:val="18"/>
                <w:color w:val="auto"/>
              </w:rPr>
              <w:t>Miscellaneous</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5.8</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Nevada Control Share Law</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431"/>
        </w:trPr>
        <w:tc>
          <w:tcPr>
            <w:tcW w:w="1120" w:type="dxa"/>
            <w:vAlign w:val="bottom"/>
          </w:tcPr>
          <w:p>
            <w:pPr>
              <w:spacing w:after="0"/>
              <w:rPr>
                <w:sz w:val="20"/>
                <w:szCs w:val="20"/>
                <w:color w:val="auto"/>
              </w:rPr>
            </w:pPr>
            <w:r>
              <w:rPr>
                <w:rFonts w:ascii="Arial" w:cs="Arial" w:eastAsia="Arial" w:hAnsi="Arial"/>
                <w:sz w:val="18"/>
                <w:szCs w:val="18"/>
                <w:color w:val="auto"/>
              </w:rPr>
              <w:t>ARTICLE VI</w:t>
            </w:r>
          </w:p>
        </w:tc>
        <w:tc>
          <w:tcPr>
            <w:tcW w:w="2100" w:type="dxa"/>
            <w:vAlign w:val="bottom"/>
          </w:tcPr>
          <w:p>
            <w:pPr>
              <w:ind w:left="20"/>
              <w:spacing w:after="0"/>
              <w:rPr>
                <w:sz w:val="20"/>
                <w:szCs w:val="20"/>
                <w:color w:val="auto"/>
              </w:rPr>
            </w:pPr>
            <w:r>
              <w:rPr>
                <w:rFonts w:ascii="Arial" w:cs="Arial" w:eastAsia="Arial" w:hAnsi="Arial"/>
                <w:sz w:val="18"/>
                <w:szCs w:val="18"/>
                <w:color w:val="auto"/>
              </w:rPr>
              <w:t>DISTRIBUTIONS</w:t>
            </w:r>
          </w:p>
        </w:tc>
        <w:tc>
          <w:tcPr>
            <w:tcW w:w="554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3"/>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7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RECORDS; REPORTS; SEAL; AND FINANCIAL MATTERS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7.1</w:t>
            </w:r>
          </w:p>
        </w:tc>
        <w:tc>
          <w:tcPr>
            <w:tcW w:w="5540" w:type="dxa"/>
            <w:vAlign w:val="bottom"/>
          </w:tcPr>
          <w:p>
            <w:pPr>
              <w:spacing w:after="0"/>
              <w:rPr>
                <w:sz w:val="20"/>
                <w:szCs w:val="20"/>
                <w:color w:val="auto"/>
              </w:rPr>
            </w:pPr>
            <w:r>
              <w:rPr>
                <w:rFonts w:ascii="Arial" w:cs="Arial" w:eastAsia="Arial" w:hAnsi="Arial"/>
                <w:sz w:val="18"/>
                <w:szCs w:val="18"/>
                <w:color w:val="auto"/>
              </w:rPr>
              <w:t>Records</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7.2</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 Seal</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7.3</w:t>
            </w:r>
          </w:p>
        </w:tc>
        <w:tc>
          <w:tcPr>
            <w:tcW w:w="5540" w:type="dxa"/>
            <w:vAlign w:val="bottom"/>
          </w:tcPr>
          <w:p>
            <w:pPr>
              <w:spacing w:after="0"/>
              <w:rPr>
                <w:sz w:val="20"/>
                <w:szCs w:val="20"/>
                <w:color w:val="auto"/>
              </w:rPr>
            </w:pPr>
            <w:r>
              <w:rPr>
                <w:rFonts w:ascii="Arial" w:cs="Arial" w:eastAsia="Arial" w:hAnsi="Arial"/>
                <w:sz w:val="18"/>
                <w:szCs w:val="18"/>
                <w:color w:val="auto"/>
              </w:rPr>
              <w:t>Fiscal Year-End</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ARTICLE VIII</w:t>
            </w: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INDEMNIFICATION</w:t>
            </w:r>
          </w:p>
        </w:tc>
        <w:tc>
          <w:tcPr>
            <w:tcW w:w="5540" w:type="dxa"/>
            <w:vAlign w:val="bottom"/>
            <w:shd w:val="clear" w:color="auto" w:fill="CCEEFF"/>
          </w:tcPr>
          <w:p>
            <w:pPr>
              <w:spacing w:after="0"/>
              <w:rPr>
                <w:sz w:val="24"/>
                <w:szCs w:val="24"/>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8.1</w:t>
            </w:r>
          </w:p>
        </w:tc>
        <w:tc>
          <w:tcPr>
            <w:tcW w:w="5540" w:type="dxa"/>
            <w:vAlign w:val="bottom"/>
          </w:tcPr>
          <w:p>
            <w:pPr>
              <w:spacing w:after="0"/>
              <w:rPr>
                <w:sz w:val="20"/>
                <w:szCs w:val="20"/>
                <w:color w:val="auto"/>
              </w:rPr>
            </w:pPr>
            <w:r>
              <w:rPr>
                <w:rFonts w:ascii="Arial" w:cs="Arial" w:eastAsia="Arial" w:hAnsi="Arial"/>
                <w:sz w:val="18"/>
                <w:szCs w:val="18"/>
                <w:color w:val="auto"/>
              </w:rPr>
              <w:t>Indemnification and Insurance</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8.2</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Amendment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431"/>
        </w:trPr>
        <w:tc>
          <w:tcPr>
            <w:tcW w:w="1120" w:type="dxa"/>
            <w:vAlign w:val="bottom"/>
          </w:tcPr>
          <w:p>
            <w:pPr>
              <w:spacing w:after="0"/>
              <w:rPr>
                <w:sz w:val="20"/>
                <w:szCs w:val="20"/>
                <w:color w:val="auto"/>
              </w:rPr>
            </w:pPr>
            <w:r>
              <w:rPr>
                <w:rFonts w:ascii="Arial" w:cs="Arial" w:eastAsia="Arial" w:hAnsi="Arial"/>
                <w:sz w:val="18"/>
                <w:szCs w:val="18"/>
                <w:color w:val="auto"/>
              </w:rPr>
              <w:t>ARTICLE IX</w:t>
            </w: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CHANGES IN NEVADA LAW</w:t>
            </w: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3"/>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ARTICLE X  AMENDMENT OR REPEAL</w:t>
            </w:r>
          </w:p>
        </w:tc>
        <w:tc>
          <w:tcPr>
            <w:tcW w:w="5540" w:type="dxa"/>
            <w:vAlign w:val="bottom"/>
            <w:shd w:val="clear" w:color="auto" w:fill="CCEEFF"/>
          </w:tcPr>
          <w:p>
            <w:pPr>
              <w:spacing w:after="0"/>
              <w:rPr>
                <w:sz w:val="24"/>
                <w:szCs w:val="24"/>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120" w:type="dxa"/>
            <w:vAlign w:val="bottom"/>
          </w:tcPr>
          <w:p>
            <w:pPr>
              <w:spacing w:after="0"/>
              <w:rPr>
                <w:sz w:val="19"/>
                <w:szCs w:val="19"/>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10.1</w:t>
            </w:r>
          </w:p>
        </w:tc>
        <w:tc>
          <w:tcPr>
            <w:tcW w:w="5540" w:type="dxa"/>
            <w:vAlign w:val="bottom"/>
          </w:tcPr>
          <w:p>
            <w:pPr>
              <w:spacing w:after="0"/>
              <w:rPr>
                <w:sz w:val="20"/>
                <w:szCs w:val="20"/>
                <w:color w:val="auto"/>
              </w:rPr>
            </w:pPr>
            <w:r>
              <w:rPr>
                <w:rFonts w:ascii="Arial" w:cs="Arial" w:eastAsia="Arial" w:hAnsi="Arial"/>
                <w:sz w:val="18"/>
                <w:szCs w:val="18"/>
                <w:color w:val="auto"/>
              </w:rPr>
              <w:t>Amendment of Bylaws</w:t>
            </w: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 Nevada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3" w:lineRule="exact"/>
        <w:rPr>
          <w:sz w:val="20"/>
          <w:szCs w:val="20"/>
          <w:color w:val="auto"/>
        </w:rPr>
      </w:pPr>
    </w:p>
    <w:p>
      <w:pPr>
        <w:ind w:right="540" w:firstLine="351"/>
        <w:spacing w:after="0" w:line="27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Principal Office.</w:t>
      </w:r>
      <w:r>
        <w:rPr>
          <w:rFonts w:ascii="Arial" w:cs="Arial" w:eastAsia="Arial" w:hAnsi="Arial"/>
          <w:sz w:val="18"/>
          <w:szCs w:val="18"/>
          <w:color w:val="auto"/>
        </w:rPr>
        <w:t xml:space="preserve"> The principal office and place of business of 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at 3145 Las Vegas Boulevard South, Las Vegas, Nevada 89109.</w:t>
      </w:r>
    </w:p>
    <w:p>
      <w:pPr>
        <w:spacing w:after="0" w:line="180"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Other Offices.</w:t>
      </w:r>
      <w:r>
        <w:rPr>
          <w:rFonts w:ascii="Arial" w:cs="Arial" w:eastAsia="Arial" w:hAnsi="Arial"/>
          <w:sz w:val="18"/>
          <w:szCs w:val="18"/>
          <w:color w:val="auto"/>
        </w:rPr>
        <w:t xml:space="preserve"> Other offices and places of business either within or without the State of Nevada may be established from time to time by resolution of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as the business of the Corporation may require. The street address of the Corporation's resident agent is the registered office of the Corporation in Nevada.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The annual meeting of the stockholders of the Corporation shall be held on such date and at such time as may be designated from time to time by the Board of Directors. At the annual meeting, directors shall be elected and any other business may be transacted as may be properly brought before the meeting.</w:t>
      </w:r>
    </w:p>
    <w:p>
      <w:pPr>
        <w:spacing w:after="0" w:line="194"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Special Meetings.</w:t>
      </w:r>
    </w:p>
    <w:p>
      <w:pPr>
        <w:spacing w:after="0" w:line="225" w:lineRule="exact"/>
        <w:rPr>
          <w:sz w:val="20"/>
          <w:szCs w:val="20"/>
          <w:color w:val="auto"/>
        </w:rPr>
      </w:pPr>
    </w:p>
    <w:p>
      <w:pPr>
        <w:ind w:right="320" w:firstLine="359"/>
        <w:spacing w:after="0" w:line="256" w:lineRule="auto"/>
        <w:tabs>
          <w:tab w:leader="none" w:pos="63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Subject to the rights of the holders of preferred stock, if any, special meetings of the stockholders may be called only by the chairman of the board, if any, or the chief executive officer, if any, or, if there be no chairman of the board and no chief executive officer, by the president, and shall be called by the secretary upon the written request of at least a majority of the authorized number of directors. Such request shall state the purpose or purposes of the meeting. Stockholders shall have no right to request or call a special meeting.</w:t>
      </w:r>
    </w:p>
    <w:p>
      <w:pPr>
        <w:spacing w:after="0" w:line="197" w:lineRule="exact"/>
        <w:rPr>
          <w:rFonts w:ascii="Arial" w:cs="Arial" w:eastAsia="Arial" w:hAnsi="Arial"/>
          <w:sz w:val="18"/>
          <w:szCs w:val="18"/>
          <w:color w:val="auto"/>
        </w:rPr>
      </w:pPr>
    </w:p>
    <w:p>
      <w:pPr>
        <w:ind w:left="660" w:hanging="301"/>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of stockholders except as set forth in the notice of the meeting.</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Any meeting of the stockholders of the Corporation may be held at the Corporation's registered office in the State of Nevada or at such other place in or out of the State of Nevada and United States as may be designated in the notice of meeting. A waiver of notice signed by all stockholders entitled to vote may designate any place for the holding of such meeting.</w:t>
      </w:r>
    </w:p>
    <w:p>
      <w:pPr>
        <w:spacing w:after="0" w:line="194"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i w:val="1"/>
          <w:iCs w:val="1"/>
          <w:color w:val="auto"/>
        </w:rPr>
        <w:t>Notice of Meetings; Waiver of Notice.</w:t>
      </w:r>
    </w:p>
    <w:p>
      <w:pPr>
        <w:spacing w:after="0" w:line="225" w:lineRule="exact"/>
        <w:rPr>
          <w:sz w:val="20"/>
          <w:szCs w:val="20"/>
          <w:color w:val="auto"/>
        </w:rPr>
      </w:pPr>
    </w:p>
    <w:p>
      <w:pPr>
        <w:ind w:right="60" w:firstLine="359"/>
        <w:spacing w:after="0" w:line="255" w:lineRule="auto"/>
        <w:tabs>
          <w:tab w:leader="none" w:pos="63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president, chief executive officer, if any, a vice president, the secretary, an assistant secretary or any other individual designated by the Board of Directors shall sign and deliver or cause to be delivered to the stockholders written notice of any stockholders' meeting not less than ten (10) days, but not more than sixty (60) days, before the date of such meeting. The notice shall state the place, date and time of the meeting and the purpose or purposes for which the meeting is called. The notice shall contain or be accompanied by such additional information as may be required by </w:t>
      </w:r>
      <w:r>
        <w:rPr>
          <w:rFonts w:ascii="Arial" w:cs="Arial" w:eastAsia="Arial" w:hAnsi="Arial"/>
          <w:sz w:val="18"/>
          <w:szCs w:val="18"/>
          <w:i w:val="1"/>
          <w:iCs w:val="1"/>
          <w:color w:val="auto"/>
        </w:rPr>
        <w:t>Nevada Revised Statutes</w:t>
      </w:r>
      <w:r>
        <w:rPr>
          <w:rFonts w:ascii="Arial" w:cs="Arial" w:eastAsia="Arial" w:hAnsi="Arial"/>
          <w:sz w:val="18"/>
          <w:szCs w:val="18"/>
          <w:color w:val="auto"/>
        </w:rPr>
        <w:t xml:space="preserve"> ("</w:t>
      </w:r>
      <w:r>
        <w:rPr>
          <w:rFonts w:ascii="Arial" w:cs="Arial" w:eastAsia="Arial" w:hAnsi="Arial"/>
          <w:sz w:val="18"/>
          <w:szCs w:val="18"/>
          <w:b w:val="1"/>
          <w:bCs w:val="1"/>
          <w:color w:val="auto"/>
        </w:rPr>
        <w:t>NRS</w:t>
      </w:r>
      <w:r>
        <w:rPr>
          <w:rFonts w:ascii="Arial" w:cs="Arial" w:eastAsia="Arial" w:hAnsi="Arial"/>
          <w:sz w:val="18"/>
          <w:szCs w:val="18"/>
          <w:color w:val="auto"/>
        </w:rPr>
        <w:t>"), including, without limitation, NRS 78.379, 92A.120 or 92A.410.</w:t>
      </w:r>
    </w:p>
    <w:p>
      <w:pPr>
        <w:spacing w:after="0" w:line="196" w:lineRule="exact"/>
        <w:rPr>
          <w:rFonts w:ascii="Arial" w:cs="Arial" w:eastAsia="Arial" w:hAnsi="Arial"/>
          <w:sz w:val="18"/>
          <w:szCs w:val="18"/>
          <w:color w:val="auto"/>
        </w:rPr>
      </w:pPr>
    </w:p>
    <w:p>
      <w:pPr>
        <w:ind w:right="140" w:firstLine="359"/>
        <w:spacing w:after="0" w:line="370" w:lineRule="auto"/>
        <w:tabs>
          <w:tab w:leader="none" w:pos="644" w:val="left"/>
        </w:tabs>
        <w:numPr>
          <w:ilvl w:val="0"/>
          <w:numId w:val="170"/>
        </w:numPr>
        <w:rPr>
          <w:rFonts w:ascii="Arial" w:cs="Arial" w:eastAsia="Arial" w:hAnsi="Arial"/>
          <w:sz w:val="15"/>
          <w:szCs w:val="15"/>
          <w:color w:val="auto"/>
        </w:rPr>
      </w:pPr>
      <w:r>
        <w:rPr>
          <w:rFonts w:ascii="Arial" w:cs="Arial" w:eastAsia="Arial" w:hAnsi="Arial"/>
          <w:sz w:val="15"/>
          <w:szCs w:val="15"/>
          <w:color w:val="auto"/>
        </w:rPr>
        <w:t>In the case of an annual meeting, subject to Section 2.13 below, any proper business may be presented for action, except that (i) if a proposed plan of merger, conversion or exchange is submitted to a vote, the notice of the meeting must state that the purpose, or one of the purposes, of the meeting is to consider</w:t>
      </w:r>
    </w:p>
    <w:p>
      <w:pPr>
        <w:sectPr>
          <w:pgSz w:w="11900" w:h="16881" w:orient="portrait"/>
          <w:cols w:equalWidth="0" w:num="1">
            <w:col w:w="11420"/>
          </w:cols>
          <w:pgMar w:left="240" w:top="140" w:right="239" w:bottom="0" w:gutter="0" w:footer="0" w:header="0"/>
        </w:sectPr>
      </w:pPr>
    </w:p>
    <w:bookmarkStart w:id="130" w:name="page131"/>
    <w:bookmarkEnd w:id="130"/>
    <w:p>
      <w:pPr>
        <w:spacing w:after="0" w:line="41"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dissenters' rights under NRS 92A.300 to 92A.500, inclusive, and be accompanied by a copy of those sections.</w:t>
      </w:r>
    </w:p>
    <w:p>
      <w:pPr>
        <w:spacing w:after="0" w:line="225" w:lineRule="exact"/>
        <w:rPr>
          <w:sz w:val="20"/>
          <w:szCs w:val="20"/>
          <w:color w:val="auto"/>
        </w:rPr>
      </w:pPr>
    </w:p>
    <w:p>
      <w:pPr>
        <w:jc w:val="both"/>
        <w:ind w:right="200" w:firstLine="359"/>
        <w:spacing w:after="0" w:line="298" w:lineRule="auto"/>
        <w:tabs>
          <w:tab w:leader="none" w:pos="62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 copy of the notice shall be personally delivered or mailed postage prepaid to each stockholder of record entitled to vote at the meeting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w:t>
      </w:r>
    </w:p>
    <w:p>
      <w:pPr>
        <w:spacing w:after="0" w:line="166" w:lineRule="exact"/>
        <w:rPr>
          <w:rFonts w:ascii="Arial" w:cs="Arial" w:eastAsia="Arial" w:hAnsi="Arial"/>
          <w:sz w:val="16"/>
          <w:szCs w:val="16"/>
          <w:color w:val="auto"/>
        </w:rPr>
      </w:pPr>
    </w:p>
    <w:p>
      <w:pPr>
        <w:jc w:val="both"/>
        <w:ind w:right="180" w:firstLine="359"/>
        <w:spacing w:after="0" w:line="259" w:lineRule="auto"/>
        <w:tabs>
          <w:tab w:leader="none" w:pos="64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written certificate of the individual signing a notice of meeting, setting forth the substance of the notice or having a copy thereof attached, the date the notice was mailed or personally delivered to the stockholders and the addresses to which the notice was mailed, shall be prima facie evidence of the manner and fact of giving such notice.</w:t>
      </w:r>
    </w:p>
    <w:p>
      <w:pPr>
        <w:spacing w:after="0" w:line="194" w:lineRule="exact"/>
        <w:rPr>
          <w:rFonts w:ascii="Arial" w:cs="Arial" w:eastAsia="Arial" w:hAnsi="Arial"/>
          <w:sz w:val="18"/>
          <w:szCs w:val="18"/>
          <w:color w:val="auto"/>
        </w:rPr>
      </w:pPr>
    </w:p>
    <w:p>
      <w:pPr>
        <w:ind w:right="380" w:firstLine="359"/>
        <w:spacing w:after="0" w:line="268" w:lineRule="auto"/>
        <w:tabs>
          <w:tab w:leader="none" w:pos="62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stockholder may waive notice of any meeting by a signed writing, either before or after the meeting. Such waiver of notice shall be deemed the equivalent of the giving of such notice.</w:t>
      </w:r>
    </w:p>
    <w:p>
      <w:pPr>
        <w:spacing w:after="0" w:line="186"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i w:val="1"/>
          <w:iCs w:val="1"/>
          <w:color w:val="auto"/>
        </w:rPr>
        <w:t>Determination of Stockholders of Record.</w:t>
      </w:r>
    </w:p>
    <w:p>
      <w:pPr>
        <w:spacing w:after="0" w:line="225" w:lineRule="exact"/>
        <w:rPr>
          <w:sz w:val="20"/>
          <w:szCs w:val="20"/>
          <w:color w:val="auto"/>
        </w:rPr>
      </w:pPr>
    </w:p>
    <w:p>
      <w:pPr>
        <w:ind w:firstLine="359"/>
        <w:spacing w:after="0" w:line="256" w:lineRule="auto"/>
        <w:tabs>
          <w:tab w:leader="none" w:pos="63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 the purpose of determining the stockholders entitled to notice of and to vote at any meeting of stockholders or any adjournment thereof, or entitled to receive payment of any distribution or the allotment of any rights, or entitled to exercise any rights in respect of any change, conversion, or exchange of stock or for the purpose of any other lawful action, the directors may fix, in advance, a record date, which shall not be more than sixty (60) days nor less than ten (10) days before the date of such meeting, if applicable.</w:t>
      </w:r>
    </w:p>
    <w:p>
      <w:pPr>
        <w:spacing w:after="0" w:line="197" w:lineRule="exact"/>
        <w:rPr>
          <w:rFonts w:ascii="Arial" w:cs="Arial" w:eastAsia="Arial" w:hAnsi="Arial"/>
          <w:sz w:val="18"/>
          <w:szCs w:val="18"/>
          <w:color w:val="auto"/>
        </w:rPr>
      </w:pPr>
    </w:p>
    <w:p>
      <w:pPr>
        <w:ind w:right="40" w:firstLine="359"/>
        <w:spacing w:after="0" w:line="291" w:lineRule="auto"/>
        <w:tabs>
          <w:tab w:leader="none" w:pos="64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of Directors may fix a new record date for the adjourned meeting and must fix a new record date if the meeting is adjourned to</w:t>
      </w:r>
      <w:r>
        <w:rPr>
          <w:rFonts w:ascii="Arial" w:cs="Arial" w:eastAsia="Arial" w:hAnsi="Arial"/>
          <w:sz w:val="16"/>
          <w:szCs w:val="16"/>
          <w:i w:val="1"/>
          <w:iCs w:val="1"/>
          <w:color w:val="auto"/>
        </w:rPr>
        <w:t xml:space="preserve"> </w:t>
      </w:r>
      <w:r>
        <w:rPr>
          <w:rFonts w:ascii="Arial" w:cs="Arial" w:eastAsia="Arial" w:hAnsi="Arial"/>
          <w:sz w:val="16"/>
          <w:szCs w:val="16"/>
          <w:color w:val="auto"/>
        </w:rPr>
        <w:t>a date more than 60 days later than the date set for the original meeting.</w:t>
      </w:r>
    </w:p>
    <w:p>
      <w:pPr>
        <w:spacing w:after="0" w:line="174"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i w:val="1"/>
          <w:iCs w:val="1"/>
          <w:color w:val="auto"/>
        </w:rPr>
        <w:t>Quorum; Adjourned Meetings.</w:t>
      </w:r>
    </w:p>
    <w:p>
      <w:pPr>
        <w:spacing w:after="0" w:line="225" w:lineRule="exact"/>
        <w:rPr>
          <w:sz w:val="20"/>
          <w:szCs w:val="20"/>
          <w:color w:val="auto"/>
        </w:rPr>
      </w:pPr>
    </w:p>
    <w:p>
      <w:pPr>
        <w:ind w:right="60" w:firstLine="359"/>
        <w:spacing w:after="0" w:line="294" w:lineRule="auto"/>
        <w:tabs>
          <w:tab w:leader="none" w:pos="63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Unless the Articles of Incorporation provide for a different proportion, stockholders holding at least a majority of the voting power of the Corporation's capital stock, represented in person or by proxy (regardless of whether the proxy has authority to vote on all matters),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all matters), within each such class or series is necessary to constitute a quorum of each such class or series.</w:t>
      </w:r>
    </w:p>
    <w:p>
      <w:pPr>
        <w:spacing w:after="0" w:line="169" w:lineRule="exact"/>
        <w:rPr>
          <w:rFonts w:ascii="Arial" w:cs="Arial" w:eastAsia="Arial" w:hAnsi="Arial"/>
          <w:sz w:val="16"/>
          <w:szCs w:val="16"/>
          <w:color w:val="auto"/>
        </w:rPr>
      </w:pPr>
    </w:p>
    <w:p>
      <w:pPr>
        <w:ind w:right="20" w:firstLine="359"/>
        <w:spacing w:after="0" w:line="255" w:lineRule="auto"/>
        <w:tabs>
          <w:tab w:leader="none" w:pos="6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 quorum is not represented, a majority of the voting power represented or the person presiding at the meeting may adjourn the meeting from time to time until a quorum shall be represented. At any such adjourned meeting at which a quorum shall be represented, any business may be transacted which might have been transacted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139"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i w:val="1"/>
          <w:iCs w:val="1"/>
          <w:color w:val="auto"/>
        </w:rPr>
        <w:t>Voting.</w:t>
      </w:r>
    </w:p>
    <w:p>
      <w:pPr>
        <w:spacing w:after="0" w:line="225" w:lineRule="exact"/>
        <w:rPr>
          <w:sz w:val="20"/>
          <w:szCs w:val="20"/>
          <w:color w:val="auto"/>
        </w:rPr>
      </w:pPr>
    </w:p>
    <w:p>
      <w:pPr>
        <w:ind w:right="20" w:firstLine="359"/>
        <w:spacing w:after="0" w:line="256" w:lineRule="auto"/>
        <w:tabs>
          <w:tab w:leader="none" w:pos="63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Unless otherwise provided in the NRS, in the Articles of Incorporation, or in the resolution providing for the issuance of preferred stock adopted by the Board of Directors pursuant to 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w:t>
      </w:r>
    </w:p>
    <w:p>
      <w:pPr>
        <w:spacing w:after="0" w:line="197" w:lineRule="exact"/>
        <w:rPr>
          <w:rFonts w:ascii="Arial" w:cs="Arial" w:eastAsia="Arial" w:hAnsi="Arial"/>
          <w:sz w:val="18"/>
          <w:szCs w:val="18"/>
          <w:color w:val="auto"/>
        </w:rPr>
      </w:pPr>
    </w:p>
    <w:p>
      <w:pPr>
        <w:ind w:right="180" w:firstLine="359"/>
        <w:spacing w:after="0" w:line="290" w:lineRule="auto"/>
        <w:tabs>
          <w:tab w:leader="none" w:pos="64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Except as otherwise provided herein, all votes with respect to shares standing in the name of an individual at the close of business on the record date (including pledged shares)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the receiver may cast votes carried by such shares even though the shares do not stand of record in the name of the receiver; provided, that the order of a court of competent jurisdiction which appoints the receiver contains the authority to cast votes carried by such shares. If shares stand of record in the name of a minor, votes may be cast by the duly appointed guardian of the estate of such minor only if such guardian has provided the Corporation with written proof of such appointment.</w:t>
      </w:r>
    </w:p>
    <w:p>
      <w:pPr>
        <w:spacing w:after="0" w:line="172" w:lineRule="exact"/>
        <w:rPr>
          <w:rFonts w:ascii="Arial" w:cs="Arial" w:eastAsia="Arial" w:hAnsi="Arial"/>
          <w:sz w:val="16"/>
          <w:szCs w:val="16"/>
          <w:color w:val="auto"/>
        </w:rPr>
      </w:pPr>
    </w:p>
    <w:p>
      <w:pPr>
        <w:ind w:right="120" w:firstLine="359"/>
        <w:spacing w:after="0" w:line="254" w:lineRule="auto"/>
        <w:tabs>
          <w:tab w:leader="none" w:pos="63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chairman of the board, if any, president, chief executive officer, if any,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ectPr>
          <w:pgSz w:w="11900" w:h="16880" w:orient="portrait"/>
          <w:cols w:equalWidth="0" w:num="1">
            <w:col w:w="11420"/>
          </w:cols>
          <w:pgMar w:left="240" w:top="131" w:right="239" w:bottom="0" w:gutter="0" w:footer="0" w:header="0"/>
        </w:sectPr>
      </w:pPr>
    </w:p>
    <w:bookmarkStart w:id="131" w:name="page132"/>
    <w:bookmarkEnd w:id="131"/>
    <w:p>
      <w:pPr>
        <w:ind w:firstLine="359"/>
        <w:spacing w:after="0" w:line="259" w:lineRule="auto"/>
        <w:tabs>
          <w:tab w:leader="none" w:pos="64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and except for the Corporation's shares held in a fiduciary capacity, the Corporation shall not vote, directly or indirectly, shares of its own stock owned by it; and such shares shall not be counted in determining the total number of outstanding shares entitled to vote.</w:t>
      </w:r>
    </w:p>
    <w:p>
      <w:pPr>
        <w:spacing w:after="0" w:line="194" w:lineRule="exact"/>
        <w:rPr>
          <w:rFonts w:ascii="Arial" w:cs="Arial" w:eastAsia="Arial" w:hAnsi="Arial"/>
          <w:sz w:val="18"/>
          <w:szCs w:val="18"/>
          <w:color w:val="auto"/>
        </w:rPr>
      </w:pPr>
    </w:p>
    <w:p>
      <w:pPr>
        <w:ind w:right="20" w:firstLine="359"/>
        <w:spacing w:after="0" w:line="256" w:lineRule="auto"/>
        <w:tabs>
          <w:tab w:leader="none" w:pos="6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97" w:lineRule="exact"/>
        <w:rPr>
          <w:rFonts w:ascii="Arial" w:cs="Arial" w:eastAsia="Arial" w:hAnsi="Arial"/>
          <w:sz w:val="18"/>
          <w:szCs w:val="18"/>
          <w:color w:val="auto"/>
        </w:rPr>
      </w:pPr>
    </w:p>
    <w:p>
      <w:pPr>
        <w:ind w:right="100" w:firstLine="359"/>
        <w:spacing w:after="0" w:line="306" w:lineRule="auto"/>
        <w:tabs>
          <w:tab w:leader="none" w:pos="69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two or more persons, whether fiduciaries, members of a partnership, joint tenants, tenants in common, husband and wife as community property, tenants by the entirety, voting trustees or otherwise and shares held by two or more persons (including proxy holders) having the same fiduciary relationship in respect to the same shares, votes may be cast in the following manner:</w:t>
      </w:r>
    </w:p>
    <w:p>
      <w:pPr>
        <w:spacing w:after="0" w:line="161" w:lineRule="exact"/>
        <w:rPr>
          <w:sz w:val="20"/>
          <w:szCs w:val="20"/>
          <w:color w:val="auto"/>
        </w:rPr>
      </w:pPr>
    </w:p>
    <w:p>
      <w:pPr>
        <w:ind w:left="1240" w:hanging="253"/>
        <w:spacing w:after="0"/>
        <w:tabs>
          <w:tab w:leader="none" w:pos="124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If only one person votes, the vote of such person binds all.</w:t>
      </w:r>
    </w:p>
    <w:p>
      <w:pPr>
        <w:spacing w:after="0" w:line="225" w:lineRule="exact"/>
        <w:rPr>
          <w:rFonts w:ascii="Arial" w:cs="Arial" w:eastAsia="Arial" w:hAnsi="Arial"/>
          <w:sz w:val="18"/>
          <w:szCs w:val="18"/>
          <w:color w:val="auto"/>
        </w:rPr>
      </w:pPr>
    </w:p>
    <w:p>
      <w:pPr>
        <w:ind w:left="5680" w:right="4720" w:hanging="4781"/>
        <w:spacing w:after="0" w:line="519" w:lineRule="auto"/>
        <w:tabs>
          <w:tab w:leader="none" w:pos="121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more than one person casts votes, the act of the majority so voting binds all.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ind w:left="1260" w:hanging="361"/>
        <w:spacing w:after="0"/>
        <w:tabs>
          <w:tab w:leader="none" w:pos="126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If more than one person casts votes, but the vote is evenly split on a particular matter, the votes shall be deemed cast proportionately, as split.</w:t>
      </w:r>
    </w:p>
    <w:p>
      <w:pPr>
        <w:spacing w:after="0" w:line="248" w:lineRule="exact"/>
        <w:rPr>
          <w:rFonts w:ascii="Arial" w:cs="Arial" w:eastAsia="Arial" w:hAnsi="Arial"/>
          <w:sz w:val="16"/>
          <w:szCs w:val="16"/>
          <w:color w:val="auto"/>
        </w:rPr>
      </w:pPr>
    </w:p>
    <w:p>
      <w:pPr>
        <w:ind w:right="60" w:firstLine="359"/>
        <w:spacing w:after="0" w:line="294" w:lineRule="auto"/>
        <w:tabs>
          <w:tab w:leader="none" w:pos="64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If a quorum is present, unless the Articles of Incorporation, these Bylaws, the NRS, or other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w:t>
      </w:r>
    </w:p>
    <w:p>
      <w:pPr>
        <w:spacing w:after="0" w:line="169" w:lineRule="exact"/>
        <w:rPr>
          <w:rFonts w:ascii="Arial" w:cs="Arial" w:eastAsia="Arial" w:hAnsi="Arial"/>
          <w:sz w:val="16"/>
          <w:szCs w:val="16"/>
          <w:color w:val="auto"/>
        </w:rPr>
      </w:pPr>
    </w:p>
    <w:p>
      <w:pPr>
        <w:ind w:left="660" w:hanging="301"/>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 quorum is present, directors shall be elected by a plurality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-1671320</wp:posOffset>
            </wp:positionV>
            <wp:extent cx="7250430"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Proxies.</w:t>
      </w:r>
      <w:r>
        <w:rPr>
          <w:rFonts w:ascii="Arial" w:cs="Arial" w:eastAsia="Arial" w:hAnsi="Arial"/>
          <w:sz w:val="18"/>
          <w:szCs w:val="18"/>
          <w:color w:val="auto"/>
        </w:rPr>
        <w:t xml:space="preserve"> At any meeting of stockholders, any holder of shares entitled to vote may designate, in a manner permitted by the laws of the State of Nevada, another person or persons to act as a proxy or proxies. Every proxy shall continue in full force and effect until its expiration or revocation in a manner permitted by the laws of the State of Nevada.</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No Action Without A Meeting.</w:t>
      </w:r>
      <w:r>
        <w:rPr>
          <w:rFonts w:ascii="Arial" w:cs="Arial" w:eastAsia="Arial" w:hAnsi="Arial"/>
          <w:sz w:val="18"/>
          <w:szCs w:val="18"/>
          <w:color w:val="auto"/>
        </w:rPr>
        <w:t xml:space="preserve"> No action shall be taken by the stockholders except at an annual or special meeting of stockholders called and noticed in the manner required by these Bylaws. Prior to the completion of the initial public offering of the Corporation, the stockholders may take action by written consent. After the completion of the initial public offering of the Corporation, the stockholders may not in any circumstance take action by written consent.</w:t>
      </w:r>
    </w:p>
    <w:p>
      <w:pPr>
        <w:spacing w:after="0" w:line="19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Organization.</w:t>
      </w:r>
    </w:p>
    <w:p>
      <w:pPr>
        <w:spacing w:after="0" w:line="225" w:lineRule="exact"/>
        <w:rPr>
          <w:sz w:val="20"/>
          <w:szCs w:val="20"/>
          <w:color w:val="auto"/>
        </w:rPr>
      </w:pPr>
    </w:p>
    <w:p>
      <w:pPr>
        <w:ind w:right="20" w:firstLine="359"/>
        <w:spacing w:after="0" w:line="287" w:lineRule="auto"/>
        <w:tabs>
          <w:tab w:leader="none" w:pos="63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Meetings of stockholders shall be presided over by the chairman of the board, or, in the absence of the chairman, by the vice-chairman of the board, or in the absence of the vice-chairman, the president, or, in the absence of the president, by the chief executive officer, if any, or, in the absence of the foregoing persons, by a chairman designated by the Board of Directors, or, in the absence of such designation by the Board of Directors, by a chairman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 on the time allotted to questions or comments on the affairs of the Corporation, restrictions on entry to such meeting after the time prescribed for the commencement thereof and the opening and closing of the voting polls.</w:t>
      </w:r>
    </w:p>
    <w:p>
      <w:pPr>
        <w:spacing w:after="0" w:line="176" w:lineRule="exact"/>
        <w:rPr>
          <w:rFonts w:ascii="Arial" w:cs="Arial" w:eastAsia="Arial" w:hAnsi="Arial"/>
          <w:sz w:val="16"/>
          <w:szCs w:val="16"/>
          <w:color w:val="auto"/>
        </w:rPr>
      </w:pPr>
    </w:p>
    <w:p>
      <w:pPr>
        <w:ind w:right="180" w:firstLine="359"/>
        <w:spacing w:after="0" w:line="256" w:lineRule="auto"/>
        <w:tabs>
          <w:tab w:leader="none" w:pos="64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chairman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Absentees' Consent to Meetings.</w:t>
      </w:r>
      <w:r>
        <w:rPr>
          <w:rFonts w:ascii="Arial" w:cs="Arial" w:eastAsia="Arial" w:hAnsi="Arial"/>
          <w:sz w:val="18"/>
          <w:szCs w:val="18"/>
          <w:color w:val="auto"/>
        </w:rPr>
        <w:t xml:space="preserve"> Transactions of any meeting of the stockholders are as valid as though had at a meeting duly held after regular call and notice if a quorum is represented, either in person or by proxy, and if, either before or after the meeting, each of the persons entitled to vote, not represented in person or by proxy (and those who, although present, either object at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beginning of the meeting to the transaction of any business because the meeting has not been lawfully called or convened or expressly object at the meeting to the consideration of matters not included in the notice which are legally or by the terms of these Bylaws required to be included therein), signs a written waiver of notice and/or consent to the holding of the meeting or an approval of the minutes thereof. All such waivers, consents, and approvals shall be filed with the corporate records and made a part of the minutes of the meeting.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properly included in the notice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ectPr>
          <w:pgSz w:w="11900" w:h="16838" w:orient="portrait"/>
          <w:cols w:equalWidth="0" w:num="1">
            <w:col w:w="11420"/>
          </w:cols>
          <w:pgMar w:left="240" w:top="131" w:right="239" w:bottom="0" w:gutter="0" w:footer="0" w:header="0"/>
        </w:sectPr>
      </w:pPr>
    </w:p>
    <w:bookmarkStart w:id="132" w:name="page133"/>
    <w:bookmarkEnd w:id="132"/>
    <w:p>
      <w:pPr>
        <w:jc w:val="both"/>
        <w:ind w:right="60" w:firstLine="351"/>
        <w:spacing w:after="0" w:line="30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i w:val="1"/>
          <w:iCs w:val="1"/>
          <w:color w:val="auto"/>
        </w:rPr>
        <w:t>Director Nominations.</w:t>
      </w:r>
      <w:r>
        <w:rPr>
          <w:rFonts w:ascii="Arial" w:cs="Arial" w:eastAsia="Arial" w:hAnsi="Arial"/>
          <w:sz w:val="16"/>
          <w:szCs w:val="16"/>
          <w:color w:val="auto"/>
        </w:rPr>
        <w:t xml:space="preserve"> Subject to the rights, if any, of the holders of preferred stock to nominate and elect directors, nominations of persons for election to the Board of Directors of the Corporation may be made by the Board of Directors, by a committee appointed by the Board of Directors, or by any stockholder of record entitled to vote in the election of directors who complies with the notice procedures set forth in Section 2.13 below.</w:t>
      </w:r>
    </w:p>
    <w:p>
      <w:pPr>
        <w:spacing w:after="0" w:line="161"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i w:val="1"/>
          <w:iCs w:val="1"/>
          <w:color w:val="auto"/>
        </w:rPr>
        <w:t>Advance Notice of Stockholder Proposals and Director Nominations by Stockholders.</w:t>
      </w:r>
      <w:r>
        <w:rPr>
          <w:rFonts w:ascii="Arial" w:cs="Arial" w:eastAsia="Arial" w:hAnsi="Arial"/>
          <w:sz w:val="16"/>
          <w:szCs w:val="16"/>
          <w:color w:val="auto"/>
        </w:rPr>
        <w:t xml:space="preserve"> At any annual or special meeting of stockholders, proposals by stockholders and persons nominated for election as directors by stockholders shall be considered only if advance notice thereof has been timely given by the stockholder as provided herein and such proposals or nominations are otherwise proper for consideration under applicable law, the Articles of Incorporation and these Bylaws. Notice of any proposal to be presented by any stockholder or of the name of any person to be nominated by any stockholder for election as a director of the Corporation at any meeting of stockholders shall be delivered to the secretary of the Corporation at its principal office not less than sixty (60) nor more than ninety (90) days prior to the day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meeting is first publicly announced or disclosed (in a public filing or otherwise) less than seventy (70) days prior to the day of the meeting, such advance notice shall be given not more than ten</w:t>
      </w:r>
    </w:p>
    <w:p>
      <w:pPr>
        <w:ind w:firstLine="8"/>
        <w:spacing w:after="0" w:line="288" w:lineRule="auto"/>
        <w:tabs>
          <w:tab w:leader="none" w:pos="33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days after such date is first so announced or disclosed. Public notice shall be deemed to have been given more than seventy (70) days in advance of the annual meeting if the Corporation shall have previously disclosed, in these Bylaws or otherwise, that the annual meeting in each year is to be held on a determinable date, unless and until the Board of Directors determines to hold the meeting on a different date. For purposes of this Section, public disclosure of the date of a forthcoming meeting may be made by the Corporation not only by giving formal notice of the meeting, but also by notice to a national securities exchange, the Nasdaq National Market or the Nasdaq SmallCap Market (if a corporation's common stock is then listed on such exchange or quoted on either such Nasdaq market), by filing a report under Section 13 or 15(d) of the Securities Exchange Act of 1934, as amended (the "</w:t>
      </w:r>
      <w:r>
        <w:rPr>
          <w:rFonts w:ascii="Arial" w:cs="Arial" w:eastAsia="Arial" w:hAnsi="Arial"/>
          <w:sz w:val="16"/>
          <w:szCs w:val="16"/>
          <w:b w:val="1"/>
          <w:bCs w:val="1"/>
          <w:color w:val="auto"/>
        </w:rPr>
        <w:t>Act</w:t>
      </w:r>
      <w:r>
        <w:rPr>
          <w:rFonts w:ascii="Arial" w:cs="Arial" w:eastAsia="Arial" w:hAnsi="Arial"/>
          <w:sz w:val="16"/>
          <w:szCs w:val="16"/>
          <w:color w:val="auto"/>
        </w:rPr>
        <w:t>") (if the Corporation is then subject thereto), by mailing to stockholders, or by a general press release.</w:t>
      </w:r>
    </w:p>
    <w:p>
      <w:pPr>
        <w:spacing w:after="0" w:line="177"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Any stockholder who gives notice of any such proposal shall deliver therewith the text of the proposal to be presented and a brief written statement of the reasons why such stockholder favors the proposal and setting forth such stockholder's name and address, the number and class of all shares of each class of stock of the Corporation beneficially owned by such stockholder and any material interest of such stockholder in the proposal (other than as a stockholder). Any stockholder desiring to nominate any person for election as a director of the Corporation shall deliver with such notice a statement, in writing, setting forth (a) the name of the person to be nominated; (b) the number and class of all shares of each class of stock of the Corporation beneficially owned by such person; (c) the information regarding such person required by paragraphs (a), (e) and (f) of Item 401 of Regulation S-K adopted by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(or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corresponding provisions of any regulation subsequently adopted by the SEC applicable to the Corporation), and any other information regarding such person which would be required to be included in a proxy statement filed pursuant to the proxy rules of the SEC, had such nominee been nominated, or intended to be nominated by the Board of Directors; (d) such person's signed consent to serve as a director of the Corporation if elected and to file an application for licensing or finding of suitability if the Nevada Gaming Commission or other gaming authority shall so require or the Board of Directors deems it necessary or advisable;</w:t>
      </w:r>
    </w:p>
    <w:p>
      <w:pPr>
        <w:spacing w:after="0" w:line="3" w:lineRule="exact"/>
        <w:rPr>
          <w:sz w:val="20"/>
          <w:szCs w:val="20"/>
          <w:color w:val="auto"/>
        </w:rPr>
      </w:pPr>
    </w:p>
    <w:p>
      <w:pPr>
        <w:ind w:left="240" w:hanging="232"/>
        <w:spacing w:after="0"/>
        <w:tabs>
          <w:tab w:leader="none" w:pos="24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such stockholder's name and address and the number and class of all shares of each class of stock of the Corporation beneficially owned by such stockholder;</w:t>
      </w:r>
    </w:p>
    <w:p>
      <w:pPr>
        <w:spacing w:after="0" w:line="43" w:lineRule="exact"/>
        <w:rPr>
          <w:rFonts w:ascii="Arial" w:cs="Arial" w:eastAsia="Arial" w:hAnsi="Arial"/>
          <w:sz w:val="15"/>
          <w:szCs w:val="15"/>
          <w:color w:val="auto"/>
        </w:rPr>
      </w:pPr>
    </w:p>
    <w:p>
      <w:pPr>
        <w:ind w:right="40" w:firstLine="8"/>
        <w:spacing w:after="0" w:line="286" w:lineRule="auto"/>
        <w:tabs>
          <w:tab w:leader="none" w:pos="21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 representation that such stockholder is a holder of record of stock of the Corporation entitled to vote at such meeting and intends to appear in person or by proxy at the meeting to nominate the person or persons specified in the notice; and (g) a description of all arrangements or understandings between the stockholder and each nominee and any other person or persons (naming such person or persons) pursuant to which the nominations are to be made by the stockholder. As used herein, shares "</w:t>
      </w:r>
      <w:r>
        <w:rPr>
          <w:rFonts w:ascii="Arial" w:cs="Arial" w:eastAsia="Arial" w:hAnsi="Arial"/>
          <w:sz w:val="16"/>
          <w:szCs w:val="16"/>
          <w:b w:val="1"/>
          <w:bCs w:val="1"/>
          <w:color w:val="auto"/>
        </w:rPr>
        <w:t>beneficially owned</w:t>
      </w:r>
      <w:r>
        <w:rPr>
          <w:rFonts w:ascii="Arial" w:cs="Arial" w:eastAsia="Arial" w:hAnsi="Arial"/>
          <w:sz w:val="16"/>
          <w:szCs w:val="16"/>
          <w:color w:val="auto"/>
        </w:rPr>
        <w:t>" shall mean all shares as to which such person, together with such person's affiliates and associates (as defined in Rule 12b-2 under the Act), may be deemed to beneficially own pursuant to Rules 13d-3 and 13d-5 under the Act, as well as all shares as to which such person, together with such person's affiliates and associates, has a right to become the beneficial owner pursuant to any agreement or understanding, whereupon the exercise of warrants, options or rights to convert or exchange (whether such rights are exercisable immediately or only after the passage of time or the occurrence of conditions). The person presiding at the meeting shall determine whether such notice has been duly given and shall direct that proposals and nominees not be considered if such notice has not been duly given. Notwithstanding anything in these Bylaws to the contrary, no business shall be conducted at a meeting except in accordance with the procedures set forth in this Section. Notwithstanding the foregoing provisions hereof, a stockholder shall also comply with all applicable requirements of the Act, and the rules and regulations thereunder with respect to the matters set forth herein.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DIRECTORS</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General Powers; Performance of Duties.</w:t>
      </w:r>
      <w:r>
        <w:rPr>
          <w:rFonts w:ascii="Arial" w:cs="Arial" w:eastAsia="Arial" w:hAnsi="Arial"/>
          <w:sz w:val="18"/>
          <w:szCs w:val="18"/>
          <w:color w:val="auto"/>
        </w:rPr>
        <w:t xml:space="preserve"> The business and affairs of the Corporation shall be managed by or under the direction of the Board of Directors, except as otherwise provided in Chapter 78 of the NRS or the Articles of Incorporation.</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Number, Tenure, and Qualifications.</w:t>
      </w:r>
      <w:r>
        <w:rPr>
          <w:rFonts w:ascii="Arial" w:cs="Arial" w:eastAsia="Arial" w:hAnsi="Arial"/>
          <w:sz w:val="16"/>
          <w:szCs w:val="16"/>
          <w:color w:val="auto"/>
        </w:rPr>
        <w:t xml:space="preserve"> The Board of Directors of the Corporation shall consist of at least one (1) individual(s) and not more than thirteen (13) individuals. The number of directors within the foregoing fixed minimum and maximum may be established and changed from time to time by resolution adopted by the Board of Directors of the Corporation without amendment to these Bylaws or the Articles of Incorporation. Each director shall hold office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Section shall be restrictive upon the right of the Board of Directors to fill vacancies or upon the right of the stockholders to remove directors as is hereinafter provided.</w:t>
      </w:r>
    </w:p>
    <w:p>
      <w:pPr>
        <w:spacing w:after="0" w:line="17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Chairman of the Board.</w:t>
      </w:r>
      <w:r>
        <w:rPr>
          <w:rFonts w:ascii="Arial" w:cs="Arial" w:eastAsia="Arial" w:hAnsi="Arial"/>
          <w:sz w:val="16"/>
          <w:szCs w:val="16"/>
          <w:color w:val="auto"/>
        </w:rPr>
        <w:t xml:space="preserve"> The Board of Directors shall elect a chairman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may be provided by law.</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i w:val="1"/>
          <w:iCs w:val="1"/>
          <w:color w:val="auto"/>
        </w:rPr>
        <w:t>Vice-Chairman of the Board.</w:t>
      </w:r>
      <w:r>
        <w:rPr>
          <w:rFonts w:ascii="Arial" w:cs="Arial" w:eastAsia="Arial" w:hAnsi="Arial"/>
          <w:sz w:val="16"/>
          <w:szCs w:val="16"/>
          <w:color w:val="auto"/>
        </w:rPr>
        <w:t xml:space="preserve"> The Board of Directors shall elect a vice-chairman of the board from the members of the Board of Directors who shall preside at all meetings of the Board of Directors and stockholders at which he or she shall be present and the chairman is not present and shall have and may exercise such powers as may, from time to time, be assigned to him or her by the Board of Directors, these Bylaws or as may be provided by law.</w:t>
      </w:r>
    </w:p>
    <w:p>
      <w:pPr>
        <w:spacing w:after="0" w:line="16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i w:val="1"/>
          <w:iCs w:val="1"/>
          <w:color w:val="auto"/>
        </w:rPr>
        <w:t>Classification and Elections.</w:t>
      </w:r>
      <w:r>
        <w:rPr>
          <w:rFonts w:ascii="Arial" w:cs="Arial" w:eastAsia="Arial" w:hAnsi="Arial"/>
          <w:sz w:val="16"/>
          <w:szCs w:val="16"/>
          <w:color w:val="auto"/>
        </w:rPr>
        <w:t xml:space="preserve"> Upon the effectiveness of the Corporation's registration statement on Form S-1 with respect to its initial public offering of common stock, the directors shall be classified, with respect to the time for which they shall hold their respective offices, by dividing them into three classes, to be known as "Class I," "Class II" and "Class III." Directors of Class I shall hold office until the next annual meeting of stockholders after such</w:t>
      </w:r>
    </w:p>
    <w:p>
      <w:pPr>
        <w:sectPr>
          <w:pgSz w:w="11900" w:h="16838" w:orient="portrait"/>
          <w:cols w:equalWidth="0" w:num="1">
            <w:col w:w="11400"/>
          </w:cols>
          <w:pgMar w:left="240" w:top="131" w:right="259" w:bottom="0" w:gutter="0" w:footer="0" w:header="0"/>
        </w:sectPr>
      </w:pPr>
    </w:p>
    <w:bookmarkStart w:id="133" w:name="page134"/>
    <w:bookmarkEnd w:id="133"/>
    <w:p>
      <w:pPr>
        <w:ind w:right="40"/>
        <w:spacing w:after="0" w:line="289" w:lineRule="auto"/>
        <w:rPr>
          <w:sz w:val="20"/>
          <w:szCs w:val="20"/>
          <w:color w:val="auto"/>
        </w:rPr>
      </w:pPr>
      <w:r>
        <w:rPr>
          <w:rFonts w:ascii="Arial" w:cs="Arial" w:eastAsia="Arial" w:hAnsi="Arial"/>
          <w:sz w:val="16"/>
          <w:szCs w:val="16"/>
          <w:color w:val="auto"/>
        </w:rPr>
        <w:t>effectiveness and until their successors are elected and qualified, directors of Class II shall hold office until the second annual meeting of stockholders after such effectiveness and until their successors are elected and qualified and directors of Class III shall hold office until the third annual meeting of stockholders after such effectiveness and until their successors are elected and qualified. At each annual meeting of stockholders following such effectiveness,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172" w:lineRule="exact"/>
        <w:rPr>
          <w:sz w:val="20"/>
          <w:szCs w:val="20"/>
          <w:color w:val="auto"/>
        </w:rPr>
      </w:pPr>
    </w:p>
    <w:p>
      <w:pPr>
        <w:jc w:val="both"/>
        <w:ind w:firstLine="351"/>
        <w:spacing w:after="0"/>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i w:val="1"/>
          <w:iCs w:val="1"/>
          <w:color w:val="auto"/>
        </w:rPr>
        <w:t>Removal and Resignation of Directors.</w:t>
      </w:r>
      <w:r>
        <w:rPr>
          <w:rFonts w:ascii="Arial" w:cs="Arial" w:eastAsia="Arial" w:hAnsi="Arial"/>
          <w:sz w:val="17"/>
          <w:szCs w:val="17"/>
          <w:color w:val="auto"/>
        </w:rPr>
        <w:t xml:space="preserve"> Subject to any rights of the holders of preferred stock and except as otherwise provided in the NRS, any director may be removed from office with or without cause by the affirmative vote of the holders of not less than two-thirds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Corporation, by majority vote, may declare vacant the office of a director who has been declared incompetent by an order of a court of competent jurisdiction, convicted of a felony or found to be unsuitable to serve as a director of the Corporation by a Gaming Authority in any jurisdiction in which the Corporation or any of its Affiliates holds a gaming license. Any director may resign effective upon giving written notice, unless the notice specifies a later time for effectiveness of such resignation, to the chairman of the board, if any, the president or the secretary, or in the absence of all of them, any other officer.</w:t>
      </w:r>
    </w:p>
    <w:p>
      <w:pPr>
        <w:spacing w:after="0" w:line="16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Vacancies; Newly Created Directorships.</w:t>
      </w:r>
      <w:r>
        <w:rPr>
          <w:rFonts w:ascii="Arial" w:cs="Arial" w:eastAsia="Arial" w:hAnsi="Arial"/>
          <w:sz w:val="18"/>
          <w:szCs w:val="18"/>
          <w:color w:val="auto"/>
        </w:rPr>
        <w:t xml:space="preserve"> Subject to any rights of the holders of preferred stock, any vacancies on the Board of Directors resulting from death, resignation, retirement, disqualification, removal from office, or other cause, and newly created directorships resulting from any increase in the authorized number of directors, may be filled by a majority vote of the directors then in office or by a sole remaining director, in either case though less than a quorum, and the director(s) so chosen shall hold office for a term expiring at the next annual meeting of stockholders at which the term of the class to which he or she has been elected expires, or until his or her earlier resignation or removal. No decrease in the number of directors constituting the Board of Directors shall shorten the term of any incumbent directors.</w:t>
      </w:r>
    </w:p>
    <w:p>
      <w:pPr>
        <w:spacing w:after="0" w:line="19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i w:val="1"/>
          <w:iCs w:val="1"/>
          <w:color w:val="auto"/>
        </w:rPr>
        <w:t>Annual and Regular Meetings.</w:t>
      </w:r>
      <w:r>
        <w:rPr>
          <w:rFonts w:ascii="Arial" w:cs="Arial" w:eastAsia="Arial" w:hAnsi="Arial"/>
          <w:sz w:val="16"/>
          <w:szCs w:val="16"/>
          <w:color w:val="auto"/>
        </w:rPr>
        <w:t xml:space="preserve"> Immediately following the adjournment of, and at the same place as, the annual or any special meeting of the stockholders at which directors are elected, the Board of Directors, including directors newly elected, shall hold its annual meeting without call or notice, other than this provision, to elect officers and to transact such further business as may be necessary or appropriate. The Board of Directors may provide by resolution the place, date, and hour for holding regular meetings between annual meetings.</w:t>
      </w:r>
    </w:p>
    <w:p>
      <w:pPr>
        <w:spacing w:after="0" w:line="167"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i w:val="1"/>
          <w:iCs w:val="1"/>
          <w:color w:val="auto"/>
        </w:rPr>
        <w:t>Special Meetings.</w:t>
      </w:r>
      <w:r>
        <w:rPr>
          <w:rFonts w:ascii="Arial" w:cs="Arial" w:eastAsia="Arial" w:hAnsi="Arial"/>
          <w:sz w:val="16"/>
          <w:szCs w:val="16"/>
          <w:color w:val="auto"/>
        </w:rPr>
        <w:t xml:space="preserve"> Except as otherwise required by law, and subject to any rights of the holders of preferred stock, special meetings of the Board of Directors may be called only by the chairman of the board, if any, or if there be no chairman of the board, by any of the chief executive officer, if any, the president, or the secretary, and shall be called by the chairman of the board, if any, the president, the chief executive officer, if any, or the secretary upon the request of at least a majority of the authorized number of directors. If the chairman of the board, or if there be no chairman of the board, each of the president, chief executive officer, if any, and secretary, refuses or neglects to call such special meeting, a special meeting may be called by a written request signed by at least a majority of the authorized number of directors.</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Any regular or special meeting of the directors of the Corporation may be held at such place as the Board of Directors, or in the absence of such designation, as the notice calling such meeting, may designate. A waiver of notice signed by the directors may designate any place for the holding of such meeting.</w:t>
      </w:r>
    </w:p>
    <w:p>
      <w:pPr>
        <w:spacing w:after="0" w:line="194"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i w:val="1"/>
          <w:iCs w:val="1"/>
          <w:color w:val="auto"/>
        </w:rPr>
        <w:t>Notice of Meetings.</w:t>
      </w:r>
      <w:r>
        <w:rPr>
          <w:rFonts w:ascii="Arial" w:cs="Arial" w:eastAsia="Arial" w:hAnsi="Arial"/>
          <w:sz w:val="16"/>
          <w:szCs w:val="16"/>
          <w:color w:val="auto"/>
        </w:rPr>
        <w:t xml:space="preserve"> Except as otherwise provided in Section 3.8 above, there shall be delivered to each director at the address appearing for him or her on the records of the Corporation, at least twenty-four (24) hours before the time of such meeting, a copy of a written notice of any meeting (a) by delivery of such notice personally, (b) by mailing such notice postage prepaid, (c) by facsimile, (d) by overnight courier, (e) by telegram, or (f) by electronic transmission or electronic writing, including, but not limited to, email. If mailed to an address inside the United States, the notice shall be deemed delivered two</w:t>
      </w:r>
    </w:p>
    <w:p>
      <w:pPr>
        <w:spacing w:after="0" w:line="3" w:lineRule="exact"/>
        <w:rPr>
          <w:sz w:val="20"/>
          <w:szCs w:val="20"/>
          <w:color w:val="auto"/>
        </w:rPr>
      </w:pPr>
    </w:p>
    <w:p>
      <w:pPr>
        <w:ind w:right="20" w:firstLine="8"/>
        <w:spacing w:after="0" w:line="253" w:lineRule="auto"/>
        <w:tabs>
          <w:tab w:leader="none" w:pos="24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facsimile, by electronic transmission or electronic writing, including, but not limited to, email, the notice shall be deemed delivered upon sender's receipt of confirmation of the successful transmission. If sent via overnight courier, the notice shall be deemed delivered the business day following the delivery of such notice to the courier. If the address of any director is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70"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i w:val="1"/>
          <w:iCs w:val="1"/>
          <w:color w:val="auto"/>
        </w:rPr>
        <w:t>Quorum; Adjourned Meetings.</w:t>
      </w:r>
    </w:p>
    <w:p>
      <w:pPr>
        <w:spacing w:after="0" w:line="225" w:lineRule="exact"/>
        <w:rPr>
          <w:sz w:val="20"/>
          <w:szCs w:val="20"/>
          <w:color w:val="auto"/>
        </w:rPr>
      </w:pPr>
    </w:p>
    <w:p>
      <w:pPr>
        <w:ind w:left="640" w:hanging="281"/>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majority of the directors in office, at a meeting duly assembled, is necessary to constitute a quorum for the transaction of business.</w:t>
      </w:r>
    </w:p>
    <w:p>
      <w:pPr>
        <w:spacing w:after="0" w:line="225" w:lineRule="exact"/>
        <w:rPr>
          <w:rFonts w:ascii="Arial" w:cs="Arial" w:eastAsia="Arial" w:hAnsi="Arial"/>
          <w:sz w:val="18"/>
          <w:szCs w:val="18"/>
          <w:color w:val="auto"/>
        </w:rPr>
      </w:pPr>
    </w:p>
    <w:p>
      <w:pPr>
        <w:ind w:right="160" w:firstLine="359"/>
        <w:spacing w:after="0" w:line="259" w:lineRule="auto"/>
        <w:tabs>
          <w:tab w:leader="none" w:pos="63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ectPr>
          <w:pgSz w:w="11900" w:h="16838" w:orient="portrait"/>
          <w:cols w:equalWidth="0" w:num="1">
            <w:col w:w="11420"/>
          </w:cols>
          <w:pgMar w:left="240" w:top="131" w:right="239" w:bottom="0" w:gutter="0" w:footer="0" w:header="0"/>
        </w:sectPr>
      </w:pPr>
    </w:p>
    <w:bookmarkStart w:id="134" w:name="page135"/>
    <w:bookmarkEnd w:id="134"/>
    <w:p>
      <w:pPr>
        <w:ind w:right="20" w:firstLine="351"/>
        <w:spacing w:after="0" w:line="268"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Manner of Acting.</w:t>
      </w:r>
      <w:r>
        <w:rPr>
          <w:rFonts w:ascii="Arial" w:cs="Arial" w:eastAsia="Arial" w:hAnsi="Arial"/>
          <w:sz w:val="18"/>
          <w:szCs w:val="18"/>
          <w:color w:val="auto"/>
        </w:rPr>
        <w:t xml:space="preserve"> Except as provided in Section 3.14 below, the affirmative vote of a majority of the directors present at a meeting at which a quorum is present is the act of the Board of Directors.</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i w:val="1"/>
          <w:iCs w:val="1"/>
          <w:color w:val="auto"/>
        </w:rPr>
        <w:t>Super-majority Approval.</w:t>
      </w:r>
      <w:r>
        <w:rPr>
          <w:rFonts w:ascii="Arial" w:cs="Arial" w:eastAsia="Arial" w:hAnsi="Arial"/>
          <w:sz w:val="18"/>
          <w:szCs w:val="18"/>
          <w:color w:val="auto"/>
        </w:rPr>
        <w:t xml:space="preserve"> Notwithstanding anything to the contrary contained in these Bylaws or the Articles of Incorporation, the following actions may be taken by the Corporation only upon the approval of two-thirds of the directors present at a meeting at which a quorum is present is the act of the Board of Directors:</w:t>
      </w:r>
    </w:p>
    <w:p>
      <w:pPr>
        <w:spacing w:after="0" w:line="194" w:lineRule="exact"/>
        <w:rPr>
          <w:sz w:val="20"/>
          <w:szCs w:val="20"/>
          <w:color w:val="auto"/>
        </w:rPr>
      </w:pPr>
    </w:p>
    <w:p>
      <w:pPr>
        <w:ind w:left="1180" w:hanging="281"/>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Corporation.</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Corporation.</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filing of a voluntary petition of bankruptcy by the Corporation.</w:t>
      </w:r>
    </w:p>
    <w:p>
      <w:pPr>
        <w:spacing w:after="0" w:line="225"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i w:val="1"/>
          <w:iCs w:val="1"/>
          <w:color w:val="auto"/>
        </w:rPr>
        <w:t>Telephonic Meetings.</w:t>
      </w:r>
      <w:r>
        <w:rPr>
          <w:rFonts w:ascii="Arial" w:cs="Arial" w:eastAsia="Arial" w:hAnsi="Arial"/>
          <w:sz w:val="16"/>
          <w:szCs w:val="16"/>
          <w:color w:val="auto"/>
        </w:rPr>
        <w:t xml:space="preserve"> Members of the Board of Directors or of any committee designated by the Board of Directors may participate in a meeting of the Board of Directors or such committee by means of a telephone conference or video or similar method of communication by which all persons participating in such meeting can hear each other. Participation in a meeting pursuant to this Section 3.15 constitutes presence in person at the meeting.</w:t>
      </w:r>
    </w:p>
    <w:p>
      <w:pPr>
        <w:spacing w:after="0" w:line="16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i w:val="1"/>
          <w:iCs w:val="1"/>
          <w:color w:val="auto"/>
        </w:rPr>
        <w:t>Action Without Meeting.</w:t>
      </w:r>
      <w:r>
        <w:rPr>
          <w:rFonts w:ascii="Arial" w:cs="Arial" w:eastAsia="Arial" w:hAnsi="Arial"/>
          <w:sz w:val="18"/>
          <w:szCs w:val="18"/>
          <w:color w:val="auto"/>
        </w:rPr>
        <w:t xml:space="preserve">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in counterparts, including, without limitation, facsimile counterparts, and shall be filed with the minutes of the proceedings of the Board of Directors or committee.</w:t>
      </w:r>
    </w:p>
    <w:p>
      <w:pPr>
        <w:spacing w:after="0" w:line="19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5"/>
          <w:szCs w:val="15"/>
          <w:i w:val="1"/>
          <w:iCs w:val="1"/>
          <w:color w:val="auto"/>
        </w:rPr>
        <w:t>Powers and Duties.</w:t>
      </w:r>
    </w:p>
    <w:p>
      <w:pPr>
        <w:spacing w:after="0" w:line="225" w:lineRule="exact"/>
        <w:rPr>
          <w:sz w:val="20"/>
          <w:szCs w:val="20"/>
          <w:color w:val="auto"/>
        </w:rPr>
      </w:pPr>
    </w:p>
    <w:p>
      <w:pPr>
        <w:ind w:right="40" w:firstLine="359"/>
        <w:spacing w:after="0" w:line="256" w:lineRule="auto"/>
        <w:tabs>
          <w:tab w:leader="none" w:pos="63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Except as otherwise restricted by the laws of the State of Nevada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may be deemed fit.</w:t>
      </w:r>
    </w:p>
    <w:p>
      <w:pPr>
        <w:spacing w:after="0" w:line="197" w:lineRule="exact"/>
        <w:rPr>
          <w:rFonts w:ascii="Arial" w:cs="Arial" w:eastAsia="Arial" w:hAnsi="Arial"/>
          <w:sz w:val="18"/>
          <w:szCs w:val="18"/>
          <w:color w:val="auto"/>
        </w:rPr>
      </w:pPr>
    </w:p>
    <w:p>
      <w:pPr>
        <w:ind w:right="240" w:firstLine="359"/>
        <w:spacing w:after="0" w:line="268" w:lineRule="auto"/>
        <w:tabs>
          <w:tab w:leader="none" w:pos="64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Board of Directors, in its discretion, or the officer of the Corporation presiding at a meeting of stockholders, in his discretion, may (i) require that any votes cast at such meeting shall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cast by written ballot, and/or (ii) submit any contract or act for approval or ratification at any annual meeting of the stockholders or any special meeting properly called and noticed for the purpose of considering any such contract or act, provided a quorum is present.</w:t>
      </w:r>
    </w:p>
    <w:p>
      <w:pPr>
        <w:spacing w:after="0" w:line="186" w:lineRule="exact"/>
        <w:rPr>
          <w:sz w:val="20"/>
          <w:szCs w:val="20"/>
          <w:color w:val="auto"/>
        </w:rPr>
      </w:pPr>
    </w:p>
    <w:p>
      <w:pPr>
        <w:ind w:right="60" w:firstLine="359"/>
        <w:spacing w:after="0" w:line="289" w:lineRule="auto"/>
        <w:tabs>
          <w:tab w:leader="none" w:pos="63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The Board of Directors, without regard to personal interest, may establish the compensation of directors for services in any capacity. If the Board of Directors establishes the compensation of directors pursuant to this subsection, such compensation is presumed to be fair to the Corporation unless proven unfair by a preponderance of the evidence.</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i w:val="1"/>
          <w:iCs w:val="1"/>
          <w:color w:val="auto"/>
        </w:rPr>
        <w:t>Organization.</w:t>
      </w:r>
      <w:r>
        <w:rPr>
          <w:rFonts w:ascii="Arial" w:cs="Arial" w:eastAsia="Arial" w:hAnsi="Arial"/>
          <w:sz w:val="16"/>
          <w:szCs w:val="16"/>
          <w:color w:val="auto"/>
        </w:rPr>
        <w:t xml:space="preserve"> Meetings of the Board of Directors shall be presided over by the chairman of the board, or in the absence of the chairman of the board by the vice-chairman,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Election.</w:t>
      </w:r>
      <w:r>
        <w:rPr>
          <w:rFonts w:ascii="Arial" w:cs="Arial" w:eastAsia="Arial" w:hAnsi="Arial"/>
          <w:sz w:val="18"/>
          <w:szCs w:val="18"/>
          <w:color w:val="auto"/>
        </w:rPr>
        <w:t xml:space="preserve"> The Board of Directors, at its annual meeting, shall elect and appoint a president, a secretary and a treasurer. Said officers shall serve until the next succeeding annual meeting of the Board of Directors and until their respective successors are elected and appointed and shall qualify or until their earlier resignation or removal. The Board of Directors may from time to time, by resolution, elect or appoint such other officers and agents as it may deem advisable, who shall hold office at the pleasure of the board, and shall have such powers and duties and be paid such compensation as may be directed by the board. Any individual may hold two or more offices.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Removal; Resignation.</w:t>
      </w:r>
      <w:r>
        <w:rPr>
          <w:rFonts w:ascii="Arial" w:cs="Arial" w:eastAsia="Arial" w:hAnsi="Arial"/>
          <w:sz w:val="18"/>
          <w:szCs w:val="18"/>
          <w:color w:val="auto"/>
        </w:rPr>
        <w:t xml:space="preserve">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Vacancies.</w:t>
      </w:r>
      <w:r>
        <w:rPr>
          <w:rFonts w:ascii="Arial" w:cs="Arial" w:eastAsia="Arial" w:hAnsi="Arial"/>
          <w:sz w:val="18"/>
          <w:szCs w:val="18"/>
          <w:color w:val="auto"/>
        </w:rPr>
        <w:t xml:space="preserve"> Any vacancy in any office because of death, resignation, removal or otherwise may be filled by the Board of Directors for the unexpired portion of the term of such office.</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Chief Executive Officer.</w:t>
      </w:r>
      <w:r>
        <w:rPr>
          <w:rFonts w:ascii="Arial" w:cs="Arial" w:eastAsia="Arial" w:hAnsi="Arial"/>
          <w:sz w:val="16"/>
          <w:szCs w:val="16"/>
          <w:color w:val="auto"/>
        </w:rPr>
        <w:t xml:space="preserve"> The Board of Directors may elect a chief executive officer who, subject to the supervision and control of the Board of Directors, shall have the ultimate responsibility for the management and control of the business and affairs of the Corporation, and shall</w:t>
      </w:r>
    </w:p>
    <w:p>
      <w:pPr>
        <w:sectPr>
          <w:pgSz w:w="11900" w:h="16838" w:orient="portrait"/>
          <w:cols w:equalWidth="0" w:num="1">
            <w:col w:w="11420"/>
          </w:cols>
          <w:pgMar w:left="240" w:top="131" w:right="239" w:bottom="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perform such other duties and have such other powers which are delegated to him or her by the Board of Directors, these Bylaws or as may be provided by law.</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President.</w:t>
      </w:r>
      <w:r>
        <w:rPr>
          <w:rFonts w:ascii="Arial" w:cs="Arial" w:eastAsia="Arial" w:hAnsi="Arial"/>
          <w:sz w:val="16"/>
          <w:szCs w:val="16"/>
          <w:color w:val="auto"/>
        </w:rPr>
        <w:t xml:space="preserve"> The president, subject to the supervision and control of the Board of Directors, shall in general actively supervise and control the business and affairs of the Corporation. The president shall keep the Board of Directors fully informed as the Board of Directors may request and shall consult the Board of Directors concerning the business of the Corporation. The president shall perform such other duties and have such other powers which are delegated and assigned to him or her by the Board of Directors if any, these Bylaws or as may be provided by law.</w:t>
      </w:r>
    </w:p>
    <w:p>
      <w:pPr>
        <w:spacing w:after="0" w:line="167"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i w:val="1"/>
          <w:iCs w:val="1"/>
          <w:color w:val="auto"/>
        </w:rPr>
        <w:t>Vice Presidents.</w:t>
      </w:r>
      <w:r>
        <w:rPr>
          <w:rFonts w:ascii="Arial" w:cs="Arial" w:eastAsia="Arial" w:hAnsi="Arial"/>
          <w:sz w:val="18"/>
          <w:szCs w:val="18"/>
          <w:color w:val="auto"/>
        </w:rPr>
        <w:t xml:space="preserve">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may be provided by law.</w:t>
      </w:r>
    </w:p>
    <w:p>
      <w:pPr>
        <w:spacing w:after="0" w:line="19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i w:val="1"/>
          <w:iCs w:val="1"/>
          <w:color w:val="auto"/>
        </w:rPr>
        <w:t>Secretary.</w:t>
      </w:r>
      <w:r>
        <w:rPr>
          <w:rFonts w:ascii="Arial" w:cs="Arial" w:eastAsia="Arial" w:hAnsi="Arial"/>
          <w:sz w:val="16"/>
          <w:szCs w:val="16"/>
          <w:color w:val="auto"/>
        </w:rPr>
        <w:t xml:space="preserve"> The secretary shall attend all meetings of the stockholders, the Board of Directors and any committees, and shall keep, or cause to be kept, the minutes of proceeds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the records of the Corporation, the stock certificate books, transfer books and stock ledgers, and such other books and papers as the Board of Directors or appropriate committee may direct. The secretary shall perform all other duties commonly incident to his or her office and shall perform such other duties which are assigned to him or her by the Board of Directors, the chief executive officer, if any, the president, these Bylaws or as may be provided by law.</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i w:val="1"/>
          <w:iCs w:val="1"/>
          <w:color w:val="auto"/>
        </w:rPr>
        <w:t>Assistant Secretaries.</w:t>
      </w:r>
      <w:r>
        <w:rPr>
          <w:rFonts w:ascii="Arial" w:cs="Arial" w:eastAsia="Arial" w:hAnsi="Arial"/>
          <w:sz w:val="18"/>
          <w:szCs w:val="18"/>
          <w:color w:val="auto"/>
        </w:rPr>
        <w:t xml:space="preserve"> An assistant secretary shall, at the request of the secretary, or in the absence or disability of the secretary, perform all the duties of the secretary. He or she shall perform such other duties as are assigned to him or her by the Board of Directors, the chief executive officer, if any, the president, these Bylaws or as may be provided by law.</w:t>
      </w:r>
    </w:p>
    <w:p>
      <w:pPr>
        <w:spacing w:after="0" w:line="194"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i w:val="1"/>
          <w:iCs w:val="1"/>
          <w:color w:val="auto"/>
        </w:rPr>
        <w:t>Treasurer.</w:t>
      </w:r>
      <w:r>
        <w:rPr>
          <w:rFonts w:ascii="Arial" w:cs="Arial" w:eastAsia="Arial" w:hAnsi="Arial"/>
          <w:sz w:val="16"/>
          <w:szCs w:val="16"/>
          <w:color w:val="auto"/>
        </w:rPr>
        <w:t xml:space="preserve"> The treasurer, subject to the order of the Board of Directors, shall have the care and custody of, and be responsible for, all of the money, funds, securities, receipts and valuable papers, documents and instruments of the Corporation, and all books and records relating thereto. The treasurer shall keep, or cause to be kept, full and accurate books of accounts of the Corporation's transactions, which shall be the property of the Corporation, and shall render financial reports and statements of condition of the Corporation when so requested by the Board of Directors, the chairman of the board, if any, the chief executive officer, if any, or the president. The treasurer shall perform all other duties commonly incident to his or her office and such other duties as may, from time to time, be assigned to him or her by the Board of Directors, the chief executive officer, if any, the president, these Bylaws or as may be provided by law. The treasurer shall, if required by the Board of Directors, give bond to the Corporation in such sum and with such security as shall be approved by the Board of Directors for the faithful performance of all the duties of the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Assistant Treasurers.</w:t>
      </w:r>
      <w:r>
        <w:rPr>
          <w:rFonts w:ascii="Arial" w:cs="Arial" w:eastAsia="Arial" w:hAnsi="Arial"/>
          <w:sz w:val="16"/>
          <w:szCs w:val="16"/>
          <w:color w:val="auto"/>
        </w:rPr>
        <w:t xml:space="preserve">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the president, the treasurer, these Bylaws or as may be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Execution of Negotiable Instruments, Deeds and Contracts.</w:t>
      </w:r>
      <w:r>
        <w:rPr>
          <w:rFonts w:ascii="Arial" w:cs="Arial" w:eastAsia="Arial" w:hAnsi="Arial"/>
          <w:sz w:val="16"/>
          <w:szCs w:val="16"/>
          <w:color w:val="auto"/>
        </w:rPr>
        <w:t xml:space="preserve"> All checks, drafts, notes, bonds, bills of exchange, and orders for the payment of money of the Corporation; all deeds, mortgages, proxies, powers of attorney and other written contracts, documents, instruments and agreements to which the Corporation shall be a party; and all assignments or endorsements of stock certificates, registered bonds or other securities owned by the Corporation shall be signed in the name of the Corporation by such officers or other persons as the Board of Directors may from time to time designate. The Board of Directors may authorize the use of the facsimile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1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Issuance.</w:t>
      </w:r>
      <w:r>
        <w:rPr>
          <w:rFonts w:ascii="Arial" w:cs="Arial" w:eastAsia="Arial" w:hAnsi="Arial"/>
          <w:sz w:val="18"/>
          <w:szCs w:val="18"/>
          <w:color w:val="auto"/>
        </w:rPr>
        <w:t xml:space="preserve"> Shares of the Corporation's authorized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ectPr>
          <w:pgSz w:w="11900" w:h="16838" w:orient="portrait"/>
          <w:cols w:equalWidth="0" w:num="1">
            <w:col w:w="11420"/>
          </w:cols>
          <w:pgMar w:left="240" w:top="131" w:right="239" w:bottom="76" w:gutter="0" w:footer="0" w:header="0"/>
        </w:sectPr>
      </w:pPr>
    </w:p>
    <w:bookmarkStart w:id="136" w:name="page137"/>
    <w:bookmarkEnd w:id="136"/>
    <w:p>
      <w:pPr>
        <w:ind w:firstLine="351"/>
        <w:spacing w:after="0" w:line="28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i w:val="1"/>
          <w:iCs w:val="1"/>
          <w:color w:val="auto"/>
        </w:rPr>
        <w:t>Stock Certificates and Uncertified Shares.</w:t>
      </w:r>
      <w:r>
        <w:rPr>
          <w:rFonts w:ascii="Arial" w:cs="Arial" w:eastAsia="Arial" w:hAnsi="Arial"/>
          <w:sz w:val="16"/>
          <w:szCs w:val="16"/>
          <w:color w:val="auto"/>
        </w:rPr>
        <w:t xml:space="preserve"> Every holder of stock in the Corporation shall be entitled to have a certificate signed by or in the name of the Corporation by the president, the chief executive officer, if any, or a vice president, and by the secretary or an assistant secretary, of the Corporation (or any other two officers or agents so authorized by the Board of Directors), certifying the number of shares of stock owned by him, her or it in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of Directors may authorize the issuance of uncertificated shares of some or all of any or all classes or series of the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Any such issuance of uncertificated shares shall have no effect on existing certificates for shares until such certificates are surrendered to the Corporation, or on the respective rights and obligations of the stockholders. Whenever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78"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Within a reasonable time after the issuance or transfer of uncertificated shares, the Corporation shall send to the registered owner thereof a written statement certifying the number of shares owned by him, her or it in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law, the rights and obligations of the stockholders shall be identical whether or not their shares of stock are represented by certificates.</w:t>
      </w:r>
    </w:p>
    <w:p>
      <w:pPr>
        <w:spacing w:after="0" w:line="152"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above, all certificates evidencing shares of the Corporation's stock or other securities issued by the Corporation shall contain such legend or legends as may from time to time be required by the NRS and/or the regulations of the Nevada Gaming Commission then in effect, or such other federal, state or local laws or regulations then in effect.</w:t>
      </w:r>
    </w:p>
    <w:p>
      <w:pPr>
        <w:spacing w:after="0" w:line="20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Surrendered; Lost or Destroyed Certificates.</w:t>
      </w:r>
      <w:r>
        <w:rPr>
          <w:rFonts w:ascii="Arial" w:cs="Arial" w:eastAsia="Arial" w:hAnsi="Arial"/>
          <w:sz w:val="18"/>
          <w:szCs w:val="18"/>
          <w:color w:val="auto"/>
        </w:rPr>
        <w:t xml:space="preserve">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Replacement Certificate.</w:t>
      </w:r>
      <w:r>
        <w:rPr>
          <w:rFonts w:ascii="Arial" w:cs="Arial" w:eastAsia="Arial" w:hAnsi="Arial"/>
          <w:sz w:val="16"/>
          <w:szCs w:val="16"/>
          <w:color w:val="auto"/>
        </w:rPr>
        <w:t xml:space="preserve">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72"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i w:val="1"/>
          <w:iCs w:val="1"/>
          <w:color w:val="auto"/>
        </w:rPr>
        <w:t>Transfer of Shares.</w:t>
      </w:r>
      <w:r>
        <w:rPr>
          <w:rFonts w:ascii="Arial" w:cs="Arial" w:eastAsia="Arial" w:hAnsi="Arial"/>
          <w:sz w:val="15"/>
          <w:szCs w:val="15"/>
          <w:color w:val="auto"/>
        </w:rPr>
        <w:t xml:space="preserve"> No transfer of stock shall be valid as against the Corporation except on surrender and cancellation of the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142"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i w:val="1"/>
          <w:iCs w:val="1"/>
          <w:color w:val="auto"/>
        </w:rPr>
        <w:t>Transfer Agent; Registrars.</w:t>
      </w:r>
      <w:r>
        <w:rPr>
          <w:rFonts w:ascii="Arial" w:cs="Arial" w:eastAsia="Arial" w:hAnsi="Arial"/>
          <w:sz w:val="16"/>
          <w:szCs w:val="16"/>
          <w:color w:val="auto"/>
        </w:rPr>
        <w:t xml:space="preserve">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139"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i w:val="1"/>
          <w:iCs w:val="1"/>
          <w:color w:val="auto"/>
        </w:rPr>
        <w:t>Miscellaneous.</w:t>
      </w:r>
      <w:r>
        <w:rPr>
          <w:rFonts w:ascii="Arial" w:cs="Arial" w:eastAsia="Arial" w:hAnsi="Arial"/>
          <w:sz w:val="16"/>
          <w:szCs w:val="16"/>
          <w:color w:val="auto"/>
        </w:rPr>
        <w:t xml:space="preserve">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139"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Nevada Control Share Law.</w:t>
      </w:r>
      <w:r>
        <w:rPr>
          <w:rFonts w:ascii="Arial" w:cs="Arial" w:eastAsia="Arial" w:hAnsi="Arial"/>
          <w:sz w:val="18"/>
          <w:szCs w:val="18"/>
          <w:color w:val="auto"/>
        </w:rPr>
        <w:t xml:space="preserve"> The provisions of NRS 78.378 to NRS 78.3793, inclusive, do not, and shall not, apply to any acquisition of a controlling interest in the Corporation pursuant to the Buy-Sell Agreement dated as of June 13, 2002, as amended, by and among Stephen A. Wynn, Kazuo Okada, Aruze USA, Inc., and Aruze Corp.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1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Distributions may be declared, subject to the provisions of the laws of the State of Nevada and the Articles of Incorporation, by the Board of Directors and may be paid in cash, property, shares of corporate stock, or any other medium. The Board of Directors may fix in advance a record date, as provided in Section 2.5 above, prior to the distribution for the purpose of determining stockholders entitled to receive any distribution.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RECORDS; REPORTS; SEAL; AND FINANCIAL MATTERS</w:t>
      </w:r>
    </w:p>
    <w:p>
      <w:pPr>
        <w:spacing w:after="0" w:line="219"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Records.</w:t>
      </w:r>
      <w:r>
        <w:rPr>
          <w:rFonts w:ascii="Arial" w:cs="Arial" w:eastAsia="Arial" w:hAnsi="Arial"/>
          <w:sz w:val="18"/>
          <w:szCs w:val="18"/>
          <w:color w:val="auto"/>
        </w:rPr>
        <w:t xml:space="preserve"> All original records of the Corporation, shall be kept at the principal office of the Corporation by or under the direction of the secretary or at such other place or by such other person as may be prescribed by these Bylaws or the Board of Directors.</w:t>
      </w:r>
    </w:p>
    <w:p>
      <w:pPr>
        <w:sectPr>
          <w:pgSz w:w="11900" w:h="16838" w:orient="portrait"/>
          <w:cols w:equalWidth="0" w:num="1">
            <w:col w:w="11420"/>
          </w:cols>
          <w:pgMar w:left="240" w:top="131" w:right="239" w:bottom="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Corporate Seal.</w:t>
      </w:r>
      <w:r>
        <w:rPr>
          <w:rFonts w:ascii="Arial" w:cs="Arial" w:eastAsia="Arial" w:hAnsi="Arial"/>
          <w:sz w:val="18"/>
          <w:szCs w:val="18"/>
          <w:color w:val="auto"/>
        </w:rPr>
        <w:t xml:space="preserve"> The Board of Directors may, by resolution, authorize a seal, and the seal may be used by causing it, or a facsimile, to be impressed or affixed or reproduced or otherwise. Except when otherwise specifically provided herein, any officer of the Corporation shall have the authority to affix the seal to any document requiring it.</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Fiscal Year-End.</w:t>
      </w:r>
      <w:r>
        <w:rPr>
          <w:rFonts w:ascii="Arial" w:cs="Arial" w:eastAsia="Arial" w:hAnsi="Arial"/>
          <w:sz w:val="18"/>
          <w:szCs w:val="18"/>
          <w:color w:val="auto"/>
        </w:rPr>
        <w:t xml:space="preserve"> The fiscal year-end of the Corporation shall be such date as may be fixed from time to time by resolution of the Board of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9"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i w:val="1"/>
          <w:iCs w:val="1"/>
          <w:color w:val="auto"/>
        </w:rPr>
        <w:t>Indemnification and Insurance.</w:t>
      </w:r>
    </w:p>
    <w:p>
      <w:pPr>
        <w:spacing w:after="0" w:line="225" w:lineRule="exact"/>
        <w:rPr>
          <w:sz w:val="20"/>
          <w:szCs w:val="20"/>
          <w:color w:val="auto"/>
        </w:rPr>
      </w:pPr>
    </w:p>
    <w:p>
      <w:pPr>
        <w:ind w:left="1260" w:hanging="361"/>
        <w:spacing w:after="0"/>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Indemnification of Directors and Officers.</w:t>
      </w:r>
    </w:p>
    <w:p>
      <w:pPr>
        <w:spacing w:after="0" w:line="219" w:lineRule="exact"/>
        <w:rPr>
          <w:rFonts w:ascii="Arial" w:cs="Arial" w:eastAsia="Arial" w:hAnsi="Arial"/>
          <w:sz w:val="18"/>
          <w:szCs w:val="18"/>
          <w:color w:val="auto"/>
        </w:rPr>
      </w:pPr>
    </w:p>
    <w:p>
      <w:pPr>
        <w:ind w:left="1080" w:right="20" w:firstLine="447"/>
        <w:spacing w:after="0" w:line="304" w:lineRule="auto"/>
        <w:tabs>
          <w:tab w:leader="none" w:pos="1772" w:val="left"/>
        </w:tabs>
        <w:numPr>
          <w:ilvl w:val="3"/>
          <w:numId w:val="187"/>
        </w:numPr>
        <w:rPr>
          <w:rFonts w:ascii="Arial" w:cs="Arial" w:eastAsia="Arial" w:hAnsi="Arial"/>
          <w:sz w:val="15"/>
          <w:szCs w:val="15"/>
          <w:color w:val="auto"/>
        </w:rPr>
      </w:pPr>
      <w:r>
        <w:rPr>
          <w:rFonts w:ascii="Arial" w:cs="Arial" w:eastAsia="Arial" w:hAnsi="Arial"/>
          <w:sz w:val="15"/>
          <w:szCs w:val="15"/>
          <w:color w:val="auto"/>
        </w:rPr>
        <w:t>For purposes of this Article, (A) "</w:t>
      </w:r>
      <w:r>
        <w:rPr>
          <w:rFonts w:ascii="Arial" w:cs="Arial" w:eastAsia="Arial" w:hAnsi="Arial"/>
          <w:sz w:val="15"/>
          <w:szCs w:val="15"/>
          <w:b w:val="1"/>
          <w:bCs w:val="1"/>
          <w:color w:val="auto"/>
        </w:rPr>
        <w:t>Indemnitee</w:t>
      </w:r>
      <w:r>
        <w:rPr>
          <w:rFonts w:ascii="Arial" w:cs="Arial" w:eastAsia="Arial" w:hAnsi="Arial"/>
          <w:sz w:val="15"/>
          <w:szCs w:val="15"/>
          <w:color w:val="auto"/>
        </w:rPr>
        <w:t>" shall mean each director or officer who was or is a party to, or is threatened to be made a party to, or is otherwise involved in, any Proceeding (as hereinafter defined), by reason of the fact that he or she is or was a director or officer of the Corporation or member, manager or managing member of a predecessor limited liability company or affiliate of such limited liability company or is or was serving in any capacity at the request of the Corporation as a director, officer, employee, agent, partner, member, manager or fiduciary of, or in any other capacity for, another corporation or any partnership, joint venture, limited liability company, trust, or other enterprise; and</w:t>
      </w:r>
    </w:p>
    <w:p>
      <w:pPr>
        <w:ind w:left="1080" w:right="340" w:firstLine="8"/>
        <w:spacing w:after="0" w:line="261" w:lineRule="auto"/>
        <w:tabs>
          <w:tab w:leader="none" w:pos="135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91" w:lineRule="exact"/>
        <w:rPr>
          <w:rFonts w:ascii="Arial" w:cs="Arial" w:eastAsia="Arial" w:hAnsi="Arial"/>
          <w:sz w:val="18"/>
          <w:szCs w:val="18"/>
          <w:color w:val="auto"/>
        </w:rPr>
      </w:pPr>
    </w:p>
    <w:p>
      <w:pPr>
        <w:ind w:left="1080" w:right="20" w:firstLine="360"/>
        <w:spacing w:after="0" w:line="285" w:lineRule="auto"/>
        <w:tabs>
          <w:tab w:leader="none" w:pos="1734" w:val="left"/>
        </w:tabs>
        <w:numPr>
          <w:ilvl w:val="2"/>
          <w:numId w:val="187"/>
        </w:numPr>
        <w:rPr>
          <w:rFonts w:ascii="Arial" w:cs="Arial" w:eastAsia="Arial" w:hAnsi="Arial"/>
          <w:sz w:val="16"/>
          <w:szCs w:val="16"/>
          <w:color w:val="auto"/>
        </w:rPr>
      </w:pPr>
      <w:r>
        <w:rPr>
          <w:rFonts w:ascii="Arial" w:cs="Arial" w:eastAsia="Arial" w:hAnsi="Arial"/>
          <w:sz w:val="16"/>
          <w:szCs w:val="16"/>
          <w:color w:val="auto"/>
        </w:rPr>
        <w:t xml:space="preserve">Each Indemnitee shall be indemnified and held harmless by the Corporation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line="306" w:lineRule="auto"/>
        <w:rPr>
          <w:sz w:val="20"/>
          <w:szCs w:val="20"/>
          <w:color w:val="auto"/>
        </w:rPr>
      </w:pPr>
      <w:r>
        <w:rPr>
          <w:rFonts w:ascii="Arial" w:cs="Arial" w:eastAsia="Arial" w:hAnsi="Arial"/>
          <w:sz w:val="16"/>
          <w:szCs w:val="16"/>
          <w:color w:val="auto"/>
        </w:rPr>
        <w:t>proceeding (including without limitation, an action, suit or proceeding by or in the right of the Corporation), whether civil, criminal, administrative or investigative, that such director or officer incurred in his or her capacity as a stockholder, including, but not limited to, in connection with such person being deemed an Unsuitable Person (as defined in Article VII of the Articles of Incorporation).</w:t>
      </w:r>
    </w:p>
    <w:p>
      <w:pPr>
        <w:spacing w:after="0" w:line="161" w:lineRule="exact"/>
        <w:rPr>
          <w:sz w:val="20"/>
          <w:szCs w:val="20"/>
          <w:color w:val="auto"/>
        </w:rPr>
      </w:pPr>
    </w:p>
    <w:p>
      <w:pPr>
        <w:ind w:left="1080" w:right="100" w:firstLine="360"/>
        <w:spacing w:after="0" w:line="323" w:lineRule="auto"/>
        <w:tabs>
          <w:tab w:leader="none" w:pos="1782" w:val="left"/>
        </w:tabs>
        <w:numPr>
          <w:ilvl w:val="1"/>
          <w:numId w:val="188"/>
        </w:numPr>
        <w:rPr>
          <w:rFonts w:ascii="Arial" w:cs="Arial" w:eastAsia="Arial" w:hAnsi="Arial"/>
          <w:sz w:val="15"/>
          <w:szCs w:val="15"/>
          <w:color w:val="auto"/>
        </w:rPr>
      </w:pPr>
      <w:r>
        <w:rPr>
          <w:rFonts w:ascii="Arial" w:cs="Arial" w:eastAsia="Arial" w:hAnsi="Arial"/>
          <w:sz w:val="15"/>
          <w:szCs w:val="15"/>
          <w:color w:val="auto"/>
        </w:rPr>
        <w:t>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51" w:lineRule="exact"/>
        <w:rPr>
          <w:rFonts w:ascii="Arial" w:cs="Arial" w:eastAsia="Arial" w:hAnsi="Arial"/>
          <w:sz w:val="15"/>
          <w:szCs w:val="15"/>
          <w:color w:val="auto"/>
        </w:rPr>
      </w:pPr>
    </w:p>
    <w:p>
      <w:pPr>
        <w:ind w:left="1080" w:right="20" w:firstLine="360"/>
        <w:spacing w:after="0" w:line="314" w:lineRule="auto"/>
        <w:tabs>
          <w:tab w:leader="none" w:pos="1769"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The expenses of Indemnitees must be paid by the Corporation or through insurance purchased and maintained by the Corporation or through other financial arrangements made by the Corporation, as they are incurred and in advance of the final disposition of the Proceeding, upon receipt of an undertaking by or on behalf of the director or officer to repay the amount if it is ultimately determined by a court of competent jurisdiction that he or she is not entitled to be indemnified by the Corporation. To the extent that a director or officer of the Corporation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58" w:lineRule="exact"/>
        <w:rPr>
          <w:rFonts w:ascii="Arial" w:cs="Arial" w:eastAsia="Arial" w:hAnsi="Arial"/>
          <w:sz w:val="15"/>
          <w:szCs w:val="15"/>
          <w:color w:val="auto"/>
        </w:rPr>
      </w:pPr>
    </w:p>
    <w:p>
      <w:pPr>
        <w:ind w:left="540" w:right="40" w:firstLine="359"/>
        <w:spacing w:after="0" w:line="268" w:lineRule="auto"/>
        <w:tabs>
          <w:tab w:leader="none" w:pos="1271"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Employees and Other Persons. </w:t>
      </w:r>
      <w:r>
        <w:rPr>
          <w:rFonts w:ascii="Arial" w:cs="Arial" w:eastAsia="Arial" w:hAnsi="Arial"/>
          <w:sz w:val="18"/>
          <w:szCs w:val="18"/>
          <w:color w:val="auto"/>
        </w:rPr>
        <w:t>The Corporation may, by action of its Board of Directors and to the extent provided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indemnify employees and other persons as though they were Indemnitees.</w:t>
      </w:r>
    </w:p>
    <w:p>
      <w:pPr>
        <w:spacing w:after="0" w:line="185" w:lineRule="exact"/>
        <w:rPr>
          <w:rFonts w:ascii="Arial" w:cs="Arial" w:eastAsia="Arial" w:hAnsi="Arial"/>
          <w:sz w:val="18"/>
          <w:szCs w:val="18"/>
          <w:color w:val="auto"/>
        </w:rPr>
      </w:pPr>
    </w:p>
    <w:p>
      <w:pPr>
        <w:ind w:left="540" w:right="40" w:firstLine="359"/>
        <w:spacing w:after="0" w:line="259" w:lineRule="auto"/>
        <w:tabs>
          <w:tab w:leader="none" w:pos="1262"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Non-Exclusivity of Rights. </w:t>
      </w:r>
      <w:r>
        <w:rPr>
          <w:rFonts w:ascii="Arial" w:cs="Arial" w:eastAsia="Arial" w:hAnsi="Arial"/>
          <w:sz w:val="18"/>
          <w:szCs w:val="18"/>
          <w:color w:val="auto"/>
        </w:rPr>
        <w:t>The rights to indemnification provided in this Article shall not be exclusive of any other rights that any person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hereafter acquire under any statute, provision of the Articles of Incorporation or these Bylaws, agreement, vote of stockholders or directors, or otherwise.</w:t>
      </w:r>
    </w:p>
    <w:p>
      <w:pPr>
        <w:spacing w:after="0" w:line="194" w:lineRule="exact"/>
        <w:rPr>
          <w:rFonts w:ascii="Arial" w:cs="Arial" w:eastAsia="Arial" w:hAnsi="Arial"/>
          <w:sz w:val="18"/>
          <w:szCs w:val="18"/>
          <w:color w:val="auto"/>
        </w:rPr>
      </w:pPr>
    </w:p>
    <w:p>
      <w:pPr>
        <w:ind w:left="540" w:right="140" w:firstLine="359"/>
        <w:spacing w:after="0" w:line="256" w:lineRule="auto"/>
        <w:tabs>
          <w:tab w:leader="none" w:pos="1271"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Corporation may purchase and maintain insurance or make other financial arrangements on behalf of any Indemnitee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ectPr>
          <w:pgSz w:w="11900" w:h="16838" w:orient="portrait"/>
          <w:cols w:equalWidth="0" w:num="1">
            <w:col w:w="11420"/>
          </w:cols>
          <w:pgMar w:left="240" w:top="131" w:right="239" w:bottom="0" w:gutter="0" w:footer="0" w:header="0"/>
        </w:sectPr>
      </w:pPr>
    </w:p>
    <w:bookmarkStart w:id="138" w:name="page139"/>
    <w:bookmarkEnd w:id="138"/>
    <w:p>
      <w:pPr>
        <w:ind w:left="540" w:firstLine="359"/>
        <w:spacing w:after="0" w:line="254" w:lineRule="auto"/>
        <w:tabs>
          <w:tab w:leader="none" w:pos="1262"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Other Financial Arrangements. </w:t>
      </w:r>
      <w:r>
        <w:rPr>
          <w:rFonts w:ascii="Arial" w:cs="Arial" w:eastAsia="Arial" w:hAnsi="Arial"/>
          <w:sz w:val="18"/>
          <w:szCs w:val="18"/>
          <w:color w:val="auto"/>
        </w:rPr>
        <w:t>The other financial arrangements which may be made by the Corporation may include the following (i) the</w:t>
      </w:r>
      <w:r>
        <w:rPr>
          <w:rFonts w:ascii="Arial" w:cs="Arial" w:eastAsia="Arial" w:hAnsi="Arial"/>
          <w:sz w:val="18"/>
          <w:szCs w:val="18"/>
          <w:i w:val="1"/>
          <w:iCs w:val="1"/>
          <w:color w:val="auto"/>
        </w:rPr>
        <w:t xml:space="preserve"> </w:t>
      </w:r>
      <w:r>
        <w:rPr>
          <w:rFonts w:ascii="Arial" w:cs="Arial" w:eastAsia="Arial" w:hAnsi="Arial"/>
          <w:sz w:val="18"/>
          <w:szCs w:val="18"/>
          <w:color w:val="auto"/>
        </w:rPr>
        <w:t>creation of a trust fund; (ii) the establishment of a program of self-insurance; (iii) the securing of its obligation of indemnification by granting a security interest or other lien on any assets of the Corporation;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98" w:lineRule="exact"/>
        <w:rPr>
          <w:rFonts w:ascii="Arial" w:cs="Arial" w:eastAsia="Arial" w:hAnsi="Arial"/>
          <w:sz w:val="18"/>
          <w:szCs w:val="18"/>
          <w:color w:val="auto"/>
        </w:rPr>
      </w:pPr>
    </w:p>
    <w:p>
      <w:pPr>
        <w:ind w:left="540" w:right="260" w:firstLine="359"/>
        <w:spacing w:after="0" w:line="259" w:lineRule="auto"/>
        <w:tabs>
          <w:tab w:leader="none" w:pos="1242"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Other Matters Relating to Insurance or Financial Arrangements. </w:t>
      </w:r>
      <w:r>
        <w:rPr>
          <w:rFonts w:ascii="Arial" w:cs="Arial" w:eastAsia="Arial" w:hAnsi="Arial"/>
          <w:sz w:val="18"/>
          <w:szCs w:val="18"/>
          <w:color w:val="auto"/>
        </w:rPr>
        <w:t>Any insurance or other financial arrangement made on behalf of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Section may be provided by the Corporation or any other person approved by the Board of Directors, even if all or part of the other person's stock or other securities is owned by the Corporation. In the absence of fraud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firstLine="8"/>
        <w:spacing w:after="0" w:line="298" w:lineRule="auto"/>
        <w:tabs>
          <w:tab w:leader="none" w:pos="75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decision of the Board of Directors as to the propriety of the terms and conditions of any insurance or other financial arrangement made pursuant to this Section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i w:val="1"/>
          <w:iCs w:val="1"/>
          <w:color w:val="auto"/>
        </w:rPr>
        <w:t>Amendment.</w:t>
      </w:r>
      <w:r>
        <w:rPr>
          <w:rFonts w:ascii="Arial" w:cs="Arial" w:eastAsia="Arial" w:hAnsi="Arial"/>
          <w:sz w:val="16"/>
          <w:szCs w:val="16"/>
          <w:color w:val="auto"/>
        </w:rPr>
        <w:t xml:space="preserve"> The provisions of this Article VIII relating to indemnification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X below), no repeal or amendment of these Bylaws shall affect any or all of this Article VIII so as to limit or reduce the indemnification in any manner unless adopted by (a) the unanimous vote of the directors of the Corporation then serving, or (b) by the stockholders as set forth in Article X hereof; provided that no such amendment shall have a retroactive effect inconsistent with the preceding sentence.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NEVADA LAW</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References in these Bylaws to Nevada law or the NRS or to any provision thereof shall be to such law as it existed on the date these Bylaws were adopted or as such law thereafter may be changed; provided that (a) in the case of any change which expands the liability of directors or officers or limits the indemnification rights or the rights to advancement of expenses which the Corporation may provide in Article VIII hereof, the rights to limited liability, to indemnification and to the advancement of expenses provided in the Articles of Incorporation and/or these Bylaws shall continue as theretofore to the extent permitted by law; and (b)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OR REPEAL</w:t>
      </w:r>
    </w:p>
    <w:p>
      <w:pPr>
        <w:spacing w:after="0" w:line="219"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5"/>
          <w:szCs w:val="15"/>
          <w:i w:val="1"/>
          <w:iCs w:val="1"/>
          <w:color w:val="auto"/>
        </w:rPr>
        <w:t>Amendment of Bylaws.</w:t>
      </w:r>
    </w:p>
    <w:p>
      <w:pPr>
        <w:spacing w:after="0" w:line="225" w:lineRule="exact"/>
        <w:rPr>
          <w:sz w:val="20"/>
          <w:szCs w:val="20"/>
          <w:color w:val="auto"/>
        </w:rPr>
      </w:pPr>
    </w:p>
    <w:p>
      <w:pPr>
        <w:ind w:left="540" w:right="520" w:firstLine="359"/>
        <w:spacing w:after="0" w:line="268" w:lineRule="auto"/>
        <w:tabs>
          <w:tab w:leader="none" w:pos="1262"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In furtherance and not in limitation of the powers conferred by statute, the Board of Directors of the Corporation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authorized to adopt, repeal, alter, amend and rescind these Bylaws.</w:t>
      </w:r>
    </w:p>
    <w:p>
      <w:pPr>
        <w:spacing w:after="0" w:line="185" w:lineRule="exact"/>
        <w:rPr>
          <w:rFonts w:ascii="Arial" w:cs="Arial" w:eastAsia="Arial" w:hAnsi="Arial"/>
          <w:sz w:val="18"/>
          <w:szCs w:val="18"/>
          <w:color w:val="auto"/>
        </w:rPr>
      </w:pPr>
    </w:p>
    <w:p>
      <w:pPr>
        <w:ind w:left="1280" w:hanging="381"/>
        <w:spacing w:after="0"/>
        <w:tabs>
          <w:tab w:leader="none" w:pos="1280"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Stockholders.  </w:t>
      </w:r>
      <w:r>
        <w:rPr>
          <w:rFonts w:ascii="Arial" w:cs="Arial" w:eastAsia="Arial" w:hAnsi="Arial"/>
          <w:sz w:val="16"/>
          <w:szCs w:val="16"/>
          <w:color w:val="auto"/>
        </w:rPr>
        <w:t>Notwithstanding Section 10.1(a) above, these Bylaws may be rescinded, altered, amended or repealed in any respect by the</w:t>
      </w:r>
    </w:p>
    <w:p>
      <w:pPr>
        <w:spacing w:after="0" w:line="38" w:lineRule="exact"/>
        <w:rPr>
          <w:sz w:val="20"/>
          <w:szCs w:val="20"/>
          <w:color w:val="auto"/>
        </w:rPr>
      </w:pPr>
    </w:p>
    <w:p>
      <w:pPr>
        <w:ind w:left="540" w:right="20"/>
        <w:spacing w:after="0" w:line="209" w:lineRule="auto"/>
        <w:rPr>
          <w:sz w:val="20"/>
          <w:szCs w:val="20"/>
          <w:color w:val="auto"/>
        </w:rPr>
      </w:pPr>
      <w:r>
        <w:rPr>
          <w:rFonts w:ascii="Arial" w:cs="Arial" w:eastAsia="Arial" w:hAnsi="Arial"/>
          <w:sz w:val="18"/>
          <w:szCs w:val="18"/>
          <w:color w:val="auto"/>
        </w:rPr>
        <w:t xml:space="preserve">affirmative vote of the holders of at least sixty-six and two-thirds percent (66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power of the Corporation, voting together as a single class.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WYNN RESORTS, LIMITED a Nevada corporation</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FOURTH AMENDED AND RESTATED BYLAWS EFFECTIVE AS OF OCTOBER 21, 2002</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FOURTH AMENDED AND RESTATED BYLAWS OF WYNN RESORTS, LIMITED a Nevada corporation</w:t>
        </w:r>
      </w:hyperlink>
    </w:p>
    <w:p>
      <w:pPr>
        <w:sectPr>
          <w:pgSz w:w="11900" w:h="16838" w:orient="portrait"/>
          <w:cols w:equalWidth="0" w:num="1">
            <w:col w:w="11400"/>
          </w:cols>
          <w:pgMar w:left="240" w:top="131" w:right="259" w:bottom="1440" w:gutter="0" w:footer="0" w:header="0"/>
          <w:type w:val="continuous"/>
        </w:sectPr>
      </w:pPr>
    </w:p>
    <w:bookmarkStart w:id="139" w:name="page140"/>
    <w:bookmarkEnd w:id="139"/>
    <w:p>
      <w:pPr>
        <w:spacing w:after="0"/>
        <w:rPr>
          <w:rFonts w:ascii="Arial" w:cs="Arial" w:eastAsia="Arial" w:hAnsi="Arial"/>
          <w:sz w:val="22"/>
          <w:szCs w:val="22"/>
          <w:color w:val="0000EE"/>
        </w:rPr>
      </w:pPr>
      <w:hyperlink w:anchor="page14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consent to the use in this Amendment No. 8 to Registration Statement No. 333-90600 of Wynn Resorts, Limited on Form S-1 of our report dated June 6, 2002 (October 2, 2002 as to Note 12) (which report expresses an unqualified opinion and includes an explanatory paragraph referring to the restatement of the financial statements at Note 12),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INDEPENDENT AUDITORS' CONSENT</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1)"/>
      <w:numFmt w:val="decimal"/>
      <w:start w:val="1"/>
    </w:lvl>
  </w:abstractNum>
  <w:abstractNum w:abstractNumId="1">
    <w:nsid w:val="50801EE1"/>
    <w:multiLevelType w:val="hybridMultilevel"/>
    <w:lvl w:ilvl="0">
      <w:lvlJc w:val="left"/>
      <w:lvlText w:val="(%1)"/>
      <w:numFmt w:val="decimal"/>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lvl w:ilvl="1">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1)"/>
      <w:numFmt w:val="decimal"/>
      <w:start w:val="1"/>
    </w:lvl>
  </w:abstractNum>
  <w:abstractNum w:abstractNumId="9">
    <w:nsid w:val="5F3534A4"/>
    <w:multiLevelType w:val="hybridMultilevel"/>
    <w:lvl w:ilvl="0">
      <w:lvlJc w:val="left"/>
      <w:lvlText w:val="(%1)"/>
      <w:numFmt w:val="decimal"/>
      <w:start w:val="5"/>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
      <w:numFmt w:val="bullet"/>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
      <w:numFmt w:val="bullet"/>
      <w:start w:val="1"/>
    </w:lvl>
  </w:abstractNum>
  <w:abstractNum w:abstractNumId="27">
    <w:nsid w:val="51088277"/>
    <w:multiLevelType w:val="hybridMultilevel"/>
    <w:lvl w:ilvl="0">
      <w:lvlJc w:val="left"/>
      <w:lvlText w:val="•"/>
      <w:numFmt w:val="bullet"/>
      <w:start w:val="1"/>
    </w:lvl>
  </w:abstractNum>
  <w:abstractNum w:abstractNumId="28">
    <w:nsid w:val="1CA0C5FA"/>
    <w:multiLevelType w:val="hybridMultilevel"/>
    <w:lvl w:ilvl="0">
      <w:lvlJc w:val="left"/>
      <w:lvlText w:val="•"/>
      <w:numFmt w:val="bullet"/>
      <w:start w:val="1"/>
    </w:lvl>
  </w:abstractNum>
  <w:abstractNum w:abstractNumId="29">
    <w:nsid w:val="53584BCB"/>
    <w:multiLevelType w:val="hybridMultilevel"/>
    <w:lvl w:ilvl="0">
      <w:lvlJc w:val="left"/>
      <w:lvlText w:val="•"/>
      <w:numFmt w:val="bullet"/>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1)"/>
      <w:numFmt w:val="decimal"/>
      <w:start w:val="1"/>
    </w:lvl>
  </w:abstractNum>
  <w:abstractNum w:abstractNumId="33">
    <w:nsid w:val="45E6D486"/>
    <w:multiLevelType w:val="hybridMultilevel"/>
    <w:lvl w:ilvl="0">
      <w:lvlJc w:val="left"/>
      <w:lvlText w:val="(%1)"/>
      <w:numFmt w:val="decimal"/>
      <w:start w:val="1"/>
    </w:lvl>
  </w:abstractNum>
  <w:abstractNum w:abstractNumId="34">
    <w:nsid w:val="5C10FE21"/>
    <w:multiLevelType w:val="hybridMultilevel"/>
    <w:lvl w:ilvl="0">
      <w:lvlJc w:val="left"/>
      <w:lvlText w:val="(%1)"/>
      <w:numFmt w:val="decimal"/>
      <w:start w:val="6"/>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1)"/>
      <w:numFmt w:val="decimal"/>
      <w:start w:val="1"/>
    </w:lvl>
  </w:abstractNum>
  <w:abstractNum w:abstractNumId="37">
    <w:nsid w:val="4BD8591A"/>
    <w:multiLevelType w:val="hybridMultilevel"/>
    <w:lvl w:ilvl="0">
      <w:lvlJc w:val="left"/>
      <w:lvlText w:val="(%1)"/>
      <w:numFmt w:val="decimal"/>
      <w:start w:val="3"/>
    </w:lvl>
  </w:abstractNum>
  <w:abstractNum w:abstractNumId="38">
    <w:nsid w:val="78DF6A55"/>
    <w:multiLevelType w:val="hybridMultilevel"/>
    <w:lvl w:ilvl="0">
      <w:lvlJc w:val="left"/>
      <w:lvlText w:val="(%1)"/>
      <w:numFmt w:val="decimal"/>
      <w:start w:val="5"/>
    </w:lvl>
  </w:abstractNum>
  <w:abstractNum w:abstractNumId="39">
    <w:nsid w:val="39B7AAA2"/>
    <w:multiLevelType w:val="hybridMultilevel"/>
    <w:lvl w:ilvl="0">
      <w:lvlJc w:val="left"/>
      <w:lvlText w:val="(%1)"/>
      <w:numFmt w:val="decimal"/>
      <w:start w:val="1"/>
    </w:lvl>
  </w:abstractNum>
  <w:abstractNum w:abstractNumId="40">
    <w:nsid w:val="2B0D8DBE"/>
    <w:multiLevelType w:val="hybridMultilevel"/>
    <w:lvl w:ilvl="0">
      <w:lvlJc w:val="left"/>
      <w:lvlText w:val="(%1)"/>
      <w:numFmt w:val="decimal"/>
      <w:start w:val="1"/>
    </w:lvl>
  </w:abstractNum>
  <w:abstractNum w:abstractNumId="41">
    <w:nsid w:val="6C80EC70"/>
    <w:multiLevelType w:val="hybridMultilevel"/>
    <w:lvl w:ilvl="0">
      <w:lvlJc w:val="left"/>
      <w:lvlText w:val="•"/>
      <w:numFmt w:val="bullet"/>
      <w:start w:val="1"/>
    </w:lvl>
  </w:abstractNum>
  <w:abstractNum w:abstractNumId="42">
    <w:nsid w:val="379E21B5"/>
    <w:multiLevelType w:val="hybridMultilevel"/>
    <w:lvl w:ilvl="0">
      <w:lvlJc w:val="left"/>
      <w:lvlText w:val="•"/>
      <w:numFmt w:val="bullet"/>
      <w:start w:val="1"/>
    </w:lvl>
  </w:abstractNum>
  <w:abstractNum w:abstractNumId="43">
    <w:nsid w:val="69E373"/>
    <w:multiLevelType w:val="hybridMultilevel"/>
    <w:lvl w:ilvl="0">
      <w:lvlJc w:val="left"/>
      <w:lvlText w:val="(%1)"/>
      <w:numFmt w:val="decimal"/>
      <w:start w:val="1"/>
    </w:lvl>
  </w:abstractNum>
  <w:abstractNum w:abstractNumId="44">
    <w:nsid w:val="2C27173B"/>
    <w:multiLevelType w:val="hybridMultilevel"/>
    <w:lvl w:ilvl="0">
      <w:lvlJc w:val="left"/>
      <w:lvlText w:val="•"/>
      <w:numFmt w:val="bullet"/>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1)"/>
      <w:numFmt w:val="decimal"/>
      <w:start w:val="1"/>
    </w:lvl>
  </w:abstractNum>
  <w:abstractNum w:abstractNumId="47">
    <w:nsid w:val="1DF029D3"/>
    <w:multiLevelType w:val="hybridMultilevel"/>
    <w:lvl w:ilvl="0">
      <w:lvlJc w:val="left"/>
      <w:lvlText w:val="(%1)"/>
      <w:numFmt w:val="decimal"/>
      <w:start w:val="4"/>
    </w:lvl>
  </w:abstractNum>
  <w:abstractNum w:abstractNumId="48">
    <w:nsid w:val="5675FF36"/>
    <w:multiLevelType w:val="hybridMultilevel"/>
    <w:lvl w:ilvl="0">
      <w:lvlJc w:val="left"/>
      <w:lvlText w:val="•"/>
      <w:numFmt w:val="bullet"/>
      <w:start w:val="1"/>
    </w:lvl>
  </w:abstractNum>
  <w:abstractNum w:abstractNumId="49">
    <w:nsid w:val="3DD15094"/>
    <w:multiLevelType w:val="hybridMultilevel"/>
    <w:lvl w:ilvl="0">
      <w:lvlJc w:val="left"/>
      <w:lvlText w:val="(%1)"/>
      <w:numFmt w:val="decimal"/>
      <w:start w:val="1"/>
    </w:lvl>
  </w:abstractNum>
  <w:abstractNum w:abstractNumId="50">
    <w:nsid w:val="3DB012B3"/>
    <w:multiLevelType w:val="hybridMultilevel"/>
    <w:lvl w:ilvl="0">
      <w:lvlJc w:val="left"/>
      <w:lvlText w:val="•"/>
      <w:numFmt w:val="bullet"/>
      <w:start w:val="1"/>
    </w:lvl>
  </w:abstractNum>
  <w:abstractNum w:abstractNumId="51">
    <w:nsid w:val="2708C9AF"/>
    <w:multiLevelType w:val="hybridMultilevel"/>
    <w:lvl w:ilvl="0">
      <w:lvlJc w:val="left"/>
      <w:lvlText w:val="•"/>
      <w:numFmt w:val="bullet"/>
      <w:start w:val="1"/>
    </w:lvl>
  </w:abstractNum>
  <w:abstractNum w:abstractNumId="52">
    <w:nsid w:val="5B25ACE2"/>
    <w:multiLevelType w:val="hybridMultilevel"/>
    <w:lvl w:ilvl="0">
      <w:lvlJc w:val="left"/>
      <w:lvlText w:val="•"/>
      <w:numFmt w:val="bullet"/>
      <w:start w:val="1"/>
    </w:lvl>
  </w:abstractNum>
  <w:abstractNum w:abstractNumId="53">
    <w:nsid w:val="175DFCF0"/>
    <w:multiLevelType w:val="hybridMultilevel"/>
    <w:lvl w:ilvl="0">
      <w:lvlJc w:val="left"/>
      <w:lvlText w:val="•"/>
      <w:numFmt w:val="bullet"/>
      <w:start w:val="1"/>
    </w:lvl>
  </w:abstractNum>
  <w:abstractNum w:abstractNumId="54">
    <w:nsid w:val="4F97E3E4"/>
    <w:multiLevelType w:val="hybridMultilevel"/>
    <w:lvl w:ilvl="0">
      <w:lvlJc w:val="left"/>
      <w:lvlText w:val="•"/>
      <w:numFmt w:val="bullet"/>
      <w:start w:val="1"/>
    </w:lvl>
  </w:abstractNum>
  <w:abstractNum w:abstractNumId="55">
    <w:nsid w:val="53B0A9E"/>
    <w:multiLevelType w:val="hybridMultilevel"/>
    <w:lvl w:ilvl="0">
      <w:lvlJc w:val="left"/>
      <w:lvlText w:val="•"/>
      <w:numFmt w:val="bullet"/>
      <w:start w:val="1"/>
    </w:lvl>
  </w:abstractNum>
  <w:abstractNum w:abstractNumId="56">
    <w:nsid w:val="34FD6B4F"/>
    <w:multiLevelType w:val="hybridMultilevel"/>
    <w:lvl w:ilvl="0">
      <w:lvlJc w:val="left"/>
      <w:lvlText w:val="•"/>
      <w:numFmt w:val="bullet"/>
      <w:start w:val="1"/>
    </w:lvl>
  </w:abstractNum>
  <w:abstractNum w:abstractNumId="57">
    <w:nsid w:val="5915FF32"/>
    <w:multiLevelType w:val="hybridMultilevel"/>
    <w:lvl w:ilvl="0">
      <w:lvlJc w:val="left"/>
      <w:lvlText w:val="•"/>
      <w:numFmt w:val="bullet"/>
      <w:start w:val="1"/>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
      <w:numFmt w:val="bullet"/>
      <w:start w:val="1"/>
    </w:lvl>
  </w:abstractNum>
  <w:abstractNum w:abstractNumId="60">
    <w:nsid w:val="2C6E4AFD"/>
    <w:multiLevelType w:val="hybridMultilevel"/>
    <w:lvl w:ilvl="0">
      <w:lvlJc w:val="left"/>
      <w:lvlText w:val="(%1)"/>
      <w:numFmt w:val="decimal"/>
      <w:start w:val="2"/>
    </w:lvl>
  </w:abstractNum>
  <w:abstractNum w:abstractNumId="61">
    <w:nsid w:val="17A1B582"/>
    <w:multiLevelType w:val="hybridMultilevel"/>
    <w:lvl w:ilvl="0">
      <w:lvlJc w:val="left"/>
      <w:lvlText w:val="(%1)"/>
      <w:numFmt w:val="decimal"/>
      <w:start w:val="1"/>
    </w:lvl>
  </w:abstractNum>
  <w:abstractNum w:abstractNumId="62">
    <w:nsid w:val="4DF72E4E"/>
    <w:multiLevelType w:val="hybridMultilevel"/>
    <w:lvl w:ilvl="0">
      <w:lvlJc w:val="left"/>
      <w:lvlText w:val="*"/>
      <w:numFmt w:val="bullet"/>
      <w:start w:val="1"/>
    </w:lvl>
  </w:abstractNum>
  <w:abstractNum w:abstractNumId="63">
    <w:nsid w:val="5046B5A9"/>
    <w:multiLevelType w:val="hybridMultilevel"/>
    <w:lvl w:ilvl="0">
      <w:lvlJc w:val="left"/>
      <w:lvlText w:val="•"/>
      <w:numFmt w:val="bullet"/>
      <w:start w:val="1"/>
    </w:lvl>
  </w:abstractNum>
  <w:abstractNum w:abstractNumId="64">
    <w:nsid w:val="5D888A08"/>
    <w:multiLevelType w:val="hybridMultilevel"/>
    <w:lvl w:ilvl="0">
      <w:lvlJc w:val="left"/>
      <w:lvlText w:val="•"/>
      <w:numFmt w:val="bullet"/>
      <w:start w:val="1"/>
    </w:lvl>
  </w:abstractNum>
  <w:abstractNum w:abstractNumId="65">
    <w:nsid w:val="2A082C70"/>
    <w:multiLevelType w:val="hybridMultilevel"/>
    <w:lvl w:ilvl="0">
      <w:lvlJc w:val="left"/>
      <w:lvlText w:val="•"/>
      <w:numFmt w:val="bullet"/>
      <w:start w:val="1"/>
    </w:lvl>
  </w:abstractNum>
  <w:abstractNum w:abstractNumId="66">
    <w:nsid w:val="5EC6AFD4"/>
    <w:multiLevelType w:val="hybridMultilevel"/>
    <w:lvl w:ilvl="0">
      <w:lvlJc w:val="left"/>
      <w:lvlText w:val="•"/>
      <w:numFmt w:val="bullet"/>
      <w:start w:val="1"/>
    </w:lvl>
  </w:abstractNum>
  <w:abstractNum w:abstractNumId="67">
    <w:nsid w:val="19E21BB2"/>
    <w:multiLevelType w:val="hybridMultilevel"/>
    <w:lvl w:ilvl="0">
      <w:lvlJc w:val="left"/>
      <w:lvlText w:val="•"/>
      <w:numFmt w:val="bullet"/>
      <w:start w:val="1"/>
    </w:lvl>
  </w:abstractNum>
  <w:abstractNum w:abstractNumId="68">
    <w:nsid w:val="75E0858A"/>
    <w:multiLevelType w:val="hybridMultilevel"/>
    <w:lvl w:ilvl="0">
      <w:lvlJc w:val="left"/>
      <w:lvlText w:val="•"/>
      <w:numFmt w:val="bullet"/>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
      <w:numFmt w:val="bullet"/>
      <w:start w:val="1"/>
    </w:lvl>
  </w:abstractNum>
  <w:abstractNum w:abstractNumId="71">
    <w:nsid w:val="20EE1348"/>
    <w:multiLevelType w:val="hybridMultilevel"/>
    <w:lvl w:ilvl="0">
      <w:lvlJc w:val="left"/>
      <w:lvlText w:val="•"/>
      <w:numFmt w:val="bullet"/>
      <w:start w:val="1"/>
    </w:lvl>
  </w:abstractNum>
  <w:abstractNum w:abstractNumId="72">
    <w:nsid w:val="4427069A"/>
    <w:multiLevelType w:val="hybridMultilevel"/>
    <w:lvl w:ilvl="0">
      <w:lvlJc w:val="left"/>
      <w:lvlText w:val="•"/>
      <w:numFmt w:val="bullet"/>
      <w:start w:val="1"/>
    </w:lvl>
  </w:abstractNum>
  <w:abstractNum w:abstractNumId="73">
    <w:nsid w:val="B37E80A"/>
    <w:multiLevelType w:val="hybridMultilevel"/>
    <w:lvl w:ilvl="0">
      <w:lvlJc w:val="left"/>
      <w:lvlText w:val="•"/>
      <w:numFmt w:val="bullet"/>
      <w:start w:val="1"/>
    </w:lvl>
  </w:abstractNum>
  <w:abstractNum w:abstractNumId="74">
    <w:nsid w:val="2157F6BC"/>
    <w:multiLevelType w:val="hybridMultilevel"/>
    <w:lvl w:ilvl="0">
      <w:lvlJc w:val="left"/>
      <w:lvlText w:val="•"/>
      <w:numFmt w:val="bullet"/>
      <w:start w:val="1"/>
    </w:lvl>
  </w:abstractNum>
  <w:abstractNum w:abstractNumId="75">
    <w:nsid w:val="704E1DD5"/>
    <w:multiLevelType w:val="hybridMultilevel"/>
    <w:lvl w:ilvl="0">
      <w:lvlJc w:val="left"/>
      <w:lvlText w:val="•"/>
      <w:numFmt w:val="bullet"/>
      <w:start w:val="1"/>
    </w:lvl>
  </w:abstractNum>
  <w:abstractNum w:abstractNumId="76">
    <w:nsid w:val="57D2F10E"/>
    <w:multiLevelType w:val="hybridMultilevel"/>
    <w:lvl w:ilvl="0">
      <w:lvlJc w:val="left"/>
      <w:lvlText w:val="•"/>
      <w:numFmt w:val="bullet"/>
      <w:start w:val="1"/>
    </w:lvl>
  </w:abstractNum>
  <w:abstractNum w:abstractNumId="77">
    <w:nsid w:val="BFFAE18"/>
    <w:multiLevelType w:val="hybridMultilevel"/>
    <w:lvl w:ilvl="0">
      <w:lvlJc w:val="left"/>
      <w:lvlText w:val="•"/>
      <w:numFmt w:val="bullet"/>
      <w:start w:val="1"/>
    </w:lvl>
  </w:abstractNum>
  <w:abstractNum w:abstractNumId="78">
    <w:nsid w:val="E3E47A8"/>
    <w:multiLevelType w:val="hybridMultilevel"/>
    <w:lvl w:ilvl="0">
      <w:lvlJc w:val="left"/>
      <w:lvlText w:val="•"/>
      <w:numFmt w:val="bullet"/>
      <w:start w:val="1"/>
    </w:lvl>
  </w:abstractNum>
  <w:abstractNum w:abstractNumId="79">
    <w:nsid w:val="2E48F044"/>
    <w:multiLevelType w:val="hybridMultilevel"/>
    <w:lvl w:ilvl="0">
      <w:lvlJc w:val="left"/>
      <w:lvlText w:val="•"/>
      <w:numFmt w:val="bullet"/>
      <w:start w:val="1"/>
    </w:lvl>
  </w:abstractNum>
  <w:abstractNum w:abstractNumId="80">
    <w:nsid w:val="49D0FEAC"/>
    <w:multiLevelType w:val="hybridMultilevel"/>
    <w:lvl w:ilvl="0">
      <w:lvlJc w:val="left"/>
      <w:lvlText w:val="•"/>
      <w:numFmt w:val="bullet"/>
      <w:start w:val="1"/>
    </w:lvl>
  </w:abstractNum>
  <w:abstractNum w:abstractNumId="81">
    <w:nsid w:val="4BEE5A5B"/>
    <w:multiLevelType w:val="hybridMultilevel"/>
    <w:lvl w:ilvl="0">
      <w:lvlJc w:val="left"/>
      <w:lvlText w:val="•"/>
      <w:numFmt w:val="bullet"/>
      <w:start w:val="1"/>
    </w:lvl>
  </w:abstractNum>
  <w:abstractNum w:abstractNumId="82">
    <w:nsid w:val="5551B9F3"/>
    <w:multiLevelType w:val="hybridMultilevel"/>
    <w:lvl w:ilvl="0">
      <w:lvlJc w:val="left"/>
      <w:lvlText w:val="•"/>
      <w:numFmt w:val="bullet"/>
      <w:start w:val="1"/>
    </w:lvl>
  </w:abstractNum>
  <w:abstractNum w:abstractNumId="83">
    <w:nsid w:val="24F6AB8E"/>
    <w:multiLevelType w:val="hybridMultilevel"/>
    <w:lvl w:ilvl="0">
      <w:lvlJc w:val="left"/>
      <w:lvlText w:val="•"/>
      <w:numFmt w:val="bullet"/>
      <w:start w:val="1"/>
    </w:lvl>
  </w:abstractNum>
  <w:abstractNum w:abstractNumId="84">
    <w:nsid w:val="634C574C"/>
    <w:multiLevelType w:val="hybridMultilevel"/>
    <w:lvl w:ilvl="0">
      <w:lvlJc w:val="left"/>
      <w:lvlText w:val="•"/>
      <w:numFmt w:val="bullet"/>
      <w:start w:val="1"/>
    </w:lvl>
  </w:abstractNum>
  <w:abstractNum w:abstractNumId="85">
    <w:nsid w:val="24E99DD7"/>
    <w:multiLevelType w:val="hybridMultilevel"/>
    <w:lvl w:ilvl="0">
      <w:lvlJc w:val="left"/>
      <w:lvlText w:val="•"/>
      <w:numFmt w:val="bullet"/>
      <w:start w:val="1"/>
    </w:lvl>
  </w:abstractNum>
  <w:abstractNum w:abstractNumId="86">
    <w:nsid w:val="2A31B62D"/>
    <w:multiLevelType w:val="hybridMultilevel"/>
    <w:lvl w:ilvl="0">
      <w:lvlJc w:val="left"/>
      <w:lvlText w:val="(%1)"/>
      <w:numFmt w:val="decimal"/>
      <w:start w:val="1"/>
    </w:lvl>
  </w:abstractNum>
  <w:abstractNum w:abstractNumId="87">
    <w:nsid w:val="1849C29B"/>
    <w:multiLevelType w:val="hybridMultilevel"/>
    <w:lvl w:ilvl="0">
      <w:lvlJc w:val="left"/>
      <w:lvlText w:val="(%1)"/>
      <w:numFmt w:val="decimal"/>
      <w:start w:val="1"/>
    </w:lvl>
  </w:abstractNum>
  <w:abstractNum w:abstractNumId="88">
    <w:nsid w:val="7DFF9D09"/>
    <w:multiLevelType w:val="hybridMultilevel"/>
    <w:lvl w:ilvl="0">
      <w:lvlJc w:val="left"/>
      <w:lvlText w:val="•"/>
      <w:numFmt w:val="bullet"/>
      <w:start w:val="1"/>
    </w:lvl>
  </w:abstractNum>
  <w:abstractNum w:abstractNumId="89">
    <w:nsid w:val="754342"/>
    <w:multiLevelType w:val="hybridMultilevel"/>
    <w:lvl w:ilvl="0">
      <w:lvlJc w:val="left"/>
      <w:lvlText w:val="•"/>
      <w:numFmt w:val="bullet"/>
      <w:start w:val="1"/>
    </w:lvl>
  </w:abstractNum>
  <w:abstractNum w:abstractNumId="90">
    <w:nsid w:val="69E7F3E5"/>
    <w:multiLevelType w:val="hybridMultilevel"/>
    <w:lvl w:ilvl="0">
      <w:lvlJc w:val="left"/>
      <w:lvlText w:val="•"/>
      <w:numFmt w:val="bullet"/>
      <w:start w:val="1"/>
    </w:lvl>
  </w:abstractNum>
  <w:abstractNum w:abstractNumId="91">
    <w:nsid w:val="2A6DE806"/>
    <w:multiLevelType w:val="hybridMultilevel"/>
    <w:lvl w:ilvl="0">
      <w:lvlJc w:val="left"/>
      <w:lvlText w:val="•"/>
      <w:numFmt w:val="bullet"/>
      <w:start w:val="1"/>
    </w:lvl>
  </w:abstractNum>
  <w:abstractNum w:abstractNumId="92">
    <w:nsid w:val="1816F8C4"/>
    <w:multiLevelType w:val="hybridMultilevel"/>
    <w:lvl w:ilvl="0">
      <w:lvlJc w:val="left"/>
      <w:lvlText w:val="*"/>
      <w:numFmt w:val="bullet"/>
      <w:start w:val="1"/>
    </w:lvl>
  </w:abstractNum>
  <w:abstractNum w:abstractNumId="93">
    <w:nsid w:val="37DF2233"/>
    <w:multiLevelType w:val="hybridMultilevel"/>
    <w:lvl w:ilvl="0">
      <w:lvlJc w:val="left"/>
      <w:lvlText w:val="(%1)"/>
      <w:numFmt w:val="decimal"/>
      <w:start w:val="1"/>
    </w:lvl>
  </w:abstractNum>
  <w:abstractNum w:abstractNumId="94">
    <w:nsid w:val="7AB49DAF"/>
    <w:multiLevelType w:val="hybridMultilevel"/>
    <w:lvl w:ilvl="0">
      <w:lvlJc w:val="left"/>
      <w:lvlText w:val="(%1)"/>
      <w:numFmt w:val="decimal"/>
      <w:start w:val="3"/>
    </w:lvl>
  </w:abstractNum>
  <w:abstractNum w:abstractNumId="95">
    <w:nsid w:val="759F82CD"/>
    <w:multiLevelType w:val="hybridMultilevel"/>
    <w:lvl w:ilvl="0">
      <w:lvlJc w:val="left"/>
      <w:lvlText w:val="•"/>
      <w:numFmt w:val="bullet"/>
      <w:start w:val="1"/>
    </w:lvl>
  </w:abstractNum>
  <w:abstractNum w:abstractNumId="96">
    <w:nsid w:val="61E74EA3"/>
    <w:multiLevelType w:val="hybridMultilevel"/>
    <w:lvl w:ilvl="0">
      <w:lvlJc w:val="left"/>
      <w:lvlText w:val="•"/>
      <w:numFmt w:val="bullet"/>
      <w:start w:val="1"/>
    </w:lvl>
  </w:abstractNum>
  <w:abstractNum w:abstractNumId="97">
    <w:nsid w:val="597B4D84"/>
    <w:multiLevelType w:val="hybridMultilevel"/>
    <w:lvl w:ilvl="0">
      <w:lvlJc w:val="left"/>
      <w:lvlText w:val="•"/>
      <w:numFmt w:val="bullet"/>
      <w:start w:val="1"/>
    </w:lvl>
  </w:abstractNum>
  <w:abstractNum w:abstractNumId="98">
    <w:nsid w:val="F819E7F"/>
    <w:multiLevelType w:val="hybridMultilevel"/>
    <w:lvl w:ilvl="0">
      <w:lvlJc w:val="left"/>
      <w:lvlText w:val="•"/>
      <w:numFmt w:val="bullet"/>
      <w:start w:val="1"/>
    </w:lvl>
  </w:abstractNum>
  <w:abstractNum w:abstractNumId="99">
    <w:nsid w:val="57C7D42D"/>
    <w:multiLevelType w:val="hybridMultilevel"/>
    <w:lvl w:ilvl="0">
      <w:lvlJc w:val="left"/>
      <w:lvlText w:val="•"/>
      <w:numFmt w:val="bullet"/>
      <w:start w:val="1"/>
    </w:lvl>
  </w:abstractNum>
  <w:abstractNum w:abstractNumId="100">
    <w:nsid w:val="312167AD"/>
    <w:multiLevelType w:val="hybridMultilevel"/>
    <w:lvl w:ilvl="0">
      <w:lvlJc w:val="left"/>
      <w:lvlText w:val="•"/>
      <w:numFmt w:val="bullet"/>
      <w:start w:val="1"/>
    </w:lvl>
  </w:abstractNum>
  <w:abstractNum w:abstractNumId="101">
    <w:nsid w:val="631B64D4"/>
    <w:multiLevelType w:val="hybridMultilevel"/>
    <w:lvl w:ilvl="0">
      <w:lvlJc w:val="left"/>
      <w:lvlText w:val="•"/>
      <w:numFmt w:val="bullet"/>
      <w:start w:val="1"/>
    </w:lvl>
  </w:abstractNum>
  <w:abstractNum w:abstractNumId="102">
    <w:nsid w:val="78B5E776"/>
    <w:multiLevelType w:val="hybridMultilevel"/>
    <w:lvl w:ilvl="0">
      <w:lvlJc w:val="left"/>
      <w:lvlText w:val="•"/>
      <w:numFmt w:val="bullet"/>
      <w:start w:val="1"/>
    </w:lvl>
  </w:abstractNum>
  <w:abstractNum w:abstractNumId="103">
    <w:nsid w:val="75486E47"/>
    <w:multiLevelType w:val="hybridMultilevel"/>
    <w:lvl w:ilvl="0">
      <w:lvlJc w:val="left"/>
      <w:lvlText w:val="•"/>
      <w:numFmt w:val="bullet"/>
      <w:start w:val="1"/>
    </w:lvl>
  </w:abstractNum>
  <w:abstractNum w:abstractNumId="104">
    <w:nsid w:val="6E534CDE"/>
    <w:multiLevelType w:val="hybridMultilevel"/>
    <w:lvl w:ilvl="0">
      <w:lvlJc w:val="left"/>
      <w:lvlText w:val="•"/>
      <w:numFmt w:val="bullet"/>
      <w:start w:val="1"/>
    </w:lvl>
  </w:abstractNum>
  <w:abstractNum w:abstractNumId="105">
    <w:nsid w:val="1A0DDE32"/>
    <w:multiLevelType w:val="hybridMultilevel"/>
    <w:lvl w:ilvl="0">
      <w:lvlJc w:val="left"/>
      <w:lvlText w:val="•"/>
      <w:numFmt w:val="bullet"/>
      <w:start w:val="1"/>
    </w:lvl>
  </w:abstractNum>
  <w:abstractNum w:abstractNumId="106">
    <w:nsid w:val="65968C1C"/>
    <w:multiLevelType w:val="hybridMultilevel"/>
    <w:lvl w:ilvl="0">
      <w:lvlJc w:val="left"/>
      <w:lvlText w:val="•"/>
      <w:numFmt w:val="bullet"/>
      <w:start w:val="1"/>
    </w:lvl>
  </w:abstractNum>
  <w:abstractNum w:abstractNumId="107">
    <w:nsid w:val="46263DEC"/>
    <w:multiLevelType w:val="hybridMultilevel"/>
    <w:lvl w:ilvl="0">
      <w:lvlJc w:val="left"/>
      <w:lvlText w:val="•"/>
      <w:numFmt w:val="bullet"/>
      <w:start w:val="1"/>
    </w:lvl>
  </w:abstractNum>
  <w:abstractNum w:abstractNumId="108">
    <w:nsid w:val="260D8C4A"/>
    <w:multiLevelType w:val="hybridMultilevel"/>
    <w:lvl w:ilvl="0">
      <w:lvlJc w:val="left"/>
      <w:lvlText w:val="•"/>
      <w:numFmt w:val="bullet"/>
      <w:start w:val="1"/>
    </w:lvl>
  </w:abstractNum>
  <w:abstractNum w:abstractNumId="109">
    <w:nsid w:val="73D4D3C4"/>
    <w:multiLevelType w:val="hybridMultilevel"/>
    <w:lvl w:ilvl="0">
      <w:lvlJc w:val="left"/>
      <w:lvlText w:val="•"/>
      <w:numFmt w:val="bullet"/>
      <w:start w:val="1"/>
    </w:lvl>
  </w:abstractNum>
  <w:abstractNum w:abstractNumId="110">
    <w:nsid w:val="746F2E30"/>
    <w:multiLevelType w:val="hybridMultilevel"/>
    <w:lvl w:ilvl="0">
      <w:lvlJc w:val="left"/>
      <w:lvlText w:val="•"/>
      <w:numFmt w:val="bullet"/>
      <w:start w:val="1"/>
    </w:lvl>
    <w:lvl w:ilvl="1">
      <w:lvlJc w:val="left"/>
      <w:lvlText w:val="(%2)"/>
      <w:numFmt w:val="decimal"/>
      <w:start w:val="1"/>
    </w:lvl>
  </w:abstractNum>
  <w:abstractNum w:abstractNumId="111">
    <w:nsid w:val="6FDE8AF6"/>
    <w:multiLevelType w:val="hybridMultilevel"/>
    <w:lvl w:ilvl="0">
      <w:lvlJc w:val="left"/>
      <w:lvlText w:val="•"/>
      <w:numFmt w:val="bullet"/>
      <w:start w:val="1"/>
    </w:lvl>
    <w:lvl w:ilvl="1">
      <w:lvlJc w:val="left"/>
      <w:lvlText w:val="(%2)"/>
      <w:numFmt w:val="decimal"/>
      <w:start w:val="2"/>
    </w:lvl>
  </w:abstractNum>
  <w:abstractNum w:abstractNumId="112">
    <w:nsid w:val="3FC32E20"/>
    <w:multiLevelType w:val="hybridMultilevel"/>
    <w:lvl w:ilvl="0">
      <w:lvlJc w:val="left"/>
      <w:lvlText w:val="•"/>
      <w:numFmt w:val="bullet"/>
      <w:start w:val="1"/>
    </w:lvl>
  </w:abstractNum>
  <w:abstractNum w:abstractNumId="113">
    <w:nsid w:val="49C0E823"/>
    <w:multiLevelType w:val="hybridMultilevel"/>
    <w:lvl w:ilvl="0">
      <w:lvlJc w:val="left"/>
      <w:lvlText w:val="•"/>
      <w:numFmt w:val="bullet"/>
      <w:start w:val="1"/>
    </w:lvl>
  </w:abstractNum>
  <w:abstractNum w:abstractNumId="114">
    <w:nsid w:val="14D53685"/>
    <w:multiLevelType w:val="hybridMultilevel"/>
    <w:lvl w:ilvl="0">
      <w:lvlJc w:val="left"/>
      <w:lvlText w:val="•"/>
      <w:numFmt w:val="bullet"/>
      <w:start w:val="1"/>
    </w:lvl>
    <w:lvl w:ilvl="1">
      <w:lvlJc w:val="left"/>
      <w:lvlText w:val="(%2)"/>
      <w:numFmt w:val="decimal"/>
      <w:start w:val="1"/>
    </w:lvl>
  </w:abstractNum>
  <w:abstractNum w:abstractNumId="115">
    <w:nsid w:val="230F856C"/>
    <w:multiLevelType w:val="hybridMultilevel"/>
    <w:lvl w:ilvl="0">
      <w:lvlJc w:val="left"/>
      <w:lvlText w:val="•"/>
      <w:numFmt w:val="bullet"/>
      <w:start w:val="1"/>
    </w:lvl>
  </w:abstractNum>
  <w:abstractNum w:abstractNumId="116">
    <w:nsid w:val="6EAA85FB"/>
    <w:multiLevelType w:val="hybridMultilevel"/>
    <w:lvl w:ilvl="0">
      <w:lvlJc w:val="left"/>
      <w:lvlText w:val="•"/>
      <w:numFmt w:val="bullet"/>
      <w:start w:val="1"/>
    </w:lvl>
  </w:abstractNum>
  <w:abstractNum w:abstractNumId="117">
    <w:nsid w:val="3F06ECB2"/>
    <w:multiLevelType w:val="hybridMultilevel"/>
    <w:lvl w:ilvl="0">
      <w:lvlJc w:val="left"/>
      <w:lvlText w:val="(%1)"/>
      <w:numFmt w:val="decimal"/>
      <w:start w:val="1"/>
    </w:lvl>
  </w:abstractNum>
  <w:abstractNum w:abstractNumId="118">
    <w:nsid w:val="3B594807"/>
    <w:multiLevelType w:val="hybridMultilevel"/>
    <w:lvl w:ilvl="0">
      <w:lvlJc w:val="left"/>
      <w:lvlText w:val="(%1)"/>
      <w:numFmt w:val="decimal"/>
      <w:start w:val="3"/>
    </w:lvl>
  </w:abstractNum>
  <w:abstractNum w:abstractNumId="119">
    <w:nsid w:val="6CAA2304"/>
    <w:multiLevelType w:val="hybridMultilevel"/>
    <w:lvl w:ilvl="0">
      <w:lvlJc w:val="left"/>
      <w:lvlText w:val="(%1)"/>
      <w:numFmt w:val="decimal"/>
      <w:start w:val="2"/>
    </w:lvl>
  </w:abstractNum>
  <w:abstractNum w:abstractNumId="120">
    <w:nsid w:val="3F7C2FF4"/>
    <w:multiLevelType w:val="hybridMultilevel"/>
    <w:lvl w:ilvl="0">
      <w:lvlJc w:val="left"/>
      <w:lvlText w:val="•"/>
      <w:numFmt w:val="bullet"/>
      <w:start w:val="1"/>
    </w:lvl>
  </w:abstractNum>
  <w:abstractNum w:abstractNumId="121">
    <w:nsid w:val="25413BEC"/>
    <w:multiLevelType w:val="hybridMultilevel"/>
    <w:lvl w:ilvl="0">
      <w:lvlJc w:val="left"/>
      <w:lvlText w:val="%1."/>
      <w:numFmt w:val="decimal"/>
      <w:start w:val="1"/>
    </w:lvl>
  </w:abstractNum>
  <w:abstractNum w:abstractNumId="122">
    <w:nsid w:val="17180B0B"/>
    <w:multiLevelType w:val="hybridMultilevel"/>
    <w:lvl w:ilvl="0">
      <w:lvlJc w:val="left"/>
      <w:lvlText w:val="%1."/>
      <w:numFmt w:val="lowerLetter"/>
      <w:start w:val="1"/>
    </w:lvl>
  </w:abstractNum>
  <w:abstractNum w:abstractNumId="123">
    <w:nsid w:val="579328B9"/>
    <w:multiLevelType w:val="hybridMultilevel"/>
    <w:lvl w:ilvl="0">
      <w:lvlJc w:val="left"/>
      <w:lvlText w:val="%1."/>
      <w:numFmt w:val="lowerLetter"/>
      <w:start w:val="2"/>
    </w:lvl>
  </w:abstractNum>
  <w:abstractNum w:abstractNumId="124">
    <w:nsid w:val="5D205E20"/>
    <w:multiLevelType w:val="hybridMultilevel"/>
    <w:lvl w:ilvl="0">
      <w:lvlJc w:val="left"/>
      <w:lvlText w:val="%1."/>
      <w:numFmt w:val="lowerLetter"/>
      <w:start w:val="3"/>
    </w:lvl>
  </w:abstractNum>
  <w:abstractNum w:abstractNumId="125">
    <w:nsid w:val="11CCA8BA"/>
    <w:multiLevelType w:val="hybridMultilevel"/>
    <w:lvl w:ilvl="0">
      <w:lvlJc w:val="left"/>
      <w:lvlText w:val="%1."/>
      <w:numFmt w:val="lowerLetter"/>
      <w:start w:val="4"/>
    </w:lvl>
  </w:abstractNum>
  <w:abstractNum w:abstractNumId="126">
    <w:nsid w:val="4D32AB86"/>
    <w:multiLevelType w:val="hybridMultilevel"/>
    <w:lvl w:ilvl="0">
      <w:lvlJc w:val="left"/>
      <w:lvlText w:val="%1."/>
      <w:numFmt w:val="lowerLetter"/>
      <w:start w:val="5"/>
    </w:lvl>
  </w:abstractNum>
  <w:abstractNum w:abstractNumId="127">
    <w:nsid w:val="3F07ACC3"/>
    <w:multiLevelType w:val="hybridMultilevel"/>
    <w:lvl w:ilvl="0">
      <w:lvlJc w:val="left"/>
      <w:lvlText w:val="%1."/>
      <w:numFmt w:val="lowerLetter"/>
      <w:start w:val="6"/>
    </w:lvl>
  </w:abstractNum>
  <w:abstractNum w:abstractNumId="128">
    <w:nsid w:val="6B47F63E"/>
    <w:multiLevelType w:val="hybridMultilevel"/>
    <w:lvl w:ilvl="0">
      <w:lvlJc w:val="left"/>
      <w:lvlText w:val="%1."/>
      <w:numFmt w:val="lowerLetter"/>
      <w:start w:val="7"/>
    </w:lvl>
  </w:abstractNum>
  <w:abstractNum w:abstractNumId="129">
    <w:nsid w:val="5CB44A05"/>
    <w:multiLevelType w:val="hybridMultilevel"/>
    <w:lvl w:ilvl="0">
      <w:lvlJc w:val="left"/>
      <w:lvlText w:val="%1."/>
      <w:numFmt w:val="lowerLetter"/>
      <w:start w:val="8"/>
    </w:lvl>
  </w:abstractNum>
  <w:abstractNum w:abstractNumId="130">
    <w:nsid w:val="16CF80F1"/>
    <w:multiLevelType w:val="hybridMultilevel"/>
    <w:lvl w:ilvl="0">
      <w:lvlJc w:val="left"/>
      <w:lvlText w:val="%1."/>
      <w:numFmt w:val="lowerRoman"/>
      <w:start w:val="1"/>
    </w:lvl>
  </w:abstractNum>
  <w:abstractNum w:abstractNumId="131">
    <w:nsid w:val="1C695DEC"/>
    <w:multiLevelType w:val="hybridMultilevel"/>
    <w:lvl w:ilvl="0">
      <w:lvlJc w:val="left"/>
      <w:lvlText w:val="%1."/>
      <w:numFmt w:val="lowerLetter"/>
      <w:start w:val="10"/>
    </w:lvl>
  </w:abstractNum>
  <w:abstractNum w:abstractNumId="132">
    <w:nsid w:val="3FCFAED9"/>
    <w:multiLevelType w:val="hybridMultilevel"/>
    <w:lvl w:ilvl="0">
      <w:lvlJc w:val="left"/>
      <w:lvlText w:val="%1."/>
      <w:numFmt w:val="lowerLetter"/>
      <w:start w:val="11"/>
    </w:lvl>
  </w:abstractNum>
  <w:abstractNum w:abstractNumId="133">
    <w:nsid w:val="F856867"/>
    <w:multiLevelType w:val="hybridMultilevel"/>
    <w:lvl w:ilvl="0">
      <w:lvlJc w:val="left"/>
      <w:lvlText w:val="%1."/>
      <w:numFmt w:val="lowerLetter"/>
      <w:start w:val="12"/>
    </w:lvl>
  </w:abstractNum>
  <w:abstractNum w:abstractNumId="134">
    <w:nsid w:val="11B1CC33"/>
    <w:multiLevelType w:val="hybridMultilevel"/>
    <w:lvl w:ilvl="0">
      <w:lvlJc w:val="left"/>
      <w:lvlText w:val="%1."/>
      <w:numFmt w:val="lowerLetter"/>
      <w:start w:val="13"/>
    </w:lvl>
  </w:abstractNum>
  <w:abstractNum w:abstractNumId="135">
    <w:nsid w:val="2E22FBB7"/>
    <w:multiLevelType w:val="hybridMultilevel"/>
    <w:lvl w:ilvl="0">
      <w:lvlJc w:val="left"/>
      <w:lvlText w:val="%1."/>
      <w:numFmt w:val="lowerLetter"/>
      <w:start w:val="14"/>
    </w:lvl>
  </w:abstractNum>
  <w:abstractNum w:abstractNumId="136">
    <w:nsid w:val="29934699"/>
    <w:multiLevelType w:val="hybridMultilevel"/>
    <w:lvl w:ilvl="0">
      <w:lvlJc w:val="left"/>
      <w:lvlText w:val="%1."/>
      <w:numFmt w:val="lowerLetter"/>
      <w:start w:val="15"/>
    </w:lvl>
  </w:abstractNum>
  <w:abstractNum w:abstractNumId="137">
    <w:nsid w:val="77485850"/>
    <w:multiLevelType w:val="hybridMultilevel"/>
    <w:lvl w:ilvl="0">
      <w:lvlJc w:val="left"/>
      <w:lvlText w:val="%1."/>
      <w:numFmt w:val="lowerLetter"/>
      <w:start w:val="16"/>
    </w:lvl>
  </w:abstractNum>
  <w:abstractNum w:abstractNumId="138">
    <w:nsid w:val="744939A3"/>
    <w:multiLevelType w:val="hybridMultilevel"/>
    <w:lvl w:ilvl="0">
      <w:lvlJc w:val="left"/>
      <w:lvlText w:val="%1."/>
      <w:numFmt w:val="lowerLetter"/>
      <w:start w:val="17"/>
    </w:lvl>
  </w:abstractNum>
  <w:abstractNum w:abstractNumId="139">
    <w:nsid w:val="4FA0D2E3"/>
    <w:multiLevelType w:val="hybridMultilevel"/>
    <w:lvl w:ilvl="0">
      <w:lvlJc w:val="left"/>
      <w:lvlText w:val="%1."/>
      <w:numFmt w:val="lowerLetter"/>
      <w:start w:val="18"/>
    </w:lvl>
  </w:abstractNum>
  <w:abstractNum w:abstractNumId="140">
    <w:nsid w:val="6B1D2C14"/>
    <w:multiLevelType w:val="hybridMultilevel"/>
    <w:lvl w:ilvl="0">
      <w:lvlJc w:val="left"/>
      <w:lvlText w:val="%1."/>
      <w:numFmt w:val="decimal"/>
      <w:start w:val="2"/>
    </w:lvl>
  </w:abstractNum>
  <w:abstractNum w:abstractNumId="141">
    <w:nsid w:val="68B867D3"/>
    <w:multiLevelType w:val="hybridMultilevel"/>
    <w:lvl w:ilvl="0">
      <w:lvlJc w:val="left"/>
      <w:lvlText w:val="%1."/>
      <w:numFmt w:val="decimal"/>
      <w:start w:val="4"/>
    </w:lvl>
  </w:abstractNum>
  <w:abstractNum w:abstractNumId="142">
    <w:nsid w:val="3F7F5DD9"/>
    <w:multiLevelType w:val="hybridMultilevel"/>
    <w:lvl w:ilvl="0">
      <w:lvlJc w:val="left"/>
      <w:lvlText w:val="%1."/>
      <w:numFmt w:val="decimal"/>
      <w:start w:val="5"/>
    </w:lvl>
  </w:abstractNum>
  <w:abstractNum w:abstractNumId="143">
    <w:nsid w:val="2AE05A34"/>
    <w:multiLevelType w:val="hybridMultilevel"/>
    <w:lvl w:ilvl="0">
      <w:lvlJc w:val="left"/>
      <w:lvlText w:val="%1."/>
      <w:numFmt w:val="decimal"/>
      <w:start w:val="6"/>
    </w:lvl>
  </w:abstractNum>
  <w:abstractNum w:abstractNumId="144">
    <w:nsid w:val="32794FF7"/>
    <w:multiLevelType w:val="hybridMultilevel"/>
    <w:lvl w:ilvl="0">
      <w:lvlJc w:val="left"/>
      <w:lvlText w:val="%1."/>
      <w:numFmt w:val="decimal"/>
      <w:start w:val="7"/>
    </w:lvl>
  </w:abstractNum>
  <w:abstractNum w:abstractNumId="145">
    <w:nsid w:val="5454945E"/>
    <w:multiLevelType w:val="hybridMultilevel"/>
    <w:lvl w:ilvl="0">
      <w:lvlJc w:val="left"/>
      <w:lvlText w:val="%1."/>
      <w:numFmt w:val="decimal"/>
      <w:start w:val="8"/>
    </w:lvl>
  </w:abstractNum>
  <w:abstractNum w:abstractNumId="146">
    <w:nsid w:val="4DEFDFA0"/>
    <w:multiLevelType w:val="hybridMultilevel"/>
    <w:lvl w:ilvl="0">
      <w:lvlJc w:val="left"/>
      <w:lvlText w:val="%1."/>
      <w:numFmt w:val="lowerLetter"/>
      <w:start w:val="1"/>
    </w:lvl>
  </w:abstractNum>
  <w:abstractNum w:abstractNumId="147">
    <w:nsid w:val="2123D5F2"/>
    <w:multiLevelType w:val="hybridMultilevel"/>
    <w:lvl w:ilvl="0">
      <w:lvlJc w:val="left"/>
      <w:lvlText w:val="%1."/>
      <w:numFmt w:val="lowerLetter"/>
      <w:start w:val="2"/>
    </w:lvl>
  </w:abstractNum>
  <w:abstractNum w:abstractNumId="148">
    <w:nsid w:val="135B8110"/>
    <w:multiLevelType w:val="hybridMultilevel"/>
    <w:lvl w:ilvl="0">
      <w:lvlJc w:val="left"/>
      <w:lvlText w:val="%1."/>
      <w:numFmt w:val="lowerLetter"/>
      <w:start w:val="3"/>
    </w:lvl>
  </w:abstractNum>
  <w:abstractNum w:abstractNumId="149">
    <w:nsid w:val="94927A8"/>
    <w:multiLevelType w:val="hybridMultilevel"/>
    <w:lvl w:ilvl="0">
      <w:lvlJc w:val="left"/>
      <w:lvlText w:val="%1."/>
      <w:numFmt w:val="lowerLetter"/>
      <w:start w:val="4"/>
    </w:lvl>
  </w:abstractNum>
  <w:abstractNum w:abstractNumId="150">
    <w:nsid w:val="DCDF8F6"/>
    <w:multiLevelType w:val="hybridMultilevel"/>
    <w:lvl w:ilvl="0">
      <w:lvlJc w:val="left"/>
      <w:lvlText w:val="%1."/>
      <w:numFmt w:val="lowerLetter"/>
      <w:start w:val="5"/>
    </w:lvl>
  </w:abstractNum>
  <w:abstractNum w:abstractNumId="151">
    <w:nsid w:val="52D7B105"/>
    <w:multiLevelType w:val="hybridMultilevel"/>
    <w:lvl w:ilvl="0">
      <w:lvlJc w:val="left"/>
      <w:lvlText w:val="%1."/>
      <w:numFmt w:val="lowerLetter"/>
      <w:start w:val="6"/>
    </w:lvl>
  </w:abstractNum>
  <w:abstractNum w:abstractNumId="152">
    <w:nsid w:val="2E8A6394"/>
    <w:multiLevelType w:val="hybridMultilevel"/>
    <w:lvl w:ilvl="0">
      <w:lvlJc w:val="left"/>
      <w:lvlText w:val="%1."/>
      <w:numFmt w:val="decimal"/>
      <w:start w:val="9"/>
    </w:lvl>
  </w:abstractNum>
  <w:abstractNum w:abstractNumId="153">
    <w:nsid w:val="24E60401"/>
    <w:multiLevelType w:val="hybridMultilevel"/>
    <w:lvl w:ilvl="0">
      <w:lvlJc w:val="left"/>
      <w:lvlText w:val="%1."/>
      <w:numFmt w:val="decimal"/>
      <w:start w:val="10"/>
    </w:lvl>
  </w:abstractNum>
  <w:abstractNum w:abstractNumId="154">
    <w:nsid w:val="2A6AD9BE"/>
    <w:multiLevelType w:val="hybridMultilevel"/>
    <w:lvl w:ilvl="0">
      <w:lvlJc w:val="left"/>
      <w:lvlText w:val="%1."/>
      <w:numFmt w:val="lowerLetter"/>
      <w:start w:val="1"/>
    </w:lvl>
  </w:abstractNum>
  <w:abstractNum w:abstractNumId="155">
    <w:nsid w:val="BAAC1B4"/>
    <w:multiLevelType w:val="hybridMultilevel"/>
    <w:lvl w:ilvl="0">
      <w:lvlJc w:val="left"/>
      <w:lvlText w:val="%1."/>
      <w:numFmt w:val="lowerLetter"/>
      <w:start w:val="2"/>
    </w:lvl>
  </w:abstractNum>
  <w:abstractNum w:abstractNumId="156">
    <w:nsid w:val="36B2ACBC"/>
    <w:multiLevelType w:val="hybridMultilevel"/>
    <w:lvl w:ilvl="0">
      <w:lvlJc w:val="left"/>
      <w:lvlText w:val="%1."/>
      <w:numFmt w:val="lowerLetter"/>
      <w:start w:val="3"/>
    </w:lvl>
  </w:abstractNum>
  <w:abstractNum w:abstractNumId="157">
    <w:nsid w:val="779D8544"/>
    <w:multiLevelType w:val="hybridMultilevel"/>
    <w:lvl w:ilvl="0">
      <w:lvlJc w:val="left"/>
      <w:lvlText w:val="%1."/>
      <w:numFmt w:val="lowerLetter"/>
      <w:start w:val="4"/>
    </w:lvl>
  </w:abstractNum>
  <w:abstractNum w:abstractNumId="158">
    <w:nsid w:val="4AB26E78"/>
    <w:multiLevelType w:val="hybridMultilevel"/>
    <w:lvl w:ilvl="0">
      <w:lvlJc w:val="left"/>
      <w:lvlText w:val="%1."/>
      <w:numFmt w:val="lowerLetter"/>
      <w:start w:val="5"/>
    </w:lvl>
  </w:abstractNum>
  <w:abstractNum w:abstractNumId="159">
    <w:nsid w:val="21FAA2FA"/>
    <w:multiLevelType w:val="hybridMultilevel"/>
    <w:lvl w:ilvl="0">
      <w:lvlJc w:val="left"/>
      <w:lvlText w:val="%1."/>
      <w:numFmt w:val="decimal"/>
      <w:start w:val="11"/>
    </w:lvl>
  </w:abstractNum>
  <w:abstractNum w:abstractNumId="160">
    <w:nsid w:val="5451CF49"/>
    <w:multiLevelType w:val="hybridMultilevel"/>
    <w:lvl w:ilvl="0">
      <w:lvlJc w:val="left"/>
      <w:lvlText w:val="%1."/>
      <w:numFmt w:val="decimal"/>
      <w:start w:val="12"/>
    </w:lvl>
  </w:abstractNum>
  <w:abstractNum w:abstractNumId="161">
    <w:nsid w:val="6181EF69"/>
    <w:multiLevelType w:val="hybridMultilevel"/>
    <w:lvl w:ilvl="0">
      <w:lvlJc w:val="left"/>
      <w:lvlText w:val="(%1)"/>
      <w:numFmt w:val="lowerLetter"/>
      <w:start w:val="1"/>
    </w:lvl>
  </w:abstractNum>
  <w:abstractNum w:abstractNumId="162">
    <w:nsid w:val="3E6400E6"/>
    <w:multiLevelType w:val="hybridMultilevel"/>
    <w:lvl w:ilvl="0">
      <w:lvlJc w:val="left"/>
      <w:lvlText w:val="(%1)"/>
      <w:numFmt w:val="lowerLetter"/>
      <w:start w:val="2"/>
    </w:lvl>
  </w:abstractNum>
  <w:abstractNum w:abstractNumId="163">
    <w:nsid w:val="14217E23"/>
    <w:multiLevelType w:val="hybridMultilevel"/>
    <w:lvl w:ilvl="0">
      <w:lvlJc w:val="left"/>
      <w:lvlText w:val="(%1)"/>
      <w:numFmt w:val="lowerLetter"/>
      <w:start w:val="6"/>
    </w:lvl>
  </w:abstractNum>
  <w:abstractNum w:abstractNumId="164">
    <w:nsid w:val="710757D0"/>
    <w:multiLevelType w:val="hybridMultilevel"/>
    <w:lvl w:ilvl="0">
      <w:lvlJc w:val="left"/>
      <w:lvlText w:val="(%1)"/>
      <w:numFmt w:val="decimal"/>
    </w:lvl>
    <w:lvl w:ilvl="1">
      <w:lvlJc w:val="left"/>
      <w:lvlText w:val="*"/>
      <w:numFmt w:val="bullet"/>
      <w:start w:val="1"/>
    </w:lvl>
  </w:abstractNum>
  <w:abstractNum w:abstractNumId="165">
    <w:nsid w:val="5015CD1A"/>
    <w:multiLevelType w:val="hybridMultilevel"/>
    <w:lvl w:ilvl="0">
      <w:lvlJc w:val="left"/>
      <w:lvlText w:val="(%1)"/>
      <w:numFmt w:val="decimal"/>
      <w:start w:val="1"/>
    </w:lvl>
  </w:abstractNum>
  <w:abstractNum w:abstractNumId="166">
    <w:nsid w:val="424479DA"/>
    <w:multiLevelType w:val="hybridMultilevel"/>
    <w:lvl w:ilvl="0">
      <w:lvlJc w:val="left"/>
      <w:lvlText w:val="(%1)"/>
      <w:numFmt w:val="decimal"/>
      <w:start w:val="1"/>
    </w:lvl>
  </w:abstractNum>
  <w:abstractNum w:abstractNumId="167">
    <w:nsid w:val="1A9A9E69"/>
    <w:multiLevelType w:val="hybridMultilevel"/>
    <w:lvl w:ilvl="0">
      <w:lvlJc w:val="left"/>
      <w:lvlText w:val="(%1)"/>
      <w:numFmt w:val="decimal"/>
      <w:start w:val="5"/>
    </w:lvl>
  </w:abstractNum>
  <w:abstractNum w:abstractNumId="168">
    <w:nsid w:val="475E256A"/>
    <w:multiLevelType w:val="hybridMultilevel"/>
    <w:lvl w:ilvl="0">
      <w:lvlJc w:val="left"/>
      <w:lvlText w:val="(%1)"/>
      <w:numFmt w:val="lowerLetter"/>
      <w:start w:val="1"/>
    </w:lvl>
  </w:abstractNum>
  <w:abstractNum w:abstractNumId="169">
    <w:nsid w:val="368DB37E"/>
    <w:multiLevelType w:val="hybridMultilevel"/>
    <w:lvl w:ilvl="0">
      <w:lvlJc w:val="left"/>
      <w:lvlText w:val="(%1)"/>
      <w:numFmt w:val="lowerLetter"/>
      <w:start w:val="1"/>
    </w:lvl>
  </w:abstractNum>
  <w:abstractNum w:abstractNumId="170">
    <w:nsid w:val="6A3B714C"/>
    <w:multiLevelType w:val="hybridMultilevel"/>
    <w:lvl w:ilvl="0">
      <w:lvlJc w:val="left"/>
      <w:lvlText w:val="(%1)"/>
      <w:numFmt w:val="lowerLetter"/>
      <w:start w:val="3"/>
    </w:lvl>
  </w:abstractNum>
  <w:abstractNum w:abstractNumId="171">
    <w:nsid w:val="327B517E"/>
    <w:multiLevelType w:val="hybridMultilevel"/>
    <w:lvl w:ilvl="0">
      <w:lvlJc w:val="left"/>
      <w:lvlText w:val="(%1)"/>
      <w:numFmt w:val="lowerLetter"/>
      <w:start w:val="1"/>
    </w:lvl>
  </w:abstractNum>
  <w:abstractNum w:abstractNumId="172">
    <w:nsid w:val="1F461B51"/>
    <w:multiLevelType w:val="hybridMultilevel"/>
    <w:lvl w:ilvl="0">
      <w:lvlJc w:val="left"/>
      <w:lvlText w:val="(%1)"/>
      <w:numFmt w:val="lowerLetter"/>
      <w:start w:val="1"/>
    </w:lvl>
  </w:abstractNum>
  <w:abstractNum w:abstractNumId="173">
    <w:nsid w:val="29BACF25"/>
    <w:multiLevelType w:val="hybridMultilevel"/>
    <w:lvl w:ilvl="0">
      <w:lvlJc w:val="left"/>
      <w:lvlText w:val="(%1)"/>
      <w:numFmt w:val="lowerLetter"/>
      <w:start w:val="1"/>
    </w:lvl>
  </w:abstractNum>
  <w:abstractNum w:abstractNumId="174">
    <w:nsid w:val="5D5BABB3"/>
    <w:multiLevelType w:val="hybridMultilevel"/>
    <w:lvl w:ilvl="0">
      <w:lvlJc w:val="left"/>
      <w:lvlText w:val="(%1)"/>
      <w:numFmt w:val="lowerLetter"/>
      <w:start w:val="4"/>
    </w:lvl>
  </w:abstractNum>
  <w:abstractNum w:abstractNumId="175">
    <w:nsid w:val="51BF6B4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76">
    <w:nsid w:val="7E0F6384"/>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77">
    <w:nsid w:val="2B4B8B53"/>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abstractNum>
  <w:abstractNum w:abstractNumId="178">
    <w:nsid w:val="72E3413A"/>
    <w:multiLevelType w:val="hybridMultilevel"/>
    <w:lvl w:ilvl="0">
      <w:lvlJc w:val="left"/>
      <w:lvlText w:val="(%1)"/>
      <w:numFmt w:val="lowerLetter"/>
      <w:start w:val="1"/>
    </w:lvl>
  </w:abstractNum>
  <w:abstractNum w:abstractNumId="179">
    <w:nsid w:val="116AE494"/>
    <w:multiLevelType w:val="hybridMultilevel"/>
    <w:lvl w:ilvl="0">
      <w:lvlJc w:val="left"/>
      <w:lvlText w:val="(%1)"/>
      <w:numFmt w:val="decimal"/>
      <w:start w:val="10"/>
    </w:lvl>
  </w:abstractNum>
  <w:abstractNum w:abstractNumId="180">
    <w:nsid w:val="3494B2FB"/>
    <w:multiLevelType w:val="hybridMultilevel"/>
    <w:lvl w:ilvl="0">
      <w:lvlJc w:val="left"/>
      <w:lvlText w:val="(%1)"/>
      <w:numFmt w:val="lowerLetter"/>
      <w:start w:val="5"/>
    </w:lvl>
  </w:abstractNum>
  <w:abstractNum w:abstractNumId="181">
    <w:nsid w:val="B13A31"/>
    <w:multiLevelType w:val="hybridMultilevel"/>
    <w:lvl w:ilvl="0">
      <w:lvlJc w:val="left"/>
      <w:lvlText w:val="(%1)"/>
      <w:numFmt w:val="decimal"/>
      <w:start w:val="2"/>
    </w:lvl>
  </w:abstractNum>
  <w:abstractNum w:abstractNumId="182">
    <w:nsid w:val="64429599"/>
    <w:multiLevelType w:val="hybridMultilevel"/>
    <w:lvl w:ilvl="0">
      <w:lvlJc w:val="left"/>
      <w:lvlText w:val="(%1)"/>
      <w:numFmt w:val="lowerLetter"/>
      <w:start w:val="1"/>
    </w:lvl>
  </w:abstractNum>
  <w:abstractNum w:abstractNumId="183">
    <w:nsid w:val="631F1690"/>
    <w:multiLevelType w:val="hybridMultilevel"/>
    <w:lvl w:ilvl="0">
      <w:lvlJc w:val="left"/>
      <w:lvlText w:val="(%1)"/>
      <w:numFmt w:val="lowerLetter"/>
      <w:start w:val="1"/>
    </w:lvl>
  </w:abstractNum>
  <w:abstractNum w:abstractNumId="184">
    <w:nsid w:val="25973E32"/>
    <w:multiLevelType w:val="hybridMultilevel"/>
    <w:lvl w:ilvl="0">
      <w:lvlJc w:val="left"/>
      <w:lvlText w:val="(%1)"/>
      <w:numFmt w:val="lowerLetter"/>
      <w:start w:val="1"/>
    </w:lvl>
  </w:abstractNum>
  <w:abstractNum w:abstractNumId="185">
    <w:nsid w:val="EAD6F57"/>
    <w:multiLevelType w:val="hybridMultilevel"/>
    <w:lvl w:ilvl="0">
      <w:lvlJc w:val="left"/>
      <w:lvlText w:val="(%1)"/>
      <w:numFmt w:val="lowerLetter"/>
      <w:start w:val="3"/>
    </w:lvl>
  </w:abstractNum>
  <w:abstractNum w:abstractNumId="186">
    <w:nsid w:val="6EC9D84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Letter"/>
      <w:start w:val="9"/>
    </w:lvl>
  </w:abstractNum>
  <w:abstractNum w:abstractNumId="187">
    <w:nsid w:val="5C49EAEE"/>
    <w:multiLevelType w:val="hybridMultilevel"/>
    <w:lvl w:ilvl="0">
      <w:lvlJc w:val="left"/>
      <w:lvlText w:val="%1"/>
      <w:numFmt w:val="lowerLetter"/>
      <w:start w:val="1"/>
    </w:lvl>
    <w:lvl w:ilvl="1">
      <w:lvlJc w:val="left"/>
      <w:lvlText w:val="(%2)"/>
      <w:numFmt w:val="lowerRoman"/>
      <w:start w:val="3"/>
    </w:lvl>
  </w:abstractNum>
  <w:abstractNum w:abstractNumId="188">
    <w:nsid w:val="64AF49B"/>
    <w:multiLevelType w:val="hybridMultilevel"/>
    <w:lvl w:ilvl="0">
      <w:lvlJc w:val="left"/>
      <w:lvlText w:val="(%1)"/>
      <w:numFmt w:val="lowerLetter"/>
      <w:start w:val="2"/>
    </w:lvl>
    <w:lvl w:ilvl="1">
      <w:lvlJc w:val="left"/>
      <w:lvlText w:val="%2"/>
      <w:numFmt w:val="lowerRoman"/>
      <w:start w:val="1"/>
    </w:lvl>
  </w:abstractNum>
  <w:abstractNum w:abstractNumId="189">
    <w:nsid w:val="397C46BC"/>
    <w:multiLevelType w:val="hybridMultilevel"/>
    <w:lvl w:ilvl="0">
      <w:lvlJc w:val="left"/>
      <w:lvlText w:val="(%1)"/>
      <w:numFmt w:val="lowerLetter"/>
      <w:start w:val="5"/>
    </w:lvl>
  </w:abstractNum>
  <w:abstractNum w:abstractNumId="190">
    <w:nsid w:val="7E448DE9"/>
    <w:multiLevelType w:val="hybridMultilevel"/>
    <w:lvl w:ilvl="0">
      <w:lvlJc w:val="left"/>
      <w:lvlText w:val="(%1)"/>
      <w:numFmt w:val="lowerRoman"/>
      <w:start w:val="1"/>
    </w:lvl>
  </w:abstractNum>
  <w:abstractNum w:abstractNumId="191">
    <w:nsid w:val="5A9CC3E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2019-12-15T07:30:55Z</dcterms:created>
  <dcterms:modified xsi:type="dcterms:W3CDTF">2019-12-15T07:30:55Z</dcterms:modified>
</cp:coreProperties>
</file>