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March 30, 2004</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71755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S-3</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REGISTRATION STATEMENT</w:t>
      </w:r>
    </w:p>
    <w:p>
      <w:pPr>
        <w:jc w:val="center"/>
        <w:ind w:right="20"/>
        <w:spacing w:after="0" w:line="235" w:lineRule="auto"/>
        <w:rPr>
          <w:sz w:val="20"/>
          <w:szCs w:val="20"/>
          <w:color w:val="auto"/>
        </w:rPr>
      </w:pPr>
      <w:r>
        <w:rPr>
          <w:rFonts w:ascii="Arial" w:cs="Arial" w:eastAsia="Arial" w:hAnsi="Arial"/>
          <w:sz w:val="22"/>
          <w:szCs w:val="22"/>
          <w:b w:val="1"/>
          <w:bCs w:val="1"/>
          <w:color w:val="auto"/>
        </w:rPr>
        <w:t>UNDER</w:t>
      </w:r>
    </w:p>
    <w:p>
      <w:pPr>
        <w:jc w:val="center"/>
        <w:ind w:right="20"/>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64770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40"/>
          </w:cols>
          <w:pgMar w:left="240" w:top="230" w:right="219" w:bottom="578"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540" w:space="720"/>
            <w:col w:w="3180"/>
          </w:cols>
          <w:pgMar w:left="240" w:top="230" w:right="219" w:bottom="578" w:gutter="0" w:footer="0" w:header="0"/>
          <w:type w:val="continuous"/>
        </w:sectPr>
      </w:pPr>
    </w:p>
    <w:p>
      <w:pPr>
        <w:ind w:left="10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2">
            <w:col w:w="6980" w:space="720"/>
            <w:col w:w="3740"/>
          </w:cols>
          <w:pgMar w:left="240" w:top="230" w:right="219" w:bottom="578" w:gutter="0" w:footer="0" w:header="0"/>
          <w:type w:val="continuous"/>
        </w:sectPr>
      </w:pPr>
    </w:p>
    <w:p>
      <w:pPr>
        <w:jc w:val="center"/>
        <w:ind w:right="20"/>
        <w:spacing w:after="0"/>
        <w:rPr>
          <w:sz w:val="20"/>
          <w:szCs w:val="20"/>
          <w:color w:val="auto"/>
        </w:rPr>
      </w:pPr>
      <w:r>
        <w:rPr>
          <w:rFonts w:ascii="Arial" w:cs="Arial" w:eastAsia="Arial" w:hAnsi="Arial"/>
          <w:sz w:val="15"/>
          <w:szCs w:val="15"/>
          <w:b w:val="1"/>
          <w:bCs w:val="1"/>
          <w:color w:val="auto"/>
        </w:rPr>
        <w:t>3131 Las Vegas Boulevard South</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(702) 770-7555</w:t>
      </w:r>
    </w:p>
    <w:p>
      <w:pPr>
        <w:sectPr>
          <w:pgSz w:w="11900" w:h="16838" w:orient="portrait"/>
          <w:cols w:equalWidth="0" w:num="1">
            <w:col w:w="11440"/>
          </w:cols>
          <w:pgMar w:left="240" w:top="230" w:right="219" w:bottom="578" w:gutter="0" w:footer="0" w:header="0"/>
          <w:type w:val="continuous"/>
        </w:sectPr>
      </w:pP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jc w:val="center"/>
        <w:ind w:right="20"/>
        <w:spacing w:after="0"/>
        <w:rPr>
          <w:sz w:val="20"/>
          <w:szCs w:val="20"/>
          <w:color w:val="auto"/>
        </w:rPr>
      </w:pPr>
      <w:r>
        <w:rPr>
          <w:rFonts w:ascii="Arial" w:cs="Arial" w:eastAsia="Arial" w:hAnsi="Arial"/>
          <w:sz w:val="18"/>
          <w:szCs w:val="18"/>
          <w:b w:val="1"/>
          <w:bCs w:val="1"/>
          <w:color w:val="auto"/>
        </w:rPr>
        <w:t>Ronald J. Kramer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(702) 770-7555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62230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1" w:lineRule="exact"/>
        <w:rPr>
          <w:sz w:val="24"/>
          <w:szCs w:val="24"/>
          <w:color w:val="auto"/>
        </w:rPr>
      </w:pPr>
    </w:p>
    <w:tbl>
      <w:tblPr>
        <w:tblLayout w:type="fixed"/>
        <w:tblInd w:w="158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578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71"/>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91"/>
              </w:rPr>
              <w:t>Marc H. Rubinstein</w:t>
            </w:r>
          </w:p>
        </w:tc>
        <w:tc>
          <w:tcPr>
            <w:tcW w:w="5780" w:type="dxa"/>
            <w:vAlign w:val="bottom"/>
          </w:tcPr>
          <w:p>
            <w:pPr>
              <w:jc w:val="center"/>
              <w:ind w:left="2332"/>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Wynn Resorts, Limited</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6"/>
              </w:rPr>
              <w:t>3131 Las Vegas Boulevard South</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7"/>
              </w:rPr>
              <w:t>Las Vegas, Nevada 89109</w:t>
            </w:r>
          </w:p>
        </w:tc>
        <w:tc>
          <w:tcPr>
            <w:tcW w:w="5780" w:type="dxa"/>
            <w:vAlign w:val="bottom"/>
          </w:tcPr>
          <w:p>
            <w:pPr>
              <w:jc w:val="center"/>
              <w:ind w:left="2332"/>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00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(702) 770-7555</w:t>
            </w:r>
          </w:p>
        </w:tc>
        <w:tc>
          <w:tcPr>
            <w:tcW w:w="5780" w:type="dxa"/>
            <w:vAlign w:val="bottom"/>
          </w:tcPr>
          <w:p>
            <w:pPr>
              <w:jc w:val="center"/>
              <w:ind w:left="2352"/>
              <w:spacing w:after="0"/>
              <w:rPr>
                <w:sz w:val="20"/>
                <w:szCs w:val="20"/>
                <w:color w:val="auto"/>
              </w:rPr>
            </w:pPr>
            <w:r>
              <w:rPr>
                <w:rFonts w:ascii="Arial" w:cs="Arial" w:eastAsia="Arial" w:hAnsi="Arial"/>
                <w:sz w:val="18"/>
                <w:szCs w:val="18"/>
                <w:b w:val="1"/>
                <w:bCs w:val="1"/>
                <w:color w:val="auto"/>
                <w:w w:val="89"/>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78740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ind w:left="360"/>
        <w:spacing w:after="0" w:line="153"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620" w:firstLine="342"/>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-8255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right="120" w:firstLine="342"/>
        <w:spacing w:after="0" w:line="127"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1216660</wp:posOffset>
            </wp:positionH>
            <wp:positionV relativeFrom="paragraph">
              <wp:posOffset>-5080</wp:posOffset>
            </wp:positionV>
            <wp:extent cx="342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ind w:left="360"/>
        <w:spacing w:after="0" w:line="139" w:lineRule="exact"/>
        <w:rPr>
          <w:sz w:val="20"/>
          <w:szCs w:val="20"/>
          <w:color w:val="auto"/>
        </w:rPr>
      </w:pPr>
      <w:r>
        <w:rPr>
          <w:rFonts w:ascii="Arial" w:cs="Arial" w:eastAsia="Arial" w:hAnsi="Arial"/>
          <w:sz w:val="14"/>
          <w:szCs w:val="14"/>
          <w:color w:val="auto"/>
        </w:rPr>
        <w:t xml:space="preserve">If delivery of the prospectus is expected to be made pursuant to Rule 434,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2"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6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Amount to be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1480" w:type="dxa"/>
            <w:vAlign w:val="bottom"/>
          </w:tcPr>
          <w:p>
            <w:pPr>
              <w:jc w:val="center"/>
              <w:ind w:left="272"/>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2600" w:type="dxa"/>
            <w:vAlign w:val="bottom"/>
          </w:tcPr>
          <w:p>
            <w:pPr>
              <w:ind w:left="1420"/>
              <w:spacing w:after="0"/>
              <w:rPr>
                <w:sz w:val="20"/>
                <w:szCs w:val="20"/>
                <w:color w:val="auto"/>
              </w:rPr>
            </w:pPr>
            <w:r>
              <w:rPr>
                <w:rFonts w:ascii="Arial" w:cs="Arial" w:eastAsia="Arial" w:hAnsi="Arial"/>
                <w:sz w:val="14"/>
                <w:szCs w:val="14"/>
                <w:b w:val="1"/>
                <w:bCs w:val="1"/>
                <w:color w:val="auto"/>
              </w:rPr>
              <w:t>Registered(1)</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Price(2)</w:t>
            </w:r>
          </w:p>
        </w:tc>
        <w:tc>
          <w:tcPr>
            <w:tcW w:w="1480" w:type="dxa"/>
            <w:vAlign w:val="bottom"/>
          </w:tcPr>
          <w:p>
            <w:pPr>
              <w:jc w:val="center"/>
              <w:ind w:left="29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Preferred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Depositary Shares representing Preferred Stock(4)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ind w:left="220" w:right="5440" w:hanging="215"/>
        <w:spacing w:after="0" w:line="239" w:lineRule="auto"/>
        <w:rPr>
          <w:sz w:val="20"/>
          <w:szCs w:val="20"/>
          <w:color w:val="auto"/>
        </w:rPr>
      </w:pPr>
      <w:r>
        <w:rPr>
          <w:rFonts w:ascii="Arial" w:cs="Arial" w:eastAsia="Arial" w:hAnsi="Arial"/>
          <w:sz w:val="14"/>
          <w:szCs w:val="14"/>
          <w:color w:val="auto"/>
        </w:rPr>
        <w:t>Senior debt securities, senior subordinated debt securities, subordinated debt securities and junior subordinated debt securities (collectively,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4"/>
          <w:szCs w:val="24"/>
          <w:color w:val="auto"/>
        </w:rPr>
      </w:pPr>
    </w:p>
    <w:p>
      <w:pPr>
        <w:ind w:left="440"/>
        <w:spacing w:after="0"/>
        <w:tabs>
          <w:tab w:leader="none" w:pos="6780" w:val="left"/>
          <w:tab w:leader="none" w:pos="8420" w:val="left"/>
          <w:tab w:leader="none" w:pos="8800" w:val="left"/>
          <w:tab w:leader="none" w:pos="10300" w:val="left"/>
          <w:tab w:leader="none" w:pos="10960" w:val="left"/>
        </w:tabs>
        <w:rPr>
          <w:sz w:val="20"/>
          <w:szCs w:val="20"/>
          <w:color w:val="auto"/>
        </w:rPr>
      </w:pP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$ 1,000,000,000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1,000,000,000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126,700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4" w:lineRule="exact"/>
        <w:rPr>
          <w:sz w:val="24"/>
          <w:szCs w:val="24"/>
          <w:color w:val="auto"/>
        </w:rPr>
      </w:pPr>
    </w:p>
    <w:p>
      <w:pPr>
        <w:ind w:left="340" w:right="80" w:hanging="332"/>
        <w:spacing w:after="0" w:line="262"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United States dollars or the equivalent thereof in one or more foreign currencies or units of two or more foreign currencies or composite currencies. Subject to Rule 462(b) under the Securities Act, the aggregate public offering price of the securities registered hereby will not exceed $1,000,000,000. Such amount represents the principal amount of any Debt Securities issued at their principal amount, the issue price rather than the principal amount of any Debt Securities issued at an original issue discount, the liquidation preference (or, if different, the issue price) of any Preferred Stock or Depositary Shares, and the issue price of any Common Stock, as may from time to time be issued at indeterminate prices. Pursuant to General Instruction II.D of Form S-3, the amount to be registered is not specified as to each class of securities. Any securities registered hereunder may be sold separately or as units with other securities registered hereunder.</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and exclusive of accrued interest and dividends, if any.</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w:t>
      </w:r>
    </w:p>
    <w:p>
      <w:pPr>
        <w:ind w:left="340" w:right="400" w:hanging="332"/>
        <w:spacing w:after="0" w:line="297"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39370</wp:posOffset>
            </wp:positionV>
            <wp:extent cx="1329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0" w:lineRule="exact"/>
        <w:rPr>
          <w:sz w:val="24"/>
          <w:szCs w:val="24"/>
          <w:color w:val="auto"/>
        </w:rPr>
      </w:pPr>
    </w:p>
    <w:p>
      <w:pPr>
        <w:ind w:right="4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40"/>
          </w:cols>
          <w:pgMar w:left="240" w:top="230" w:right="219" w:bottom="57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DE1A1E"/>
        </w:rPr>
        <w:t>SUBJECT TO COMPLETION, DATED MARCH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Wynn Resorts, Limited</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118110</wp:posOffset>
            </wp:positionV>
            <wp:extent cx="2992755" cy="128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Wynn Resorts, Limited may:</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common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preferred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depositary shares representing preferred stock to the public;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debt securities to the public.</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112"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164" w:lineRule="exact"/>
        <w:rPr>
          <w:sz w:val="20"/>
          <w:szCs w:val="20"/>
          <w:color w:val="auto"/>
        </w:rPr>
      </w:pPr>
    </w:p>
    <w:tbl>
      <w:tblPr>
        <w:tblLayout w:type="fixed"/>
        <w:tblInd w:w="4220" w:type="dxa"/>
        <w:tblCellMar>
          <w:top w:w="0" w:type="dxa"/>
          <w:left w:w="0" w:type="dxa"/>
          <w:bottom w:w="0" w:type="dxa"/>
          <w:right w:w="0" w:type="dxa"/>
        </w:tblCellMar>
      </w:tblPr>
      <w:tr>
        <w:trPr>
          <w:trHeight w:val="222"/>
        </w:trPr>
        <w:tc>
          <w:tcPr>
            <w:tcW w:w="2280" w:type="dxa"/>
            <w:vAlign w:val="bottom"/>
          </w:tcPr>
          <w:p>
            <w:pPr>
              <w:spacing w:after="0"/>
              <w:rPr>
                <w:sz w:val="20"/>
                <w:szCs w:val="20"/>
                <w:color w:val="auto"/>
              </w:rPr>
            </w:pPr>
            <w:r>
              <w:rPr>
                <w:rFonts w:ascii="Arial" w:cs="Arial" w:eastAsia="Arial" w:hAnsi="Arial"/>
                <w:sz w:val="18"/>
                <w:szCs w:val="18"/>
                <w:color w:val="auto"/>
                <w:w w:val="96"/>
              </w:rPr>
              <w:t>The date of this prospectus is</w:t>
            </w:r>
          </w:p>
        </w:tc>
        <w:tc>
          <w:tcPr>
            <w:tcW w:w="700" w:type="dxa"/>
            <w:vAlign w:val="bottom"/>
          </w:tcPr>
          <w:p>
            <w:pPr>
              <w:jc w:val="right"/>
              <w:spacing w:after="0"/>
              <w:rPr>
                <w:sz w:val="20"/>
                <w:szCs w:val="20"/>
                <w:color w:val="auto"/>
              </w:rPr>
            </w:pPr>
            <w:r>
              <w:rPr>
                <w:rFonts w:ascii="Arial" w:cs="Arial" w:eastAsia="Arial" w:hAnsi="Arial"/>
                <w:sz w:val="18"/>
                <w:szCs w:val="18"/>
                <w:color w:val="auto"/>
              </w:rPr>
              <w:t>, 2004.</w:t>
            </w:r>
          </w:p>
        </w:tc>
      </w:tr>
    </w:tbl>
    <w:p>
      <w:pPr>
        <w:sectPr>
          <w:pgSz w:w="11900" w:h="16838" w:orient="portrait"/>
          <w:cols w:equalWidth="0" w:num="1">
            <w:col w:w="11260"/>
          </w:cols>
          <w:pgMar w:left="24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8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940" w:type="dxa"/>
            <w:vAlign w:val="bottom"/>
          </w:tcPr>
          <w:p>
            <w:pPr>
              <w:spacing w:after="0"/>
              <w:rPr>
                <w:sz w:val="19"/>
                <w:szCs w:val="19"/>
                <w:color w:val="auto"/>
              </w:rPr>
            </w:pPr>
          </w:p>
        </w:tc>
      </w:tr>
      <w:tr>
        <w:trPr>
          <w:trHeight w:val="326"/>
        </w:trPr>
        <w:tc>
          <w:tcPr>
            <w:tcW w:w="74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760" w:type="dxa"/>
            <w:vAlign w:val="bottom"/>
            <w:gridSpan w:val="4"/>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SPECIAL NOTE REGARDING FORWARD-LOOKING STATEMENTS</w:t>
              </w:r>
            </w:hyperlink>
          </w:p>
        </w:tc>
        <w:tc>
          <w:tcPr>
            <w:tcW w:w="226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WYNN RESORTS, LIMITED</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RATIO OF EARNINGS TO COMBINED FIXED CHARGES AND PREFERRED STOCK DIVIDENDS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DESCRIPTION OF SECURITIES</w:t>
              </w:r>
            </w:hyperlink>
          </w:p>
        </w:tc>
        <w:tc>
          <w:tcPr>
            <w:tcW w:w="5020" w:type="dxa"/>
            <w:vAlign w:val="bottom"/>
            <w:gridSpan w:val="9"/>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CAPITAL STOCK</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DEPOSITARY SHARES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DESCRIPTION OF DEBT SECURITIES</w:t>
              </w:r>
            </w:hyperlink>
          </w:p>
        </w:tc>
        <w:tc>
          <w:tcPr>
            <w:tcW w:w="280" w:type="dxa"/>
            <w:vAlign w:val="bottom"/>
            <w:tcBorders>
              <w:top w:val="single" w:sz="8" w:color="0000EE"/>
            </w:tcBorders>
          </w:tcPr>
          <w:p>
            <w:pPr>
              <w:spacing w:after="0"/>
              <w:rPr>
                <w:sz w:val="17"/>
                <w:szCs w:val="17"/>
                <w:color w:val="auto"/>
              </w:rPr>
            </w:pPr>
          </w:p>
        </w:tc>
        <w:tc>
          <w:tcPr>
            <w:tcW w:w="4240" w:type="dxa"/>
            <w:vAlign w:val="bottom"/>
            <w:gridSpan w:val="5"/>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PLAN OF DISTRIBUTION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548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6060" w:type="dxa"/>
            <w:vAlign w:val="bottom"/>
            <w:gridSpan w:val="1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77"/>
        </w:trPr>
        <w:tc>
          <w:tcPr>
            <w:tcW w:w="7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we may sell any combination of the securities described in this prospectus in one or more offerings up to a total dollar amount of $1,000,000,000.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2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6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have no obligation to pay any amounts due on any debt securities or to provide us with funds for our payment obligations. Our subsidiaries currently have no material operations or earnings, and the debt agreements of the Wynn Las Vegas entities contain significant restrictions on those entities’ ability to distribute funds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We have funded approximately $1.1 billion of project costs through December 31, 2003, with equity contributions and debt. As of December 31, 2003, we had more than $1.1 billion available under our existing credit agreements and approximately $220 million of long-term restricted cash available for the project.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April 14, 2004 (which due date may be extended). We will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the issuance of our 6% Convertible Subordinated Debentures due 2015.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outstanding for any of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Unless otherwise stated in the applicable prospectus supplement, we intend to use the net proceeds of any securities sold by us for general corporate purposes, including working capital, acquisitions, possible repurchases of our outstanding securities and other business opportunities.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a summary of our common stock, preferred stock, depositary shares and debt securities. These summaries are not meant to be a complete description of each security. The particular terms of any security to be issued pursuant to this Registration Statement will be set forth in a related prospectus supplement. This prospectus and the accompanying prospectus supplement will contain the material terms and conditions for each security. As used in this “Description of Securities” section, the words “Wynn Resorts,” “we,” “our,” “us,” or similar terms refer only to Wynn Resorts and not to any of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In addition, Mr. Wynn has entered into an agreement with us that gives us the right to require Mr. Wynn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two-thirds of the outstanding voting power, voting as a single class.</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two-thirds of the outstanding stock entitled to vote in the election of directors to amend the classified board provision. As a result, at least two annual meetings of stockholders may be necessary to change a majority of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Indemnification of Directors and Officers</w:t>
      </w:r>
      <w:r>
        <w:rPr>
          <w:rFonts w:ascii="Arial" w:cs="Arial" w:eastAsia="Arial" w:hAnsi="Arial"/>
          <w:sz w:val="16"/>
          <w:szCs w:val="16"/>
          <w:color w:val="auto"/>
        </w:rPr>
        <w:t>. 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 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Deposit Agreement and the depositary receipt relating to the preferred stock that is attached to the Deposit Agreement. You should read these documents as they, and not this description, define your rights as a holder of depositary shares. Forms of these documents have been filed with the SEC as an exhibit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attributing to any holder of depositary shares a fraction of one cent. The depositary will add the undistributed balance and treat it as part of the next sum received by the depositary for distribution to holders of depositary shares.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Redemption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applicable series of preferred stock. The depositary will mail notice of redemption to the record holders of the depositary shares that are to be redeemed between 30 and 60 days before the date fixed for redemption. The redemption price per depositary share will be equal to the applicable fraction of the redemption price per share on the applicable series of preferred stock. If less than all the depositary shares are to be redeemed, the depositary will select which shares to be redeemed by lot, proportionate allocation or any other method.</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actions requested by the depositary to enable it to vote as instructed.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 that (b) 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3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that we are required by law, the rules of an applicable securities exchange or quotation service or our second amended and restated articles of incorporation, as amended,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 Subordinated Debt Securities and the Subordinated Debt Securities, the “Subordinated Securities”). The debt securities we offer will be issued under an indenture between us and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Bank National Association, acting as trustee. Debt securities, whether senior, senior subordinated, subordinated or junior subordinated, may be issued as convertible debt securities or exchangeable 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37"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issued in fully registered form without coupons or in a form registered as to principal only with coupons or in bearer form with coupons;</w:t>
      </w:r>
    </w:p>
    <w:p>
      <w:pPr>
        <w:spacing w:after="0" w:line="99"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if any, pursuant to which any debt securities will be subordinate to any of our other debt;</w:t>
      </w:r>
    </w:p>
    <w:p>
      <w:pPr>
        <w:spacing w:after="0" w:line="76" w:lineRule="exact"/>
        <w:rPr>
          <w:rFonts w:ascii="Arial" w:cs="Arial" w:eastAsia="Arial" w:hAnsi="Arial"/>
          <w:sz w:val="18"/>
          <w:szCs w:val="18"/>
          <w:color w:val="auto"/>
        </w:rPr>
      </w:pPr>
    </w:p>
    <w:p>
      <w:pPr>
        <w:ind w:left="800" w:right="280" w:hanging="346"/>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and the terms and conditions of any acceleration;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applicable, covenants affording holders of debt protection with respect to our operations, financial condition or transactions involving us;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applicable prospectus supplement will set forth material U.S. federal income tax considerations for holders of any debt securities and the securities exchange or quotation system on which any debt securities are listed or quoted, if any.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83"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unsecured and unsubordinated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senior debt.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83" w:lineRule="exact"/>
        <w:rPr>
          <w:sz w:val="20"/>
          <w:szCs w:val="20"/>
          <w:color w:val="auto"/>
        </w:rPr>
      </w:pPr>
    </w:p>
    <w:p>
      <w:pPr>
        <w:ind w:right="520" w:firstLine="456"/>
        <w:spacing w:after="0" w:line="325" w:lineRule="auto"/>
        <w:rPr>
          <w:sz w:val="20"/>
          <w:szCs w:val="20"/>
          <w:color w:val="auto"/>
        </w:rPr>
      </w:pPr>
      <w:r>
        <w:rPr>
          <w:rFonts w:ascii="Arial" w:cs="Arial" w:eastAsia="Arial" w:hAnsi="Arial"/>
          <w:sz w:val="16"/>
          <w:szCs w:val="16"/>
          <w:color w:val="auto"/>
        </w:rPr>
        <w:t>Debt securities may be convertible into or exchangeable for other securities or property of Wynn Resorts. The terms and conditions of conversion or exchange will be set forth in the applicable prospectus supplement. The terms will include, among others, the following:</w:t>
      </w:r>
    </w:p>
    <w:p>
      <w:pPr>
        <w:spacing w:after="0" w:line="1"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regarding the ability of Wynn Resorts or the holder to convert or exchange the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8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cannot consolidate or merge with or into, or transfer or lease all or substantially all of our assets to, any person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9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of Wynn Resorts or a highly leveraged transaction, unless the transaction or change of control were structured to include a merger or consolidation or transfer or lease of all or substantially all of our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77" w:lineRule="exact"/>
        <w:rPr>
          <w:sz w:val="20"/>
          <w:szCs w:val="20"/>
          <w:color w:val="auto"/>
        </w:rPr>
      </w:pPr>
    </w:p>
    <w:p>
      <w:pPr>
        <w:ind w:left="800" w:right="2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by Wynn Resorts in accordance with the terms of the debt securities shall not constitute a failure to pay interest;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of bankruptcy, insolvency or reorganization of Wynn Resorts; or</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series of debt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indenture. Unless otherwise indicated in the applicable prospectus supplement, an Event of Default relating to the payment of interest, principal or any sinking fund installment involving any series of debt securities has occurred and is continuing, the trustee or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holders of not less than 25% in aggregate principal amount of the debt securities of each affected series may declare the entire principal of all the debt securities of that series to be due and payable immediately.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otherwise indicated in the applicable prospectus supplement, an Event of Default relating to the performance of other covenants occurs and is continuing for a period of 90 days after notice of such, or if any other Event of Default occurs and is continuing involving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9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Similarly, unless otherwise indicated in the applicable prospectus supplement, if an Event of Default relating to the performance of other covenants occurs and is continuing for a period of 90 days after notice of such, or if any other Event of Default occurs and is continuing involving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however, the Event of Default relating to the performance of other covenants or any other Event of Default that has occurred and is continuing is for less than all of the series of Senior Debt Securities or Subordinated Securities, as the case may be, then, unless otherwise indicated in the applicable prospectus supplement,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relating to events of bankruptcy, insolvency or reorganization of Wynn Resorts occurs and is continuing, then the principal amount of all of the debt securities outstanding, and any accrued interest, will automatically become due and payable immediately, without any declaration or other act by the trustee or any holder.</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requesting holders have offered the trustee reasonable indemnity for expenses and liabilities that may be incurred by bringing the action;</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trustee has not received inconsistent direction by the holders of a majority in principal amount of the outstanding debt securities of the series.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an officer of Wynn Resorts, stating whether or not the officer knows of any default by us in the performance, observance or fulfillment of any condition or covenant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3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 w:lineRule="exact"/>
        <w:rPr>
          <w:sz w:val="20"/>
          <w:szCs w:val="20"/>
          <w:color w:val="auto"/>
        </w:rPr>
      </w:pPr>
    </w:p>
    <w:p>
      <w:pPr>
        <w:ind w:left="800" w:right="360" w:hanging="346"/>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 w:lineRule="exact"/>
        <w:rPr>
          <w:rFonts w:ascii="Arial" w:cs="Arial" w:eastAsia="Arial" w:hAnsi="Arial"/>
          <w:sz w:val="16"/>
          <w:szCs w:val="16"/>
          <w:color w:val="auto"/>
        </w:rPr>
      </w:pPr>
    </w:p>
    <w:p>
      <w:pPr>
        <w:jc w:val="both"/>
        <w:ind w:left="800" w:hanging="346"/>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99" w:lineRule="exact"/>
        <w:rPr>
          <w:rFonts w:ascii="Arial" w:cs="Arial" w:eastAsia="Arial" w:hAnsi="Arial"/>
          <w:sz w:val="16"/>
          <w:szCs w:val="16"/>
          <w:color w:val="auto"/>
        </w:rPr>
      </w:pPr>
    </w:p>
    <w:p>
      <w:pPr>
        <w:ind w:left="800" w:right="60" w:hanging="346"/>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2"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procedures of a participant through which the person owns its interest, to exercise any rights of a holder under the indenture.</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Wynn Resorts, the trustee or any other agent of Wynn Resorts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subject to the discharge and defeasance provisions of the indenture.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49" w:lineRule="exact"/>
        <w:rPr>
          <w:sz w:val="20"/>
          <w:szCs w:val="20"/>
          <w:color w:val="auto"/>
        </w:rPr>
      </w:pPr>
    </w:p>
    <w:p>
      <w:pPr>
        <w:ind w:left="80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37" w:lineRule="exact"/>
        <w:rPr>
          <w:rFonts w:ascii="Arial" w:cs="Arial" w:eastAsia="Arial" w:hAnsi="Arial"/>
          <w:sz w:val="18"/>
          <w:szCs w:val="18"/>
          <w:color w:val="auto"/>
        </w:rPr>
      </w:pPr>
    </w:p>
    <w:p>
      <w:pPr>
        <w:ind w:left="800" w:right="60" w:hanging="346"/>
        <w:spacing w:after="0" w:line="255"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provides that we and the trustee may enter into supplemental indentures without the consent of the holders of debt securities to:</w:t>
      </w:r>
    </w:p>
    <w:p>
      <w:pPr>
        <w:spacing w:after="0" w:line="100"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all series of Senior Debt Securities or Subordinated Securities,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18"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the currency in which the principal (other than as may be provided otherwise with respect to a series), premium, if any, or interest is payable;</w:t>
      </w:r>
    </w:p>
    <w:p>
      <w:pPr>
        <w:spacing w:after="0" w:line="99" w:lineRule="exact"/>
        <w:rPr>
          <w:rFonts w:ascii="Arial" w:cs="Arial" w:eastAsia="Arial" w:hAnsi="Arial"/>
          <w:sz w:val="16"/>
          <w:szCs w:val="16"/>
          <w:color w:val="auto"/>
        </w:rPr>
      </w:pPr>
    </w:p>
    <w:p>
      <w:pPr>
        <w:ind w:left="800" w:right="74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Securities in a manner adverse to the holders of those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w:t>
      </w:r>
    </w:p>
    <w:p>
      <w:pPr>
        <w:spacing w:after="0" w:line="158" w:lineRule="exact"/>
        <w:rPr>
          <w:sz w:val="20"/>
          <w:szCs w:val="20"/>
          <w:color w:val="auto"/>
        </w:rPr>
      </w:pPr>
    </w:p>
    <w:p>
      <w:pPr>
        <w:ind w:right="1240" w:firstLine="456"/>
        <w:spacing w:after="0" w:line="375" w:lineRule="auto"/>
        <w:rPr>
          <w:sz w:val="20"/>
          <w:szCs w:val="20"/>
          <w:color w:val="auto"/>
        </w:rPr>
      </w:pPr>
      <w:r>
        <w:rPr>
          <w:rFonts w:ascii="Arial" w:cs="Arial" w:eastAsia="Arial" w:hAnsi="Arial"/>
          <w:sz w:val="18"/>
          <w:szCs w:val="18"/>
          <w:color w:val="auto"/>
        </w:rPr>
        <w:t xml:space="preserve">A prospectus supplement may set forth modifications or additions to these provisions with respect to a particular series of Debt Securities. </w:t>
      </w:r>
      <w:r>
        <w:rPr>
          <w:rFonts w:ascii="Arial" w:cs="Arial" w:eastAsia="Arial" w:hAnsi="Arial"/>
          <w:sz w:val="18"/>
          <w:szCs w:val="18"/>
          <w:b w:val="1"/>
          <w:bCs w:val="1"/>
          <w:color w:val="auto"/>
        </w:rPr>
        <w:t>Concerning the Trustee</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Wynn Resorts,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indenture provides that no incorporator and no past, present or future shareholder, officer or director, of Wynn Resorts or any successor corporation in their capacity as such shall have any individual liability for any of our obligations, covenants or agreements under the debt securities or the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Wynn Resorts may sell common stock, preferred stock, depositary shares or any series of debt securities in one or more of the following ways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70"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itself directly;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supplements relating to an offering of offered securities will set forth the terms of such offering, including:</w:t>
      </w:r>
    </w:p>
    <w:p>
      <w:pPr>
        <w:spacing w:after="0" w:line="77"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to Wynn Resorts from the sale;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commissions or agency fees and other items constituting underwriters’ or agents’ compensation; and</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3" w:lineRule="exact"/>
        <w:rPr>
          <w:sz w:val="20"/>
          <w:szCs w:val="20"/>
          <w:color w:val="auto"/>
        </w:rPr>
      </w:pPr>
    </w:p>
    <w:p>
      <w:pPr>
        <w:ind w:left="800" w:right="54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37" w:lineRule="exact"/>
        <w:rPr>
          <w:rFonts w:ascii="Arial" w:cs="Arial" w:eastAsia="Arial" w:hAnsi="Arial"/>
          <w:sz w:val="18"/>
          <w:szCs w:val="18"/>
          <w:color w:val="auto"/>
        </w:rPr>
      </w:pPr>
    </w:p>
    <w:p>
      <w:pPr>
        <w:ind w:left="800" w:right="240" w:hanging="346"/>
        <w:spacing w:after="0" w:line="332"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transactions may be effected on any securities exchange, in the over-the-counter market, or otherwise. Underwriters are not required to engage in any of these activities, or to continue such activities if commenced.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dealer is used in the sale, Wynn Resorts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Offered securities may be sold directly by Wynn Resorts to one or more institutional purchasers, or through agents designated by Wynn Resorts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Wynn Resorts to such agent will be set forth, in the prospectus supplement relating to that offering. Unless otherwise indicated in such prospectus supplement, any such agent will be acting on a best efforts basis for the period of its appointment.</w:t>
      </w:r>
    </w:p>
    <w:p>
      <w:pPr>
        <w:spacing w:after="0" w:line="12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than our common stock, which is currently listed on the Nasdaq National Market, each of the securities issued hereunder will be a new issue of securities, will have no prior trading market, and may or may not be listed on a national securities exchange or the Nasdaq Stock Market. Any common stock sold pursuant to a prospectus supplement will be listed on the over-the-counter market or national securities exchange on which our common stock is then listed, subject to official notice of issuance. Any underwriters to whom Wynn Resorts sells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consolidated financial statements incorporated in this prospectus by reference from Wynn Resorts’ Annual Report on Form 10-K for the year ended December 31, 2003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126,700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Printing and Engraving Fees and Expenses</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r>
      <w:tr>
        <w:trPr>
          <w:trHeight w:val="108"/>
        </w:trPr>
        <w:tc>
          <w:tcPr>
            <w:tcW w:w="62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2"/>
        </w:trPr>
        <w:tc>
          <w:tcPr>
            <w:tcW w:w="62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10240" w:type="dxa"/>
            <w:vAlign w:val="bottom"/>
            <w:gridSpan w:val="3"/>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r>
      <w:tr>
        <w:trPr>
          <w:trHeight w:val="210"/>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2"/>
              </w:rPr>
              <w:t>Indenture, dated as of March 29, 2004, between Wynn Resorts, Limited and U.S. Bank National Association, as indenture trustee</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Form of Preferred Stock (3)</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Form of Deposit Agreement</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Form of Depositary Share (included in Exhibit 4.5)</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Opinion of Skadden, Arps, Slate, Meagher &amp; Flom LLP</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Opinion of Schreck Brignone</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Consent of Independent Accountant</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22"/>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Consent of Schreck Brignone (included in Exhibit 5.2)</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16"/>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24</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3"/>
              </w:rPr>
              <w:t>Powers of Attorney of officers and directors of Wynn Resorts, Limited (included on signature page of this Registration Statement)</w:t>
            </w:r>
          </w:p>
        </w:tc>
      </w:tr>
      <w:tr>
        <w:trPr>
          <w:trHeight w:val="316"/>
        </w:trPr>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w w:val="91"/>
              </w:rPr>
              <w:t>Statement of Eligibility on Form T-1 under the Trust Indenture Act of 1939, as amended, of U.S. Bank National Association, trustee</w:t>
            </w: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40" w:type="dxa"/>
            <w:vAlign w:val="bottom"/>
            <w:gridSpan w:val="3"/>
          </w:tcPr>
          <w:p>
            <w:pPr>
              <w:ind w:left="680"/>
              <w:spacing w:after="0"/>
              <w:rPr>
                <w:sz w:val="20"/>
                <w:szCs w:val="20"/>
                <w:color w:val="auto"/>
              </w:rPr>
            </w:pPr>
            <w:r>
              <w:rPr>
                <w:rFonts w:ascii="Arial" w:cs="Arial" w:eastAsia="Arial" w:hAnsi="Arial"/>
                <w:sz w:val="18"/>
                <w:szCs w:val="18"/>
                <w:color w:val="auto"/>
              </w:rPr>
              <w:t>under the Indenture with respect to Senior Debt Securities</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r>
        <w:trPr>
          <w:trHeight w:val="208"/>
        </w:trPr>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w:t>
            </w: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91"/>
              </w:rPr>
              <w:t>Statement of Eligibility on Form T-1 under the Trust Indenture Act of 1939, as amended, of U.S. Bank National Association, trustee</w:t>
            </w:r>
          </w:p>
        </w:tc>
      </w:tr>
      <w:tr>
        <w:trPr>
          <w:trHeight w:val="224"/>
        </w:trPr>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under the Indenture with respect to Subordinated Debt Securities</w:t>
            </w: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60" w:type="dxa"/>
            <w:vAlign w:val="bottom"/>
          </w:tcPr>
          <w:p>
            <w:pPr>
              <w:spacing w:after="0"/>
              <w:rPr>
                <w:sz w:val="9"/>
                <w:szCs w:val="9"/>
                <w:color w:val="auto"/>
              </w:rPr>
            </w:pPr>
          </w:p>
        </w:tc>
      </w:tr>
    </w:tbl>
    <w:p>
      <w:pPr>
        <w:spacing w:after="0" w:line="100" w:lineRule="exact"/>
        <w:rPr>
          <w:sz w:val="20"/>
          <w:szCs w:val="20"/>
          <w:color w:val="auto"/>
        </w:rPr>
      </w:pPr>
    </w:p>
    <w:p>
      <w:pPr>
        <w:ind w:left="460" w:hanging="408"/>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or deemed to be incorporated by reference in this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60" w:hanging="296"/>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jc w:val="both"/>
        <w:ind w:left="920" w:right="20" w:firstLine="421"/>
        <w:spacing w:after="0" w:line="306" w:lineRule="auto"/>
        <w:tabs>
          <w:tab w:leader="none" w:pos="1598" w:val="left"/>
        </w:tabs>
        <w:numPr>
          <w:ilvl w:val="2"/>
          <w:numId w:val="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49" w:lineRule="exact"/>
        <w:rPr>
          <w:sz w:val="20"/>
          <w:szCs w:val="20"/>
          <w:color w:val="auto"/>
        </w:rPr>
      </w:pPr>
    </w:p>
    <w:p>
      <w:pPr>
        <w:ind w:left="920" w:right="260" w:firstLine="421"/>
        <w:spacing w:after="0" w:line="268" w:lineRule="auto"/>
        <w:tabs>
          <w:tab w:leader="none" w:pos="1647"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30th day of March,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jc w:val="center"/>
        <w:ind w:left="728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280"/>
        <w:spacing w:after="0"/>
        <w:rPr>
          <w:sz w:val="20"/>
          <w:szCs w:val="20"/>
          <w:color w:val="auto"/>
        </w:rPr>
      </w:pPr>
      <w:r>
        <w:rPr>
          <w:rFonts w:ascii="Arial" w:cs="Arial" w:eastAsia="Arial" w:hAnsi="Arial"/>
          <w:sz w:val="14"/>
          <w:szCs w:val="14"/>
          <w:b w:val="1"/>
          <w:bCs w:val="1"/>
          <w:color w:val="auto"/>
        </w:rPr>
        <w:t>Chief Executive Officer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Stephen A. Wynn, Ronald J. Kramer, John Strzemp and Marc H. Rubinstein,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substitute or substitutes, may lawfully do or cause to be done by virtue hereof.</w:t>
      </w:r>
    </w:p>
    <w:p>
      <w:pPr>
        <w:spacing w:after="0" w:line="9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March 30, 2004.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1880"/>
              <w:spacing w:after="0"/>
              <w:rPr>
                <w:sz w:val="20"/>
                <w:szCs w:val="20"/>
                <w:color w:val="auto"/>
              </w:rPr>
            </w:pPr>
            <w:r>
              <w:rPr>
                <w:rFonts w:ascii="Arial" w:cs="Arial" w:eastAsia="Arial" w:hAnsi="Arial"/>
                <w:sz w:val="18"/>
                <w:szCs w:val="18"/>
                <w:color w:val="auto"/>
              </w:rPr>
              <w:t>/s/</w:t>
            </w:r>
          </w:p>
        </w:tc>
        <w:tc>
          <w:tcPr>
            <w:tcW w:w="2400" w:type="dxa"/>
            <w:vAlign w:val="bottom"/>
          </w:tcPr>
          <w:p>
            <w:pPr>
              <w:jc w:val="center"/>
              <w:ind w:right="923"/>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1100" w:type="dxa"/>
            <w:vAlign w:val="bottom"/>
          </w:tcPr>
          <w:p>
            <w:pPr>
              <w:spacing w:after="0"/>
              <w:rPr>
                <w:sz w:val="18"/>
                <w:szCs w:val="18"/>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116"/>
        </w:trPr>
        <w:tc>
          <w:tcPr>
            <w:tcW w:w="22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2400" w:type="dxa"/>
            <w:vAlign w:val="bottom"/>
            <w:vMerge w:val="restart"/>
          </w:tcPr>
          <w:p>
            <w:pPr>
              <w:jc w:val="center"/>
              <w:ind w:right="1023"/>
              <w:spacing w:after="0"/>
              <w:rPr>
                <w:sz w:val="20"/>
                <w:szCs w:val="20"/>
                <w:color w:val="auto"/>
              </w:rPr>
            </w:pPr>
            <w:r>
              <w:rPr>
                <w:rFonts w:ascii="Arial" w:cs="Arial" w:eastAsia="Arial" w:hAnsi="Arial"/>
                <w:sz w:val="14"/>
                <w:szCs w:val="14"/>
                <w:b w:val="1"/>
                <w:bCs w:val="1"/>
                <w:color w:val="auto"/>
                <w:w w:val="88"/>
              </w:rPr>
              <w:t>Stephen A. Wynn</w:t>
            </w:r>
          </w:p>
        </w:tc>
        <w:tc>
          <w:tcPr>
            <w:tcW w:w="110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2220" w:type="dxa"/>
            <w:vAlign w:val="bottom"/>
          </w:tcPr>
          <w:p>
            <w:pPr>
              <w:ind w:left="2040"/>
              <w:spacing w:after="0"/>
              <w:rPr>
                <w:sz w:val="20"/>
                <w:szCs w:val="20"/>
                <w:color w:val="auto"/>
              </w:rPr>
            </w:pPr>
            <w:r>
              <w:rPr>
                <w:rFonts w:ascii="Arial" w:cs="Arial" w:eastAsia="Arial" w:hAnsi="Arial"/>
                <w:sz w:val="18"/>
                <w:szCs w:val="18"/>
                <w:color w:val="auto"/>
                <w:w w:val="83"/>
              </w:rPr>
              <w:t>/s/</w:t>
            </w:r>
          </w:p>
        </w:tc>
        <w:tc>
          <w:tcPr>
            <w:tcW w:w="2400" w:type="dxa"/>
            <w:vAlign w:val="bottom"/>
          </w:tcPr>
          <w:p>
            <w:pPr>
              <w:jc w:val="center"/>
              <w:ind w:right="903"/>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110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22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2400" w:type="dxa"/>
            <w:vAlign w:val="bottom"/>
            <w:vMerge w:val="restart"/>
          </w:tcPr>
          <w:p>
            <w:pPr>
              <w:jc w:val="center"/>
              <w:ind w:right="1043"/>
              <w:spacing w:after="0"/>
              <w:rPr>
                <w:sz w:val="20"/>
                <w:szCs w:val="20"/>
                <w:color w:val="auto"/>
              </w:rPr>
            </w:pPr>
            <w:r>
              <w:rPr>
                <w:rFonts w:ascii="Arial" w:cs="Arial" w:eastAsia="Arial" w:hAnsi="Arial"/>
                <w:sz w:val="14"/>
                <w:szCs w:val="14"/>
                <w:b w:val="1"/>
                <w:bCs w:val="1"/>
                <w:color w:val="auto"/>
                <w:w w:val="86"/>
              </w:rPr>
              <w:t>John Strzemp</w:t>
            </w:r>
          </w:p>
        </w:tc>
        <w:tc>
          <w:tcPr>
            <w:tcW w:w="110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220" w:type="dxa"/>
            <w:vAlign w:val="bottom"/>
          </w:tcPr>
          <w:p>
            <w:pPr>
              <w:ind w:left="2020"/>
              <w:spacing w:after="0"/>
              <w:rPr>
                <w:sz w:val="20"/>
                <w:szCs w:val="20"/>
                <w:color w:val="auto"/>
              </w:rPr>
            </w:pPr>
            <w:r>
              <w:rPr>
                <w:rFonts w:ascii="Arial" w:cs="Arial" w:eastAsia="Arial" w:hAnsi="Arial"/>
                <w:sz w:val="18"/>
                <w:szCs w:val="18"/>
                <w:color w:val="auto"/>
                <w:w w:val="94"/>
              </w:rPr>
              <w:t>/s/</w:t>
            </w:r>
          </w:p>
        </w:tc>
        <w:tc>
          <w:tcPr>
            <w:tcW w:w="2400" w:type="dxa"/>
            <w:vAlign w:val="bottom"/>
          </w:tcPr>
          <w:p>
            <w:pPr>
              <w:jc w:val="center"/>
              <w:ind w:right="903"/>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110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2400" w:type="dxa"/>
            <w:vAlign w:val="bottom"/>
          </w:tcPr>
          <w:p>
            <w:pPr>
              <w:jc w:val="center"/>
              <w:ind w:right="1043"/>
              <w:spacing w:after="0"/>
              <w:rPr>
                <w:sz w:val="20"/>
                <w:szCs w:val="20"/>
                <w:color w:val="auto"/>
              </w:rPr>
            </w:pPr>
            <w:r>
              <w:rPr>
                <w:rFonts w:ascii="Arial" w:cs="Arial" w:eastAsia="Arial" w:hAnsi="Arial"/>
                <w:sz w:val="14"/>
                <w:szCs w:val="14"/>
                <w:b w:val="1"/>
                <w:bCs w:val="1"/>
                <w:color w:val="auto"/>
                <w:w w:val="90"/>
              </w:rPr>
              <w:t>Kazuo Okada</w:t>
            </w:r>
          </w:p>
        </w:tc>
        <w:tc>
          <w:tcPr>
            <w:tcW w:w="11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620" w:type="dxa"/>
            <w:vAlign w:val="bottom"/>
            <w:gridSpan w:val="2"/>
          </w:tcPr>
          <w:p>
            <w:pPr>
              <w:ind w:left="1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110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2400" w:type="dxa"/>
            <w:vAlign w:val="bottom"/>
          </w:tcPr>
          <w:p>
            <w:pPr>
              <w:jc w:val="center"/>
              <w:ind w:right="1023"/>
              <w:spacing w:after="0"/>
              <w:rPr>
                <w:sz w:val="20"/>
                <w:szCs w:val="20"/>
                <w:color w:val="auto"/>
              </w:rPr>
            </w:pPr>
            <w:r>
              <w:rPr>
                <w:rFonts w:ascii="Arial" w:cs="Arial" w:eastAsia="Arial" w:hAnsi="Arial"/>
                <w:sz w:val="14"/>
                <w:szCs w:val="14"/>
                <w:b w:val="1"/>
                <w:bCs w:val="1"/>
                <w:color w:val="auto"/>
                <w:w w:val="91"/>
              </w:rPr>
              <w:t>Ronald J. Kramer</w:t>
            </w:r>
          </w:p>
        </w:tc>
        <w:tc>
          <w:tcPr>
            <w:tcW w:w="11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220" w:type="dxa"/>
            <w:vAlign w:val="bottom"/>
          </w:tcPr>
          <w:p>
            <w:pPr>
              <w:ind w:left="1900"/>
              <w:spacing w:after="0"/>
              <w:rPr>
                <w:sz w:val="20"/>
                <w:szCs w:val="20"/>
                <w:color w:val="auto"/>
              </w:rPr>
            </w:pPr>
            <w:r>
              <w:rPr>
                <w:rFonts w:ascii="Arial" w:cs="Arial" w:eastAsia="Arial" w:hAnsi="Arial"/>
                <w:sz w:val="18"/>
                <w:szCs w:val="18"/>
                <w:color w:val="auto"/>
              </w:rPr>
              <w:t>/s/</w:t>
            </w:r>
          </w:p>
        </w:tc>
        <w:tc>
          <w:tcPr>
            <w:tcW w:w="2400" w:type="dxa"/>
            <w:vAlign w:val="bottom"/>
          </w:tcPr>
          <w:p>
            <w:pPr>
              <w:jc w:val="center"/>
              <w:ind w:right="923"/>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110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2400" w:type="dxa"/>
            <w:vAlign w:val="bottom"/>
          </w:tcPr>
          <w:p>
            <w:pPr>
              <w:jc w:val="center"/>
              <w:ind w:right="1023"/>
              <w:spacing w:after="0"/>
              <w:rPr>
                <w:sz w:val="20"/>
                <w:szCs w:val="20"/>
                <w:color w:val="auto"/>
              </w:rPr>
            </w:pPr>
            <w:r>
              <w:rPr>
                <w:rFonts w:ascii="Arial" w:cs="Arial" w:eastAsia="Arial" w:hAnsi="Arial"/>
                <w:sz w:val="14"/>
                <w:szCs w:val="14"/>
                <w:b w:val="1"/>
                <w:bCs w:val="1"/>
                <w:color w:val="auto"/>
                <w:w w:val="92"/>
              </w:rPr>
              <w:t>Robert J. Miller</w:t>
            </w:r>
          </w:p>
        </w:tc>
        <w:tc>
          <w:tcPr>
            <w:tcW w:w="11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220" w:type="dxa"/>
            <w:vAlign w:val="bottom"/>
          </w:tcPr>
          <w:p>
            <w:pPr>
              <w:ind w:left="1980"/>
              <w:spacing w:after="0"/>
              <w:rPr>
                <w:sz w:val="20"/>
                <w:szCs w:val="20"/>
                <w:color w:val="auto"/>
              </w:rPr>
            </w:pPr>
            <w:r>
              <w:rPr>
                <w:rFonts w:ascii="Arial" w:cs="Arial" w:eastAsia="Arial" w:hAnsi="Arial"/>
                <w:sz w:val="18"/>
                <w:szCs w:val="18"/>
                <w:color w:val="auto"/>
              </w:rPr>
              <w:t>/s/</w:t>
            </w:r>
          </w:p>
        </w:tc>
        <w:tc>
          <w:tcPr>
            <w:tcW w:w="2400" w:type="dxa"/>
            <w:vAlign w:val="bottom"/>
          </w:tcPr>
          <w:p>
            <w:pPr>
              <w:jc w:val="center"/>
              <w:ind w:right="903"/>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110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2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2400" w:type="dxa"/>
            <w:vAlign w:val="bottom"/>
          </w:tcPr>
          <w:p>
            <w:pPr>
              <w:jc w:val="center"/>
              <w:ind w:right="1043"/>
              <w:spacing w:after="0"/>
              <w:rPr>
                <w:sz w:val="20"/>
                <w:szCs w:val="20"/>
                <w:color w:val="auto"/>
              </w:rPr>
            </w:pPr>
            <w:r>
              <w:rPr>
                <w:rFonts w:ascii="Arial" w:cs="Arial" w:eastAsia="Arial" w:hAnsi="Arial"/>
                <w:sz w:val="14"/>
                <w:szCs w:val="14"/>
                <w:b w:val="1"/>
                <w:bCs w:val="1"/>
                <w:color w:val="auto"/>
                <w:w w:val="90"/>
              </w:rPr>
              <w:t>John A. Moran</w:t>
            </w:r>
          </w:p>
        </w:tc>
        <w:tc>
          <w:tcPr>
            <w:tcW w:w="11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2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80" w:type="dxa"/>
            <w:vAlign w:val="bottom"/>
            <w:gridSpan w:val="2"/>
          </w:tcPr>
          <w:p>
            <w:pPr>
              <w:ind w:left="98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gridSpan w:val="2"/>
          </w:tcPr>
          <w:p>
            <w:pPr>
              <w:ind w:left="17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1060" w:type="dxa"/>
            <w:vAlign w:val="bottom"/>
          </w:tcPr>
          <w:p>
            <w:pPr>
              <w:spacing w:after="0"/>
              <w:rPr>
                <w:sz w:val="19"/>
                <w:szCs w:val="19"/>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200" w:type="dxa"/>
            <w:vAlign w:val="bottom"/>
          </w:tcPr>
          <w:p>
            <w:pPr>
              <w:spacing w:after="0"/>
              <w:rPr>
                <w:sz w:val="22"/>
                <w:szCs w:val="22"/>
                <w:color w:val="auto"/>
              </w:rPr>
            </w:pPr>
          </w:p>
        </w:tc>
        <w:tc>
          <w:tcPr>
            <w:tcW w:w="2460" w:type="dxa"/>
            <w:vAlign w:val="bottom"/>
          </w:tcPr>
          <w:p>
            <w:pPr>
              <w:jc w:val="center"/>
              <w:ind w:right="1063"/>
              <w:spacing w:after="0"/>
              <w:rPr>
                <w:sz w:val="20"/>
                <w:szCs w:val="20"/>
                <w:color w:val="auto"/>
              </w:rPr>
            </w:pPr>
            <w:r>
              <w:rPr>
                <w:rFonts w:ascii="Arial" w:cs="Arial" w:eastAsia="Arial" w:hAnsi="Arial"/>
                <w:sz w:val="14"/>
                <w:szCs w:val="14"/>
                <w:b w:val="1"/>
                <w:bCs w:val="1"/>
                <w:color w:val="auto"/>
                <w:w w:val="88"/>
              </w:rPr>
              <w:t>Alvin V. Shoemaker</w:t>
            </w:r>
          </w:p>
        </w:tc>
        <w:tc>
          <w:tcPr>
            <w:tcW w:w="1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1"/>
        </w:trPr>
        <w:tc>
          <w:tcPr>
            <w:tcW w:w="2200" w:type="dxa"/>
            <w:vAlign w:val="bottom"/>
          </w:tcPr>
          <w:p>
            <w:pPr>
              <w:ind w:left="1860"/>
              <w:spacing w:after="0"/>
              <w:rPr>
                <w:sz w:val="20"/>
                <w:szCs w:val="20"/>
                <w:color w:val="auto"/>
              </w:rPr>
            </w:pPr>
            <w:r>
              <w:rPr>
                <w:rFonts w:ascii="Arial" w:cs="Arial" w:eastAsia="Arial" w:hAnsi="Arial"/>
                <w:sz w:val="18"/>
                <w:szCs w:val="18"/>
                <w:color w:val="auto"/>
              </w:rPr>
              <w:t>/s/</w:t>
            </w:r>
          </w:p>
        </w:tc>
        <w:tc>
          <w:tcPr>
            <w:tcW w:w="2460" w:type="dxa"/>
            <w:vAlign w:val="bottom"/>
          </w:tcPr>
          <w:p>
            <w:pPr>
              <w:jc w:val="center"/>
              <w:ind w:right="943"/>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1060" w:type="dxa"/>
            <w:vAlign w:val="bottom"/>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200" w:type="dxa"/>
            <w:vAlign w:val="bottom"/>
          </w:tcPr>
          <w:p>
            <w:pPr>
              <w:spacing w:after="0"/>
              <w:rPr>
                <w:sz w:val="22"/>
                <w:szCs w:val="22"/>
                <w:color w:val="auto"/>
              </w:rPr>
            </w:pPr>
          </w:p>
        </w:tc>
        <w:tc>
          <w:tcPr>
            <w:tcW w:w="2460" w:type="dxa"/>
            <w:vAlign w:val="bottom"/>
          </w:tcPr>
          <w:p>
            <w:pPr>
              <w:jc w:val="center"/>
              <w:ind w:right="1043"/>
              <w:spacing w:after="0"/>
              <w:rPr>
                <w:sz w:val="20"/>
                <w:szCs w:val="20"/>
                <w:color w:val="auto"/>
              </w:rPr>
            </w:pPr>
            <w:r>
              <w:rPr>
                <w:rFonts w:ascii="Arial" w:cs="Arial" w:eastAsia="Arial" w:hAnsi="Arial"/>
                <w:sz w:val="14"/>
                <w:szCs w:val="14"/>
                <w:b w:val="1"/>
                <w:bCs w:val="1"/>
                <w:color w:val="auto"/>
                <w:w w:val="85"/>
              </w:rPr>
              <w:t>D. Boone Wayson</w:t>
            </w:r>
          </w:p>
        </w:tc>
        <w:tc>
          <w:tcPr>
            <w:tcW w:w="1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1"/>
        </w:trPr>
        <w:tc>
          <w:tcPr>
            <w:tcW w:w="2200" w:type="dxa"/>
            <w:vAlign w:val="bottom"/>
          </w:tcPr>
          <w:p>
            <w:pPr>
              <w:ind w:left="1960"/>
              <w:spacing w:after="0"/>
              <w:rPr>
                <w:sz w:val="20"/>
                <w:szCs w:val="20"/>
                <w:color w:val="auto"/>
              </w:rPr>
            </w:pPr>
            <w:r>
              <w:rPr>
                <w:rFonts w:ascii="Arial" w:cs="Arial" w:eastAsia="Arial" w:hAnsi="Arial"/>
                <w:sz w:val="18"/>
                <w:szCs w:val="18"/>
                <w:color w:val="auto"/>
              </w:rPr>
              <w:t>/s/</w:t>
            </w:r>
          </w:p>
        </w:tc>
        <w:tc>
          <w:tcPr>
            <w:tcW w:w="2460" w:type="dxa"/>
            <w:vAlign w:val="bottom"/>
          </w:tcPr>
          <w:p>
            <w:pPr>
              <w:jc w:val="center"/>
              <w:ind w:right="943"/>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1060" w:type="dxa"/>
            <w:vAlign w:val="bottom"/>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200" w:type="dxa"/>
            <w:vAlign w:val="bottom"/>
          </w:tcPr>
          <w:p>
            <w:pPr>
              <w:spacing w:after="0"/>
              <w:rPr>
                <w:sz w:val="22"/>
                <w:szCs w:val="22"/>
                <w:color w:val="auto"/>
              </w:rPr>
            </w:pPr>
          </w:p>
        </w:tc>
        <w:tc>
          <w:tcPr>
            <w:tcW w:w="2460" w:type="dxa"/>
            <w:vAlign w:val="bottom"/>
          </w:tcPr>
          <w:p>
            <w:pPr>
              <w:jc w:val="center"/>
              <w:ind w:right="1063"/>
              <w:spacing w:after="0"/>
              <w:rPr>
                <w:sz w:val="20"/>
                <w:szCs w:val="20"/>
                <w:color w:val="auto"/>
              </w:rPr>
            </w:pPr>
            <w:r>
              <w:rPr>
                <w:rFonts w:ascii="Arial" w:cs="Arial" w:eastAsia="Arial" w:hAnsi="Arial"/>
                <w:sz w:val="14"/>
                <w:szCs w:val="14"/>
                <w:b w:val="1"/>
                <w:bCs w:val="1"/>
                <w:color w:val="auto"/>
                <w:w w:val="87"/>
              </w:rPr>
              <w:t>Elaine P. Wynn</w:t>
            </w:r>
          </w:p>
        </w:tc>
        <w:tc>
          <w:tcPr>
            <w:tcW w:w="1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1"/>
        </w:trPr>
        <w:tc>
          <w:tcPr>
            <w:tcW w:w="2200" w:type="dxa"/>
            <w:vAlign w:val="bottom"/>
          </w:tcPr>
          <w:p>
            <w:pPr>
              <w:ind w:left="1960"/>
              <w:spacing w:after="0"/>
              <w:rPr>
                <w:sz w:val="20"/>
                <w:szCs w:val="20"/>
                <w:color w:val="auto"/>
              </w:rPr>
            </w:pPr>
            <w:r>
              <w:rPr>
                <w:rFonts w:ascii="Arial" w:cs="Arial" w:eastAsia="Arial" w:hAnsi="Arial"/>
                <w:sz w:val="18"/>
                <w:szCs w:val="18"/>
                <w:color w:val="auto"/>
              </w:rPr>
              <w:t>/s/</w:t>
            </w:r>
          </w:p>
        </w:tc>
        <w:tc>
          <w:tcPr>
            <w:tcW w:w="2460" w:type="dxa"/>
            <w:vAlign w:val="bottom"/>
          </w:tcPr>
          <w:p>
            <w:pPr>
              <w:jc w:val="center"/>
              <w:ind w:right="943"/>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TANLEY</w:t>
            </w:r>
            <w:r>
              <w:rPr>
                <w:rFonts w:ascii="Arial" w:cs="Arial" w:eastAsia="Arial" w:hAnsi="Arial"/>
                <w:sz w:val="18"/>
                <w:szCs w:val="18"/>
                <w:color w:val="auto"/>
                <w:w w:val="99"/>
              </w:rPr>
              <w:t xml:space="preserve"> R. Z</w:t>
            </w:r>
            <w:r>
              <w:rPr>
                <w:rFonts w:ascii="Arial" w:cs="Arial" w:eastAsia="Arial" w:hAnsi="Arial"/>
                <w:sz w:val="14"/>
                <w:szCs w:val="14"/>
                <w:color w:val="auto"/>
                <w:w w:val="99"/>
              </w:rPr>
              <w:t>AX</w:t>
            </w:r>
          </w:p>
        </w:tc>
        <w:tc>
          <w:tcPr>
            <w:tcW w:w="1060" w:type="dxa"/>
            <w:vAlign w:val="bottom"/>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200" w:type="dxa"/>
            <w:vAlign w:val="bottom"/>
          </w:tcPr>
          <w:p>
            <w:pPr>
              <w:spacing w:after="0"/>
              <w:rPr>
                <w:sz w:val="22"/>
                <w:szCs w:val="22"/>
                <w:color w:val="auto"/>
              </w:rPr>
            </w:pPr>
          </w:p>
        </w:tc>
        <w:tc>
          <w:tcPr>
            <w:tcW w:w="2460" w:type="dxa"/>
            <w:vAlign w:val="bottom"/>
          </w:tcPr>
          <w:p>
            <w:pPr>
              <w:jc w:val="center"/>
              <w:ind w:right="1043"/>
              <w:spacing w:after="0"/>
              <w:rPr>
                <w:sz w:val="20"/>
                <w:szCs w:val="20"/>
                <w:color w:val="auto"/>
              </w:rPr>
            </w:pPr>
            <w:r>
              <w:rPr>
                <w:rFonts w:ascii="Arial" w:cs="Arial" w:eastAsia="Arial" w:hAnsi="Arial"/>
                <w:sz w:val="14"/>
                <w:szCs w:val="14"/>
                <w:b w:val="1"/>
                <w:bCs w:val="1"/>
                <w:color w:val="auto"/>
                <w:w w:val="89"/>
              </w:rPr>
              <w:t>Stanley R. Zax</w:t>
            </w:r>
          </w:p>
        </w:tc>
        <w:tc>
          <w:tcPr>
            <w:tcW w:w="1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1"/>
        </w:trPr>
        <w:tc>
          <w:tcPr>
            <w:tcW w:w="2200" w:type="dxa"/>
            <w:vAlign w:val="bottom"/>
          </w:tcPr>
          <w:p>
            <w:pPr>
              <w:ind w:left="2040"/>
              <w:spacing w:after="0"/>
              <w:rPr>
                <w:sz w:val="20"/>
                <w:szCs w:val="20"/>
                <w:color w:val="auto"/>
              </w:rPr>
            </w:pPr>
            <w:r>
              <w:rPr>
                <w:rFonts w:ascii="Arial" w:cs="Arial" w:eastAsia="Arial" w:hAnsi="Arial"/>
                <w:sz w:val="18"/>
                <w:szCs w:val="18"/>
                <w:color w:val="auto"/>
                <w:w w:val="73"/>
              </w:rPr>
              <w:t>/s/</w:t>
            </w:r>
          </w:p>
        </w:tc>
        <w:tc>
          <w:tcPr>
            <w:tcW w:w="2460" w:type="dxa"/>
            <w:vAlign w:val="bottom"/>
          </w:tcPr>
          <w:p>
            <w:pPr>
              <w:jc w:val="center"/>
              <w:ind w:right="943"/>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1060" w:type="dxa"/>
            <w:vAlign w:val="bottom"/>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10"/>
        </w:trPr>
        <w:tc>
          <w:tcPr>
            <w:tcW w:w="22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r>
      <w:tr>
        <w:trPr>
          <w:trHeight w:val="263"/>
        </w:trPr>
        <w:tc>
          <w:tcPr>
            <w:tcW w:w="2200" w:type="dxa"/>
            <w:vAlign w:val="bottom"/>
          </w:tcPr>
          <w:p>
            <w:pPr>
              <w:spacing w:after="0"/>
              <w:rPr>
                <w:sz w:val="22"/>
                <w:szCs w:val="22"/>
                <w:color w:val="auto"/>
              </w:rPr>
            </w:pPr>
          </w:p>
        </w:tc>
        <w:tc>
          <w:tcPr>
            <w:tcW w:w="2460" w:type="dxa"/>
            <w:vAlign w:val="bottom"/>
          </w:tcPr>
          <w:p>
            <w:pPr>
              <w:jc w:val="center"/>
              <w:ind w:right="1063"/>
              <w:spacing w:after="0"/>
              <w:rPr>
                <w:sz w:val="20"/>
                <w:szCs w:val="20"/>
                <w:color w:val="auto"/>
              </w:rPr>
            </w:pPr>
            <w:r>
              <w:rPr>
                <w:rFonts w:ascii="Arial" w:cs="Arial" w:eastAsia="Arial" w:hAnsi="Arial"/>
                <w:sz w:val="14"/>
                <w:szCs w:val="14"/>
                <w:b w:val="1"/>
                <w:bCs w:val="1"/>
                <w:color w:val="auto"/>
                <w:w w:val="91"/>
              </w:rPr>
              <w:t>Allan Zeman</w:t>
            </w:r>
          </w:p>
        </w:tc>
        <w:tc>
          <w:tcPr>
            <w:tcW w:w="1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512"/>
        </w:trPr>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40" w:type="dxa"/>
            <w:vAlign w:val="bottom"/>
            <w:gridSpan w:val="2"/>
          </w:tcPr>
          <w:p>
            <w:pPr>
              <w:ind w:left="94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3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9780" w:type="dxa"/>
            <w:vAlign w:val="bottom"/>
            <w:gridSpan w:val="3"/>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r>
      <w:tr>
        <w:trPr>
          <w:trHeight w:val="316"/>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w w:val="90"/>
              </w:rPr>
              <w:t>Indenture, dated as of March 29, 2004, between Wynn Resorts, Limited and U.S. Bank National Association, as indenture trustee</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Form of Preferred Stock (3)</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Form of Deposit Agreement</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Form of Depositary Share (included in Exhibit 4.5)</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*5.1</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*5.2</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Opinion of Schreck Brignone</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Statement re: Computation of Ratio of Earnings to Combined Fixed Charges and Preferred Stock Dividends</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Consent of Independent Accountant</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*23.2</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*23.3</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Consent of Schreck Brignone (included in Exhibit 5.2)</w:t>
            </w:r>
          </w:p>
        </w:tc>
      </w:tr>
      <w:tr>
        <w:trPr>
          <w:trHeight w:val="324"/>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w w:val="90"/>
              </w:rPr>
              <w:t>Powers of Attorney of officers and directors of Wynn Resorts, Limited (included on signature page of this Registration Statement)</w:t>
            </w:r>
          </w:p>
        </w:tc>
      </w:tr>
      <w:tr>
        <w:trPr>
          <w:trHeight w:val="318"/>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*25.1</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w w:val="89"/>
              </w:rPr>
              <w:t>Statement of Eligibility on Form T-1 under the Trust Indenture Act of 1939, as amended, of U.S. Bank National Association, trustee</w:t>
            </w:r>
          </w:p>
        </w:tc>
      </w:tr>
      <w:tr>
        <w:trPr>
          <w:trHeight w:val="222"/>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under the Indenture with respect to Senior Debt Securities</w:t>
            </w:r>
          </w:p>
        </w:tc>
      </w:tr>
      <w:tr>
        <w:trPr>
          <w:trHeight w:val="318"/>
        </w:trPr>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*25.2</w:t>
            </w: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w w:val="89"/>
              </w:rPr>
              <w:t>Statement of Eligibility on Form T-1 under the Trust Indenture Act of 1939, as amended, of U.S. Bank National Association, trustee</w:t>
            </w:r>
          </w:p>
        </w:tc>
      </w:tr>
      <w:tr>
        <w:trPr>
          <w:trHeight w:val="222"/>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80" w:type="dxa"/>
            <w:vAlign w:val="bottom"/>
            <w:gridSpan w:val="3"/>
          </w:tcPr>
          <w:p>
            <w:pPr>
              <w:ind w:left="500"/>
              <w:spacing w:after="0"/>
              <w:rPr>
                <w:sz w:val="20"/>
                <w:szCs w:val="20"/>
                <w:color w:val="auto"/>
              </w:rPr>
            </w:pPr>
            <w:r>
              <w:rPr>
                <w:rFonts w:ascii="Arial" w:cs="Arial" w:eastAsia="Arial" w:hAnsi="Arial"/>
                <w:sz w:val="18"/>
                <w:szCs w:val="18"/>
                <w:color w:val="auto"/>
              </w:rPr>
              <w:t>under the Indenture with respect to Subordinated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or deemed to be incorporated by reference in this Registration Statement.</w:t>
      </w:r>
    </w:p>
    <w:p>
      <w:pPr>
        <w:sectPr>
          <w:pgSz w:w="11900" w:h="16838" w:orient="portrait"/>
          <w:cols w:equalWidth="0" w:num="1">
            <w:col w:w="11140"/>
          </w:cols>
          <w:pgMar w:left="240" w:top="459" w:right="5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WYNN RESORTS, LIMITED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U.S. BANK NATIONAL ASSOCIATION, as Trustee</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29, 2004</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CROSS REFERENCE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Provisions of Trust Indenture Act (as defined herein) and Indenture, dated as of March 29, 2004, between WYNN RESORTS, LIMITED and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SECTION OF THE ACT</w:t>
            </w:r>
          </w:p>
        </w:tc>
        <w:tc>
          <w:tcPr>
            <w:tcW w:w="7460" w:type="dxa"/>
            <w:vAlign w:val="bottom"/>
          </w:tcPr>
          <w:p>
            <w:pPr>
              <w:spacing w:after="0"/>
              <w:rPr>
                <w:sz w:val="15"/>
                <w:szCs w:val="15"/>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SECTION OF INDENTURE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74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310(a)(1) and (2)</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310(a)(3) and (4)</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310(b)</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6.8 and 6.10(a), (b) and (d)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310(c)</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311(a)</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311(b)</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311(c)</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312(a)</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4.1 and 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312(b)</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312(c)</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313(a)</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313(b)(1)</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313(b)(2)</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313(c)</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4.3, 5.11, 6.10, 6.11, 8.2 and 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313(d)</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314(a)</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 and 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314(b)</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314(c)(1) and (2)</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314(c)(3)</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314(d)</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314(e)</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314(f)</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Inapplicable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315(a), (c) and (d)</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315(b)</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315(e)</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316(a)(1)</w:t>
            </w:r>
          </w:p>
        </w:tc>
        <w:tc>
          <w:tcPr>
            <w:tcW w:w="7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5.9 and 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316(a)(2)</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required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316(a) (last sentence)</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316(b)</w:t>
            </w:r>
          </w:p>
        </w:tc>
        <w:tc>
          <w:tcPr>
            <w:tcW w:w="9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317(a)</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317(b)</w:t>
            </w:r>
          </w:p>
        </w:tc>
        <w:tc>
          <w:tcPr>
            <w:tcW w:w="7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3.4(a) and (b)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318(a)</w:t>
            </w:r>
          </w:p>
        </w:tc>
        <w:tc>
          <w:tcPr>
            <w:tcW w:w="95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Sheet is not part of the Indenture.</w:t>
      </w:r>
    </w:p>
    <w:p>
      <w:pPr>
        <w:sectPr>
          <w:pgSz w:w="11900" w:h="16838" w:orient="portrait"/>
          <w:cols w:equalWidth="0" w:num="1">
            <w:col w:w="11420"/>
          </w:cols>
          <w:pgMar w:left="240" w:top="2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11040" w:type="dxa"/>
            <w:vAlign w:val="bottom"/>
          </w:tcPr>
          <w:p>
            <w:pPr>
              <w:ind w:left="47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r>
      <w:tr>
        <w:trPr>
          <w:trHeight w:val="312"/>
        </w:trPr>
        <w:tc>
          <w:tcPr>
            <w:tcW w:w="1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95"/>
        </w:trPr>
        <w:tc>
          <w:tcPr>
            <w:tcW w:w="110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316"/>
        </w:trPr>
        <w:tc>
          <w:tcPr>
            <w:tcW w:w="11040" w:type="dxa"/>
            <w:vAlign w:val="bottom"/>
          </w:tcPr>
          <w:p>
            <w:pPr>
              <w:spacing w:after="0"/>
              <w:rPr>
                <w:sz w:val="20"/>
                <w:szCs w:val="20"/>
                <w:color w:val="auto"/>
              </w:rPr>
            </w:pPr>
            <w:r>
              <w:rPr>
                <w:rFonts w:ascii="Arial" w:cs="Arial" w:eastAsia="Arial" w:hAnsi="Arial"/>
                <w:sz w:val="18"/>
                <w:szCs w:val="18"/>
                <w:color w:val="auto"/>
              </w:rPr>
              <w:t>ARTICLE I DEFINITIONS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tcPr>
          <w:p>
            <w:pPr>
              <w:ind w:left="480"/>
              <w:spacing w:after="0"/>
              <w:rPr>
                <w:sz w:val="20"/>
                <w:szCs w:val="20"/>
                <w:color w:val="auto"/>
              </w:rPr>
            </w:pPr>
            <w:r>
              <w:rPr>
                <w:rFonts w:ascii="Arial" w:cs="Arial" w:eastAsia="Arial" w:hAnsi="Arial"/>
                <w:sz w:val="18"/>
                <w:szCs w:val="18"/>
                <w:color w:val="auto"/>
              </w:rPr>
              <w:t>SECTION 1.1 - CERTAIN TERMS DEFINED</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II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1040" w:type="dxa"/>
            <w:vAlign w:val="bottom"/>
          </w:tcPr>
          <w:p>
            <w:pPr>
              <w:ind w:left="480"/>
              <w:spacing w:after="0"/>
              <w:rPr>
                <w:sz w:val="20"/>
                <w:szCs w:val="20"/>
                <w:color w:val="auto"/>
              </w:rPr>
            </w:pPr>
            <w:r>
              <w:rPr>
                <w:rFonts w:ascii="Arial" w:cs="Arial" w:eastAsia="Arial" w:hAnsi="Arial"/>
                <w:sz w:val="18"/>
                <w:szCs w:val="18"/>
                <w:color w:val="auto"/>
              </w:rPr>
              <w:t>SECTION 2.1 - FORMS GENERALLY</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2.2 - FORM OF TRUSTEE'S CERTIFICATE OF AUTHENTICATION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2.3 - AMOUNT UNLIMITED; ISSUABLE IN SERIES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2.4 - AUTHENTICATION AND DELIVERY OF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2.5 - EXECUTION OF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2.6 - CERTIFICATE OF AUTHENTICATION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2.7 - DENOMINATION AND DATE OF SECURITIES; PAYMENT OF 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2.8 - REGISTRATION, TRANSFER AND EXCHANGE</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2.9 - MUTILATED, DEFACED, DESTROYED, LOST AND STOLEN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2.10 - CANCELLATION OF SECURITIES; DESTRUCTION THEREOF</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1040" w:type="dxa"/>
            <w:vAlign w:val="bottom"/>
          </w:tcPr>
          <w:p>
            <w:pPr>
              <w:ind w:left="480"/>
              <w:spacing w:after="0"/>
              <w:rPr>
                <w:sz w:val="20"/>
                <w:szCs w:val="20"/>
                <w:color w:val="auto"/>
              </w:rPr>
            </w:pPr>
            <w:r>
              <w:rPr>
                <w:rFonts w:ascii="Arial" w:cs="Arial" w:eastAsia="Arial" w:hAnsi="Arial"/>
                <w:sz w:val="18"/>
                <w:szCs w:val="18"/>
                <w:color w:val="auto"/>
              </w:rPr>
              <w:t>SECTION 2.11 - TEMPORARY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III COVENANTS OF THE ISSUER</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1040" w:type="dxa"/>
            <w:vAlign w:val="bottom"/>
          </w:tcPr>
          <w:p>
            <w:pPr>
              <w:ind w:left="480"/>
              <w:spacing w:after="0"/>
              <w:rPr>
                <w:sz w:val="20"/>
                <w:szCs w:val="20"/>
                <w:color w:val="auto"/>
              </w:rPr>
            </w:pPr>
            <w:r>
              <w:rPr>
                <w:rFonts w:ascii="Arial" w:cs="Arial" w:eastAsia="Arial" w:hAnsi="Arial"/>
                <w:sz w:val="18"/>
                <w:szCs w:val="18"/>
                <w:color w:val="auto"/>
              </w:rPr>
              <w:t>SECTION 3.1 - PAYMENT OF PRINCIPAL AND 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3.2 - OFFICES FOR PAYMENTS, ETC</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3.3 - APPOINTMENT TO FILL A VACANCY IN OFFICE OF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3.4 - PAYING AGENTS</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3.5 - COMPLIANCE CERTIFICATES</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3.6 - CORPORATE EXISTENCE</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1040" w:type="dxa"/>
            <w:vAlign w:val="bottom"/>
          </w:tcPr>
          <w:p>
            <w:pPr>
              <w:ind w:left="480"/>
              <w:spacing w:after="0"/>
              <w:rPr>
                <w:sz w:val="20"/>
                <w:szCs w:val="20"/>
                <w:color w:val="auto"/>
              </w:rPr>
            </w:pPr>
            <w:r>
              <w:rPr>
                <w:rFonts w:ascii="Arial" w:cs="Arial" w:eastAsia="Arial" w:hAnsi="Arial"/>
                <w:sz w:val="18"/>
                <w:szCs w:val="18"/>
                <w:color w:val="auto"/>
              </w:rPr>
              <w:t>SECTION 3.7 - LUXEMBOURG PUBLICATIONS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40" w:type="dxa"/>
            <w:vAlign w:val="bottom"/>
          </w:tcPr>
          <w:p>
            <w:pPr>
              <w:spacing w:after="0"/>
              <w:rPr>
                <w:sz w:val="20"/>
                <w:szCs w:val="20"/>
                <w:color w:val="auto"/>
              </w:rPr>
            </w:pPr>
            <w:r>
              <w:rPr>
                <w:rFonts w:ascii="Arial" w:cs="Arial" w:eastAsia="Arial" w:hAnsi="Arial"/>
                <w:sz w:val="18"/>
                <w:szCs w:val="18"/>
                <w:color w:val="auto"/>
              </w:rPr>
              <w:t>ARTICLE IV SECURITYHOLDER LISTS AND REPORTS BY THE ISSUER AND THE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1040" w:type="dxa"/>
            <w:vAlign w:val="bottom"/>
          </w:tcPr>
          <w:p>
            <w:pPr>
              <w:ind w:left="480"/>
              <w:spacing w:after="0"/>
              <w:rPr>
                <w:sz w:val="20"/>
                <w:szCs w:val="20"/>
                <w:color w:val="auto"/>
              </w:rPr>
            </w:pPr>
            <w:r>
              <w:rPr>
                <w:rFonts w:ascii="Arial" w:cs="Arial" w:eastAsia="Arial" w:hAnsi="Arial"/>
                <w:sz w:val="18"/>
                <w:szCs w:val="18"/>
                <w:color w:val="auto"/>
              </w:rPr>
              <w:t>SECTION 4.1 - ISSUER TO FURNISH TRUSTEE INFORMATION AS TO NAMES AND ADDRESSES OF SECURITYHOLDERS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040" w:type="dxa"/>
            <w:vAlign w:val="bottom"/>
          </w:tcPr>
          <w:p>
            <w:pPr>
              <w:ind w:left="480"/>
              <w:spacing w:after="0"/>
              <w:rPr>
                <w:sz w:val="20"/>
                <w:szCs w:val="20"/>
                <w:color w:val="auto"/>
              </w:rPr>
            </w:pPr>
            <w:r>
              <w:rPr>
                <w:rFonts w:ascii="Arial" w:cs="Arial" w:eastAsia="Arial" w:hAnsi="Arial"/>
                <w:sz w:val="18"/>
                <w:szCs w:val="18"/>
                <w:color w:val="auto"/>
              </w:rPr>
              <w:t>SECTION 4.2 - REPORTS BY THE ISSUER</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1040" w:type="dxa"/>
            <w:vAlign w:val="bottom"/>
          </w:tcPr>
          <w:p>
            <w:pPr>
              <w:ind w:left="480"/>
              <w:spacing w:after="0"/>
              <w:rPr>
                <w:sz w:val="20"/>
                <w:szCs w:val="20"/>
                <w:color w:val="auto"/>
              </w:rPr>
            </w:pPr>
            <w:r>
              <w:rPr>
                <w:rFonts w:ascii="Arial" w:cs="Arial" w:eastAsia="Arial" w:hAnsi="Arial"/>
                <w:sz w:val="18"/>
                <w:szCs w:val="18"/>
                <w:color w:val="auto"/>
              </w:rPr>
              <w:t>SECTION 4.3 - REPORTS BY THE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10720" w:type="dxa"/>
            <w:vAlign w:val="bottom"/>
          </w:tcPr>
          <w:p>
            <w:pPr>
              <w:spacing w:after="0"/>
              <w:rPr>
                <w:sz w:val="20"/>
                <w:szCs w:val="20"/>
                <w:color w:val="auto"/>
              </w:rPr>
            </w:pPr>
            <w:r>
              <w:rPr>
                <w:rFonts w:ascii="Arial" w:cs="Arial" w:eastAsia="Arial" w:hAnsi="Arial"/>
                <w:sz w:val="18"/>
                <w:szCs w:val="18"/>
                <w:color w:val="auto"/>
              </w:rPr>
              <w:t>ARTICLE V REMEDIES OF THE TRUSTEE AND SECURITYHOLDERS ON EVENT OF DEFAULT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720" w:type="dxa"/>
            <w:vAlign w:val="bottom"/>
          </w:tcPr>
          <w:p>
            <w:pPr>
              <w:ind w:left="260"/>
              <w:spacing w:after="0"/>
              <w:rPr>
                <w:sz w:val="20"/>
                <w:szCs w:val="20"/>
                <w:color w:val="auto"/>
              </w:rPr>
            </w:pPr>
            <w:r>
              <w:rPr>
                <w:rFonts w:ascii="Arial" w:cs="Arial" w:eastAsia="Arial" w:hAnsi="Arial"/>
                <w:sz w:val="18"/>
                <w:szCs w:val="18"/>
                <w:color w:val="auto"/>
              </w:rPr>
              <w:t>SECTION 5.1 - EVENT OF DEFAULT DEFINED, ACCELERATION OF MATURITY; WAIVER OF DEFAULT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5.2 - COLLECTION OF INDEBTEDNESS BY TRUSTEE; TRUSTEE MAY PROVE DEBT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5.3 - APPLICATION OF PROCEEDS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5.4 - SUITS FOR ENFORCEMENT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5.5 - RESTORATION OF RIGHTS ON ABANDONMENT OF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5.6 - LIMITATIONS ON SUITS BY SECURITY 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5.7 - UNCONDITIONAL RIGHT OF SECURITYHOLDERS TO INSTITUTE CERTAIN SUITS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5.8 - POWERS AND REMEDIES CUMULATIVE; DELAY OR OMISSION NOT WAIVER OF DEFAULT</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5.9 - CONTROL BY HOLDERS OF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5.10 - WAIVER OF PAST DEFAULTS</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5.11 - TRUSTEE TO GIVE NOTICE OF DEFAULT, BUT MAY WITHHOLD IN CERTAIN CIRCUMSTANCES</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0720" w:type="dxa"/>
            <w:vAlign w:val="bottom"/>
          </w:tcPr>
          <w:p>
            <w:pPr>
              <w:ind w:left="260"/>
              <w:spacing w:after="0"/>
              <w:rPr>
                <w:sz w:val="20"/>
                <w:szCs w:val="20"/>
                <w:color w:val="auto"/>
              </w:rPr>
            </w:pPr>
            <w:r>
              <w:rPr>
                <w:rFonts w:ascii="Arial" w:cs="Arial" w:eastAsia="Arial" w:hAnsi="Arial"/>
                <w:sz w:val="18"/>
                <w:szCs w:val="18"/>
                <w:color w:val="auto"/>
              </w:rPr>
              <w:t>SECTION 5.12 - RIGHT OF COURT TO REQUIRE FILING OF UNDERTAKING TO PAY COSTS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720" w:type="dxa"/>
            <w:vAlign w:val="bottom"/>
          </w:tcPr>
          <w:p>
            <w:pPr>
              <w:spacing w:after="0"/>
              <w:rPr>
                <w:sz w:val="20"/>
                <w:szCs w:val="20"/>
                <w:color w:val="auto"/>
              </w:rPr>
            </w:pPr>
            <w:r>
              <w:rPr>
                <w:rFonts w:ascii="Arial" w:cs="Arial" w:eastAsia="Arial" w:hAnsi="Arial"/>
                <w:sz w:val="18"/>
                <w:szCs w:val="18"/>
                <w:color w:val="auto"/>
              </w:rPr>
              <w:t>ARTICLE VI CONCERNING THE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720" w:type="dxa"/>
            <w:vAlign w:val="bottom"/>
          </w:tcPr>
          <w:p>
            <w:pPr>
              <w:ind w:left="260"/>
              <w:spacing w:after="0"/>
              <w:rPr>
                <w:sz w:val="20"/>
                <w:szCs w:val="20"/>
                <w:color w:val="auto"/>
              </w:rPr>
            </w:pPr>
            <w:r>
              <w:rPr>
                <w:rFonts w:ascii="Arial" w:cs="Arial" w:eastAsia="Arial" w:hAnsi="Arial"/>
                <w:sz w:val="18"/>
                <w:szCs w:val="18"/>
                <w:color w:val="auto"/>
              </w:rPr>
              <w:t>SECTION 6.1 - DUTIES AND RESPONSIBILITIES OF THE TRUSTEE; DURING DEFAULT; PRIOR TO DEFAULT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6.2 - CERTAIN RIGHTS OF THE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w w:val="96"/>
              </w:rPr>
              <w:t>SECTION 6.3 - TRUSTEE NOT RESPONSIBLE FOR RECITALS, DISPOSITION OF SECURITIES OR APPLICATION OF PROCEEDS</w:t>
            </w:r>
          </w:p>
        </w:tc>
        <w:tc>
          <w:tcPr>
            <w:tcW w:w="700" w:type="dxa"/>
            <w:vAlign w:val="bottom"/>
          </w:tcPr>
          <w:p>
            <w:pPr>
              <w:spacing w:after="0"/>
              <w:rPr>
                <w:sz w:val="18"/>
                <w:szCs w:val="18"/>
                <w:color w:val="auto"/>
              </w:rPr>
            </w:pPr>
          </w:p>
        </w:tc>
      </w:tr>
      <w:tr>
        <w:trPr>
          <w:trHeight w:val="216"/>
        </w:trPr>
        <w:tc>
          <w:tcPr>
            <w:tcW w:w="10720" w:type="dxa"/>
            <w:vAlign w:val="bottom"/>
          </w:tcPr>
          <w:p>
            <w:pPr>
              <w:ind w:left="2000"/>
              <w:spacing w:after="0"/>
              <w:rPr>
                <w:sz w:val="20"/>
                <w:szCs w:val="20"/>
                <w:color w:val="auto"/>
              </w:rPr>
            </w:pPr>
            <w:r>
              <w:rPr>
                <w:rFonts w:ascii="Arial" w:cs="Arial" w:eastAsia="Arial" w:hAnsi="Arial"/>
                <w:sz w:val="18"/>
                <w:szCs w:val="18"/>
                <w:color w:val="auto"/>
              </w:rPr>
              <w:t>THEREOF</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6.4 - TRUSTEE AND AGENTS MAY HOLD SECURITIES OR COUPONS; COLLECTIONS, ETC.</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6.5 - MONEYS HELD BY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6.6 - COMPENSATION AND INDEMNIFICATION OF TRUSTEE AND ITS PRIOR CLAIM</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6.7 - RIGHT OF TRUSTEE TO RELY ON OFFICER'S CERTIFICATE, ETC.</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6.8 - ELIGIBILITY; DISQUALIFICATION</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6.9 - RESIGNATION AND REMOVAL; APPOINTMENT OF SUCCESSOR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6.10 - ACCEPTANCE OF APPOINTMENT BY SUCCESSOR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6.11 - MERGER, CONVERSION, CONSOLIDATION OR SUCCESSION TO BUSINESS OF TRUSTEE</w:t>
            </w: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720" w:type="dxa"/>
            <w:vAlign w:val="bottom"/>
          </w:tcPr>
          <w:p>
            <w:pPr>
              <w:ind w:left="260"/>
              <w:spacing w:after="0"/>
              <w:rPr>
                <w:sz w:val="20"/>
                <w:szCs w:val="20"/>
                <w:color w:val="auto"/>
              </w:rPr>
            </w:pPr>
            <w:r>
              <w:rPr>
                <w:rFonts w:ascii="Arial" w:cs="Arial" w:eastAsia="Arial" w:hAnsi="Arial"/>
                <w:sz w:val="18"/>
                <w:szCs w:val="18"/>
                <w:color w:val="auto"/>
              </w:rPr>
              <w:t>SECTION 6.12 - PREFERENTIAL COLLECTION OF CLAIMS AGAINST THE ISSUER</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0720" w:type="dxa"/>
            <w:vAlign w:val="bottom"/>
          </w:tcPr>
          <w:p>
            <w:pPr>
              <w:ind w:left="260"/>
              <w:spacing w:after="0"/>
              <w:rPr>
                <w:sz w:val="20"/>
                <w:szCs w:val="20"/>
                <w:color w:val="auto"/>
              </w:rPr>
            </w:pPr>
            <w:r>
              <w:rPr>
                <w:rFonts w:ascii="Arial" w:cs="Arial" w:eastAsia="Arial" w:hAnsi="Arial"/>
                <w:sz w:val="18"/>
                <w:szCs w:val="18"/>
                <w:color w:val="auto"/>
              </w:rPr>
              <w:t>SECTION 6.13 - APPOINTMENT OF AUTHENTICATING AGENT</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11100" w:type="dxa"/>
            <w:vAlign w:val="bottom"/>
          </w:tcPr>
          <w:p>
            <w:pPr>
              <w:spacing w:after="0"/>
              <w:rPr>
                <w:sz w:val="20"/>
                <w:szCs w:val="20"/>
                <w:color w:val="auto"/>
              </w:rPr>
            </w:pPr>
            <w:r>
              <w:rPr>
                <w:rFonts w:ascii="Arial" w:cs="Arial" w:eastAsia="Arial" w:hAnsi="Arial"/>
                <w:sz w:val="18"/>
                <w:szCs w:val="18"/>
                <w:color w:val="auto"/>
              </w:rPr>
              <w:t>ARTICLE VII CONCERNING THE SECURITYHOLDERS</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1100" w:type="dxa"/>
            <w:vAlign w:val="bottom"/>
          </w:tcPr>
          <w:p>
            <w:pPr>
              <w:ind w:left="260"/>
              <w:spacing w:after="0"/>
              <w:rPr>
                <w:sz w:val="20"/>
                <w:szCs w:val="20"/>
                <w:color w:val="auto"/>
              </w:rPr>
            </w:pPr>
            <w:r>
              <w:rPr>
                <w:rFonts w:ascii="Arial" w:cs="Arial" w:eastAsia="Arial" w:hAnsi="Arial"/>
                <w:sz w:val="18"/>
                <w:szCs w:val="18"/>
                <w:color w:val="auto"/>
              </w:rPr>
              <w:t>SECTION 7.1 - EVIDENCE OF ACTION TAKEN BY SECURITYHOLDERS</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7.2 - PROOF OF EXECUTION OF INSTRUMENTS AND OF HOLDING OF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7.3 - HOLDERS TO BE TREATED AS OWNERS</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7.4 - SECURITIES OWNED BY ISSUER DEEMED NOT OUTSTANDING</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1100" w:type="dxa"/>
            <w:vAlign w:val="bottom"/>
          </w:tcPr>
          <w:p>
            <w:pPr>
              <w:ind w:left="260"/>
              <w:spacing w:after="0"/>
              <w:rPr>
                <w:sz w:val="20"/>
                <w:szCs w:val="20"/>
                <w:color w:val="auto"/>
              </w:rPr>
            </w:pPr>
            <w:r>
              <w:rPr>
                <w:rFonts w:ascii="Arial" w:cs="Arial" w:eastAsia="Arial" w:hAnsi="Arial"/>
                <w:sz w:val="18"/>
                <w:szCs w:val="18"/>
                <w:color w:val="auto"/>
              </w:rPr>
              <w:t>SECTION 7.5 - RIGHT OF REVOCATION OF ACTION TAKEN</w:t>
            </w: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100" w:type="dxa"/>
            <w:vAlign w:val="bottom"/>
          </w:tcPr>
          <w:p>
            <w:pPr>
              <w:spacing w:after="0"/>
              <w:rPr>
                <w:sz w:val="20"/>
                <w:szCs w:val="20"/>
                <w:color w:val="auto"/>
              </w:rPr>
            </w:pPr>
            <w:r>
              <w:rPr>
                <w:rFonts w:ascii="Arial" w:cs="Arial" w:eastAsia="Arial" w:hAnsi="Arial"/>
                <w:sz w:val="18"/>
                <w:szCs w:val="18"/>
                <w:color w:val="auto"/>
              </w:rPr>
              <w:t>ARTICLE VIII SUPPLEMENTAL INDENTURES</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11100" w:type="dxa"/>
            <w:vAlign w:val="bottom"/>
          </w:tcPr>
          <w:p>
            <w:pPr>
              <w:ind w:left="260"/>
              <w:spacing w:after="0"/>
              <w:rPr>
                <w:sz w:val="20"/>
                <w:szCs w:val="20"/>
                <w:color w:val="auto"/>
              </w:rPr>
            </w:pPr>
            <w:r>
              <w:rPr>
                <w:rFonts w:ascii="Arial" w:cs="Arial" w:eastAsia="Arial" w:hAnsi="Arial"/>
                <w:sz w:val="18"/>
                <w:szCs w:val="18"/>
                <w:color w:val="auto"/>
              </w:rPr>
              <w:t>SECTION 8.1 - SUPPLEMENTAL INDENTURES WITHOUT CONSENT OF SECURITYHOLDERS</w:t>
            </w: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8.2 - SUPPLEMENTAL INDENTURES WITH CONSENT OF SECURITYHOLDERS</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8.3 - EFFECT OF SUPPLEMENTAL INDENTURE</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8.4 - DOCUMENTS TO BE GIVEN TO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1100" w:type="dxa"/>
            <w:vAlign w:val="bottom"/>
          </w:tcPr>
          <w:p>
            <w:pPr>
              <w:ind w:left="260"/>
              <w:spacing w:after="0"/>
              <w:rPr>
                <w:sz w:val="20"/>
                <w:szCs w:val="20"/>
                <w:color w:val="auto"/>
              </w:rPr>
            </w:pPr>
            <w:r>
              <w:rPr>
                <w:rFonts w:ascii="Arial" w:cs="Arial" w:eastAsia="Arial" w:hAnsi="Arial"/>
                <w:sz w:val="18"/>
                <w:szCs w:val="18"/>
                <w:color w:val="auto"/>
              </w:rPr>
              <w:t>SECTION 8.5 - NOTATION ON SECURITIES IN RESPECT OF SUPPLEMENTAL INDENTURES</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100" w:type="dxa"/>
            <w:vAlign w:val="bottom"/>
          </w:tcPr>
          <w:p>
            <w:pPr>
              <w:spacing w:after="0"/>
              <w:rPr>
                <w:sz w:val="20"/>
                <w:szCs w:val="20"/>
                <w:color w:val="auto"/>
              </w:rPr>
            </w:pPr>
            <w:r>
              <w:rPr>
                <w:rFonts w:ascii="Arial" w:cs="Arial" w:eastAsia="Arial" w:hAnsi="Arial"/>
                <w:sz w:val="18"/>
                <w:szCs w:val="18"/>
                <w:color w:val="auto"/>
              </w:rPr>
              <w:t>ARTICLE IX CONSOLIDATION, MERGER, SALE OR CONVEYANCE</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11100" w:type="dxa"/>
            <w:vAlign w:val="bottom"/>
          </w:tcPr>
          <w:p>
            <w:pPr>
              <w:ind w:left="260"/>
              <w:spacing w:after="0"/>
              <w:rPr>
                <w:sz w:val="20"/>
                <w:szCs w:val="20"/>
                <w:color w:val="auto"/>
              </w:rPr>
            </w:pPr>
            <w:r>
              <w:rPr>
                <w:rFonts w:ascii="Arial" w:cs="Arial" w:eastAsia="Arial" w:hAnsi="Arial"/>
                <w:sz w:val="18"/>
                <w:szCs w:val="18"/>
                <w:color w:val="auto"/>
              </w:rPr>
              <w:t>SECTION 9.1 - ISSUER MAY CONSOLIDATE, ETC., ONLY ON CERTAIN TERMS</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9.2 - SUCCESSOR CORPORATION SUBSTITUTED</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1100" w:type="dxa"/>
            <w:vAlign w:val="bottom"/>
          </w:tcPr>
          <w:p>
            <w:pPr>
              <w:ind w:left="260"/>
              <w:spacing w:after="0"/>
              <w:rPr>
                <w:sz w:val="20"/>
                <w:szCs w:val="20"/>
                <w:color w:val="auto"/>
              </w:rPr>
            </w:pPr>
            <w:r>
              <w:rPr>
                <w:rFonts w:ascii="Arial" w:cs="Arial" w:eastAsia="Arial" w:hAnsi="Arial"/>
                <w:sz w:val="18"/>
                <w:szCs w:val="18"/>
                <w:color w:val="auto"/>
              </w:rPr>
              <w:t>SECTION 9.3 - OPINION OF COUNSEL TO BE GIVEN TO TRUSTEE</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1100" w:type="dxa"/>
            <w:vAlign w:val="bottom"/>
          </w:tcPr>
          <w:p>
            <w:pPr>
              <w:spacing w:after="0"/>
              <w:rPr>
                <w:sz w:val="20"/>
                <w:szCs w:val="20"/>
                <w:color w:val="auto"/>
              </w:rPr>
            </w:pPr>
            <w:r>
              <w:rPr>
                <w:rFonts w:ascii="Arial" w:cs="Arial" w:eastAsia="Arial" w:hAnsi="Arial"/>
                <w:sz w:val="18"/>
                <w:szCs w:val="18"/>
                <w:color w:val="auto"/>
              </w:rPr>
              <w:t>ARTICLE X SATISFACTION AND DISCHARGE OF INDENTURE; UNCLAIMED MONEYS</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11100" w:type="dxa"/>
            <w:vAlign w:val="bottom"/>
          </w:tcPr>
          <w:p>
            <w:pPr>
              <w:ind w:left="260"/>
              <w:spacing w:after="0"/>
              <w:rPr>
                <w:sz w:val="20"/>
                <w:szCs w:val="20"/>
                <w:color w:val="auto"/>
              </w:rPr>
            </w:pPr>
            <w:r>
              <w:rPr>
                <w:rFonts w:ascii="Arial" w:cs="Arial" w:eastAsia="Arial" w:hAnsi="Arial"/>
                <w:sz w:val="18"/>
                <w:szCs w:val="18"/>
                <w:color w:val="auto"/>
              </w:rPr>
              <w:t>SECTION 10.1 - SATISFACTION AND DISCHARGE OF INDENTURE</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10.2 - APPLICATION BY TRUSTEE OF FUNDS DEPOSITED FOR PAYMENT OF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10.3 - REPAYMENT OF MONEYS HELD BY PAYING AGENT</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10.4 - RETURN OF MONEYS HELD BY TRUSTEE AND PAYING AGENT UNCLAIMED FOR TWO YEARS</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rPr>
              <w:t>SECTION 10.5 - INDEMNITY FOR U.S. GOVERNMENT OF OBLIGATIONS</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1100" w:type="dxa"/>
            <w:vAlign w:val="bottom"/>
          </w:tcPr>
          <w:p>
            <w:pPr>
              <w:ind w:left="260"/>
              <w:spacing w:after="0"/>
              <w:rPr>
                <w:sz w:val="20"/>
                <w:szCs w:val="20"/>
                <w:color w:val="auto"/>
              </w:rPr>
            </w:pPr>
            <w:r>
              <w:rPr>
                <w:rFonts w:ascii="Arial" w:cs="Arial" w:eastAsia="Arial" w:hAnsi="Arial"/>
                <w:sz w:val="18"/>
                <w:szCs w:val="18"/>
                <w:color w:val="auto"/>
              </w:rPr>
              <w:t>SECTION 10.6 - EFFECT ON SUBORDINATION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1100" w:type="dxa"/>
            <w:vAlign w:val="bottom"/>
          </w:tcPr>
          <w:p>
            <w:pPr>
              <w:spacing w:after="0"/>
              <w:rPr>
                <w:sz w:val="20"/>
                <w:szCs w:val="20"/>
                <w:color w:val="auto"/>
              </w:rPr>
            </w:pPr>
            <w:r>
              <w:rPr>
                <w:rFonts w:ascii="Arial" w:cs="Arial" w:eastAsia="Arial" w:hAnsi="Arial"/>
                <w:sz w:val="18"/>
                <w:szCs w:val="18"/>
                <w:color w:val="auto"/>
              </w:rPr>
              <w:t>ARTICLE XI MISCELLANEOUS 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1100" w:type="dxa"/>
            <w:vAlign w:val="bottom"/>
          </w:tcPr>
          <w:p>
            <w:pPr>
              <w:ind w:left="260"/>
              <w:spacing w:after="0"/>
              <w:rPr>
                <w:sz w:val="20"/>
                <w:szCs w:val="20"/>
                <w:color w:val="auto"/>
              </w:rPr>
            </w:pPr>
            <w:r>
              <w:rPr>
                <w:rFonts w:ascii="Arial" w:cs="Arial" w:eastAsia="Arial" w:hAnsi="Arial"/>
                <w:sz w:val="18"/>
                <w:szCs w:val="18"/>
                <w:color w:val="auto"/>
                <w:w w:val="94"/>
              </w:rPr>
              <w:t>SECTION 11.1 - INCORPORATORS, STOCKHOLDERS, OFFICERS AND DIRECTORS OF ISSUER EXEMPT FROM INDIVIDUAL LIABILITY</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100" w:type="dxa"/>
            <w:vAlign w:val="bottom"/>
          </w:tcPr>
          <w:p>
            <w:pPr>
              <w:ind w:left="260"/>
              <w:spacing w:after="0"/>
              <w:rPr>
                <w:sz w:val="20"/>
                <w:szCs w:val="20"/>
                <w:color w:val="auto"/>
              </w:rPr>
            </w:pPr>
            <w:r>
              <w:rPr>
                <w:rFonts w:ascii="Arial" w:cs="Arial" w:eastAsia="Arial" w:hAnsi="Arial"/>
                <w:sz w:val="18"/>
                <w:szCs w:val="18"/>
                <w:color w:val="auto"/>
                <w:w w:val="95"/>
              </w:rPr>
              <w:t>SECTION 11.2 - PROVISIONS OF INDENTURE FOR THE SOLE BENEFIT OF PARTIES AND HOLDERS OF SECURITIES AND COUPONS</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1100" w:type="dxa"/>
            <w:vAlign w:val="bottom"/>
          </w:tcPr>
          <w:p>
            <w:pPr>
              <w:ind w:left="260"/>
              <w:spacing w:after="0"/>
              <w:rPr>
                <w:sz w:val="20"/>
                <w:szCs w:val="20"/>
                <w:color w:val="auto"/>
              </w:rPr>
            </w:pPr>
            <w:r>
              <w:rPr>
                <w:rFonts w:ascii="Arial" w:cs="Arial" w:eastAsia="Arial" w:hAnsi="Arial"/>
                <w:sz w:val="18"/>
                <w:szCs w:val="18"/>
                <w:color w:val="auto"/>
              </w:rPr>
              <w:t>SECTION 11.3 - SUCCESSORS AND ASSIGNS OF ISSUER BOUND BY INDENTURE</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11.4 - NOTICES AND DEMANDS ON ISSUER, TRUSTEE AND HOLDERS OF SECURITIES AND COUPONS</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11.5 - OFFICER'S CERTIFICATES AND OPINIONS OF COUNSEL; STATEMENTS TO BE CONTAINED THEREIN</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11.6</w:t>
            </w:r>
          </w:p>
        </w:tc>
        <w:tc>
          <w:tcPr>
            <w:tcW w:w="9040" w:type="dxa"/>
            <w:vAlign w:val="bottom"/>
          </w:tcPr>
          <w:p>
            <w:pPr>
              <w:ind w:left="20"/>
              <w:spacing w:after="0"/>
              <w:rPr>
                <w:sz w:val="20"/>
                <w:szCs w:val="20"/>
                <w:color w:val="auto"/>
              </w:rPr>
            </w:pPr>
            <w:r>
              <w:rPr>
                <w:rFonts w:ascii="Arial" w:cs="Arial" w:eastAsia="Arial" w:hAnsi="Arial"/>
                <w:sz w:val="18"/>
                <w:szCs w:val="18"/>
                <w:color w:val="auto"/>
              </w:rPr>
              <w:t>- PAYMENTS DUE ON SATURDAYS, SUNDAYS AND HOLIDAYS</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11.7</w:t>
            </w:r>
          </w:p>
        </w:tc>
        <w:tc>
          <w:tcPr>
            <w:tcW w:w="9040" w:type="dxa"/>
            <w:vAlign w:val="bottom"/>
          </w:tcPr>
          <w:p>
            <w:pPr>
              <w:ind w:left="20"/>
              <w:spacing w:after="0"/>
              <w:rPr>
                <w:sz w:val="20"/>
                <w:szCs w:val="20"/>
                <w:color w:val="auto"/>
              </w:rPr>
            </w:pPr>
            <w:r>
              <w:rPr>
                <w:rFonts w:ascii="Arial" w:cs="Arial" w:eastAsia="Arial" w:hAnsi="Arial"/>
                <w:sz w:val="18"/>
                <w:szCs w:val="18"/>
                <w:color w:val="auto"/>
              </w:rPr>
              <w:t>- CONFLICT OF ANY PROVISION OF INDENTURE WITH TRUST INDENTURE ACT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11.8</w:t>
            </w:r>
          </w:p>
        </w:tc>
        <w:tc>
          <w:tcPr>
            <w:tcW w:w="9040" w:type="dxa"/>
            <w:vAlign w:val="bottom"/>
          </w:tcPr>
          <w:p>
            <w:pPr>
              <w:ind w:left="20"/>
              <w:spacing w:after="0"/>
              <w:rPr>
                <w:sz w:val="20"/>
                <w:szCs w:val="20"/>
                <w:color w:val="auto"/>
              </w:rPr>
            </w:pPr>
            <w:r>
              <w:rPr>
                <w:rFonts w:ascii="Arial" w:cs="Arial" w:eastAsia="Arial" w:hAnsi="Arial"/>
                <w:sz w:val="18"/>
                <w:szCs w:val="18"/>
                <w:color w:val="auto"/>
              </w:rPr>
              <w:t>- NEW YORK LAW TO GOVERN</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11.9</w:t>
            </w:r>
          </w:p>
        </w:tc>
        <w:tc>
          <w:tcPr>
            <w:tcW w:w="9040" w:type="dxa"/>
            <w:vAlign w:val="bottom"/>
          </w:tcPr>
          <w:p>
            <w:pPr>
              <w:ind w:left="20"/>
              <w:spacing w:after="0"/>
              <w:rPr>
                <w:sz w:val="20"/>
                <w:szCs w:val="20"/>
                <w:color w:val="auto"/>
              </w:rPr>
            </w:pPr>
            <w:r>
              <w:rPr>
                <w:rFonts w:ascii="Arial" w:cs="Arial" w:eastAsia="Arial" w:hAnsi="Arial"/>
                <w:sz w:val="18"/>
                <w:szCs w:val="18"/>
                <w:color w:val="auto"/>
              </w:rPr>
              <w:t>- COUNTERPARTS</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11.10 - EFFECT OF HEADINGS</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11.11 - SECURITIES IN A FOREIGN CURRENCY</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11.12 - JUDGMENT CURRENCY</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11.13 - AGREEMENT TO SUBORDINATE</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420" w:type="dxa"/>
            <w:vAlign w:val="bottom"/>
            <w:gridSpan w:val="2"/>
          </w:tcPr>
          <w:p>
            <w:pPr>
              <w:spacing w:after="0"/>
              <w:rPr>
                <w:sz w:val="20"/>
                <w:szCs w:val="20"/>
                <w:color w:val="auto"/>
              </w:rPr>
            </w:pPr>
            <w:r>
              <w:rPr>
                <w:rFonts w:ascii="Arial" w:cs="Arial" w:eastAsia="Arial" w:hAnsi="Arial"/>
                <w:sz w:val="18"/>
                <w:szCs w:val="18"/>
                <w:color w:val="auto"/>
              </w:rPr>
              <w:t>ARTICLE XII REDEMPTION OF SECURITIES AND SINKING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10420" w:type="dxa"/>
            <w:vAlign w:val="bottom"/>
            <w:gridSpan w:val="2"/>
          </w:tcPr>
          <w:p>
            <w:pPr>
              <w:ind w:left="260"/>
              <w:spacing w:after="0"/>
              <w:rPr>
                <w:sz w:val="20"/>
                <w:szCs w:val="20"/>
                <w:color w:val="auto"/>
              </w:rPr>
            </w:pPr>
            <w:r>
              <w:rPr>
                <w:rFonts w:ascii="Arial" w:cs="Arial" w:eastAsia="Arial" w:hAnsi="Arial"/>
                <w:sz w:val="18"/>
                <w:szCs w:val="18"/>
                <w:color w:val="auto"/>
              </w:rPr>
              <w:t>SECTION 12.1 - APPLICABILITY OF ARTICLE</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12.2</w:t>
            </w:r>
          </w:p>
        </w:tc>
        <w:tc>
          <w:tcPr>
            <w:tcW w:w="9040" w:type="dxa"/>
            <w:vAlign w:val="bottom"/>
          </w:tcPr>
          <w:p>
            <w:pPr>
              <w:ind w:left="20"/>
              <w:spacing w:after="0"/>
              <w:rPr>
                <w:sz w:val="20"/>
                <w:szCs w:val="20"/>
                <w:color w:val="auto"/>
              </w:rPr>
            </w:pPr>
            <w:r>
              <w:rPr>
                <w:rFonts w:ascii="Arial" w:cs="Arial" w:eastAsia="Arial" w:hAnsi="Arial"/>
                <w:sz w:val="18"/>
                <w:szCs w:val="18"/>
                <w:color w:val="auto"/>
              </w:rPr>
              <w:t>- NOTICE OF REDEMPTION; PARTIAL REDEMPTIONS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12.3</w:t>
            </w:r>
          </w:p>
        </w:tc>
        <w:tc>
          <w:tcPr>
            <w:tcW w:w="9040" w:type="dxa"/>
            <w:vAlign w:val="bottom"/>
          </w:tcPr>
          <w:p>
            <w:pPr>
              <w:ind w:left="20"/>
              <w:spacing w:after="0"/>
              <w:rPr>
                <w:sz w:val="20"/>
                <w:szCs w:val="20"/>
                <w:color w:val="auto"/>
              </w:rPr>
            </w:pPr>
            <w:r>
              <w:rPr>
                <w:rFonts w:ascii="Arial" w:cs="Arial" w:eastAsia="Arial" w:hAnsi="Arial"/>
                <w:sz w:val="18"/>
                <w:szCs w:val="18"/>
                <w:color w:val="auto"/>
              </w:rPr>
              <w:t>- PAYMENT OF SECURITIES CALLED FOR REDEMPTION</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12.4</w:t>
            </w:r>
          </w:p>
        </w:tc>
        <w:tc>
          <w:tcPr>
            <w:tcW w:w="9040" w:type="dxa"/>
            <w:vAlign w:val="bottom"/>
          </w:tcPr>
          <w:p>
            <w:pPr>
              <w:ind w:left="20"/>
              <w:spacing w:after="0"/>
              <w:rPr>
                <w:sz w:val="20"/>
                <w:szCs w:val="20"/>
                <w:color w:val="auto"/>
              </w:rPr>
            </w:pPr>
            <w:r>
              <w:rPr>
                <w:rFonts w:ascii="Arial" w:cs="Arial" w:eastAsia="Arial" w:hAnsi="Arial"/>
                <w:sz w:val="18"/>
                <w:szCs w:val="18"/>
                <w:color w:val="auto"/>
              </w:rPr>
              <w:t>- EXCLUSION OF CERTAIN SECURITIES FROM ELIGIBILITY FOR SELECTION FOR REDEMPTION</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380" w:type="dxa"/>
            <w:vAlign w:val="bottom"/>
          </w:tcPr>
          <w:p>
            <w:pPr>
              <w:ind w:left="260"/>
              <w:spacing w:after="0"/>
              <w:rPr>
                <w:sz w:val="20"/>
                <w:szCs w:val="20"/>
                <w:color w:val="auto"/>
              </w:rPr>
            </w:pPr>
            <w:r>
              <w:rPr>
                <w:rFonts w:ascii="Arial" w:cs="Arial" w:eastAsia="Arial" w:hAnsi="Arial"/>
                <w:sz w:val="18"/>
                <w:szCs w:val="18"/>
                <w:color w:val="auto"/>
                <w:w w:val="91"/>
              </w:rPr>
              <w:t>SECTION 12.5</w:t>
            </w:r>
          </w:p>
        </w:tc>
        <w:tc>
          <w:tcPr>
            <w:tcW w:w="9040" w:type="dxa"/>
            <w:vAlign w:val="bottom"/>
          </w:tcPr>
          <w:p>
            <w:pPr>
              <w:ind w:left="20"/>
              <w:spacing w:after="0"/>
              <w:rPr>
                <w:sz w:val="20"/>
                <w:szCs w:val="20"/>
                <w:color w:val="auto"/>
              </w:rPr>
            </w:pPr>
            <w:r>
              <w:rPr>
                <w:rFonts w:ascii="Arial" w:cs="Arial" w:eastAsia="Arial" w:hAnsi="Arial"/>
                <w:sz w:val="18"/>
                <w:szCs w:val="18"/>
                <w:color w:val="auto"/>
              </w:rPr>
              <w:t>- MANDATORY AND OPTIONAL SINKING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37" w:name="page38"/>
    <w:bookmarkEnd w:id="37"/>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INDENTURE, dated as of March 29, 2004, by and between WYNN RESORTS, LIMITED, a Nevada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158" w:lineRule="exact"/>
        <w:rPr>
          <w:sz w:val="20"/>
          <w:szCs w:val="20"/>
          <w:color w:val="auto"/>
        </w:rPr>
      </w:pPr>
    </w:p>
    <w:p>
      <w:pPr>
        <w:ind w:firstLine="913"/>
        <w:spacing w:after="0" w:line="370" w:lineRule="auto"/>
        <w:rPr>
          <w:sz w:val="20"/>
          <w:szCs w:val="20"/>
          <w:color w:val="auto"/>
        </w:rPr>
      </w:pPr>
      <w:r>
        <w:rPr>
          <w:rFonts w:ascii="Arial" w:cs="Arial" w:eastAsia="Arial" w:hAnsi="Arial"/>
          <w:sz w:val="15"/>
          <w:szCs w:val="15"/>
          <w:color w:val="auto"/>
        </w:rPr>
        <w:t>WHEREAS, the Issuer has duly authorized the issue from time to time of its debentures, notes or other evidences of indebtedness to be issued in one or more series (the “</w:t>
      </w:r>
      <w:r>
        <w:rPr>
          <w:rFonts w:ascii="Arial" w:cs="Arial" w:eastAsia="Arial" w:hAnsi="Arial"/>
          <w:sz w:val="15"/>
          <w:szCs w:val="15"/>
          <w:u w:val="single" w:color="auto"/>
          <w:color w:val="auto"/>
        </w:rPr>
        <w:t>Securities</w:t>
      </w:r>
      <w:r>
        <w:rPr>
          <w:rFonts w:ascii="Arial" w:cs="Arial" w:eastAsia="Arial" w:hAnsi="Arial"/>
          <w:sz w:val="15"/>
          <w:szCs w:val="15"/>
          <w:color w:val="auto"/>
        </w:rPr>
        <w:t>”) up to such principal amount or amounts as may from time to time be authorized in accordance with the terms of this Indenture;</w:t>
      </w:r>
    </w:p>
    <w:p>
      <w:pPr>
        <w:spacing w:after="0" w:line="49"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5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NOW, THEREFORE, in consideration of the premises and the purchases of the Securities by the holders thereof, the Issuer and the Trustee mutually covenant and agree for the equal and proportionate benefit of the respective holders from time to time of the Securities and of the coupons, if any, appertaining thereto as follows: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5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1.1 - CERTAIN TERMS DEFINED. </w:t>
      </w:r>
      <w:r>
        <w:rPr>
          <w:rFonts w:ascii="Arial" w:cs="Arial" w:eastAsia="Arial" w:hAnsi="Arial"/>
          <w:sz w:val="16"/>
          <w:szCs w:val="16"/>
          <w:color w:val="auto"/>
        </w:rPr>
        <w:t>The following terms (except as otherwise expressly provided or unless the context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clearly requires) for all purposes of this Indenture and of any indenture supplemental hereto shall have the respective meanings specified in this Section. All other terms used in this Indenture that are defined in the Trust Indenture Act of 1939, as amended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or the definitions of which in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are referred to in the Trust Indenture Act, including terms defined therein by reference to the Securities Act (except as herein otherwise expressly provided or unless the context otherwise requires), shall have the meaning assigned to such terms in the Trust Indenture Act and in the Securities Act as in effect from time to time. All accounting terms used herein and not expressly defined shall have the meanings assigned to such terms in accordance with generally accepted accounting principles, and the term “</w:t>
      </w:r>
      <w:r>
        <w:rPr>
          <w:rFonts w:ascii="Arial" w:cs="Arial" w:eastAsia="Arial" w:hAnsi="Arial"/>
          <w:sz w:val="16"/>
          <w:szCs w:val="16"/>
          <w:u w:val="single" w:color="auto"/>
          <w:color w:val="auto"/>
        </w:rPr>
        <w:t>generally accepted accounting principles</w:t>
      </w:r>
      <w:r>
        <w:rPr>
          <w:rFonts w:ascii="Arial" w:cs="Arial" w:eastAsia="Arial" w:hAnsi="Arial"/>
          <w:sz w:val="16"/>
          <w:szCs w:val="16"/>
          <w:color w:val="auto"/>
        </w:rPr>
        <w:t>” means such accounting principles as are generally accepted at the time of any computation unless a different time shall be specified with respect to such series of Securities as provided for in Section 2.3. Unless the context otherwise requires, any reference to an “</w:t>
      </w:r>
      <w:r>
        <w:rPr>
          <w:rFonts w:ascii="Arial" w:cs="Arial" w:eastAsia="Arial" w:hAnsi="Arial"/>
          <w:sz w:val="16"/>
          <w:szCs w:val="16"/>
          <w:u w:val="single" w:color="auto"/>
          <w:color w:val="auto"/>
        </w:rPr>
        <w:t>Article</w:t>
      </w:r>
      <w:r>
        <w:rPr>
          <w:rFonts w:ascii="Arial" w:cs="Arial" w:eastAsia="Arial" w:hAnsi="Arial"/>
          <w:sz w:val="16"/>
          <w:szCs w:val="16"/>
          <w:color w:val="auto"/>
        </w:rPr>
        <w:t>” or “</w:t>
      </w:r>
      <w:r>
        <w:rPr>
          <w:rFonts w:ascii="Arial" w:cs="Arial" w:eastAsia="Arial" w:hAnsi="Arial"/>
          <w:sz w:val="16"/>
          <w:szCs w:val="16"/>
          <w:u w:val="single" w:color="auto"/>
          <w:color w:val="auto"/>
        </w:rPr>
        <w:t>Section</w:t>
      </w:r>
      <w:r>
        <w:rPr>
          <w:rFonts w:ascii="Arial" w:cs="Arial" w:eastAsia="Arial" w:hAnsi="Arial"/>
          <w:sz w:val="16"/>
          <w:szCs w:val="16"/>
          <w:color w:val="auto"/>
        </w:rPr>
        <w:t>” refers to an Article or a Section, as the case may be, of this Indenture. The words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38" w:name="page39"/>
    <w:bookmarkEnd w:id="3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same meaning as given to that term in Rule 405 of the Securities Act or any successor provision.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shall have the meaning set forth in Section 6.13.</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xml:space="preserve">” means a newspaper (which, in the case of The City of New York, will, if practicable, be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(Eastern Edition), in the case of the United Kingdom of Great Britain and Northern Ireland (the “</w:t>
      </w:r>
      <w:r>
        <w:rPr>
          <w:rFonts w:ascii="Arial" w:cs="Arial" w:eastAsia="Arial" w:hAnsi="Arial"/>
          <w:sz w:val="16"/>
          <w:szCs w:val="16"/>
          <w:u w:val="single" w:color="auto"/>
          <w:color w:val="auto"/>
        </w:rPr>
        <w:t>United Kingdom</w:t>
      </w:r>
      <w:r>
        <w:rPr>
          <w:rFonts w:ascii="Arial" w:cs="Arial" w:eastAsia="Arial" w:hAnsi="Arial"/>
          <w:sz w:val="16"/>
          <w:szCs w:val="16"/>
          <w:color w:val="auto"/>
        </w:rPr>
        <w:t xml:space="preserve">”), will, if practicable, be </w:t>
      </w:r>
      <w:r>
        <w:rPr>
          <w:rFonts w:ascii="Arial" w:cs="Arial" w:eastAsia="Arial" w:hAnsi="Arial"/>
          <w:sz w:val="16"/>
          <w:szCs w:val="16"/>
          <w:i w:val="1"/>
          <w:iCs w:val="1"/>
          <w:color w:val="auto"/>
        </w:rPr>
        <w:t>The Financial Times</w:t>
      </w:r>
      <w:r>
        <w:rPr>
          <w:rFonts w:ascii="Arial" w:cs="Arial" w:eastAsia="Arial" w:hAnsi="Arial"/>
          <w:sz w:val="16"/>
          <w:szCs w:val="16"/>
          <w:color w:val="auto"/>
        </w:rPr>
        <w:t xml:space="preserve"> (London Edition) and, in the case of the Grand Duchy of Luxembourg (“</w:t>
      </w:r>
      <w:r>
        <w:rPr>
          <w:rFonts w:ascii="Arial" w:cs="Arial" w:eastAsia="Arial" w:hAnsi="Arial"/>
          <w:sz w:val="16"/>
          <w:szCs w:val="16"/>
          <w:u w:val="single" w:color="auto"/>
          <w:color w:val="auto"/>
        </w:rPr>
        <w:t>Luxembourg</w:t>
      </w:r>
      <w:r>
        <w:rPr>
          <w:rFonts w:ascii="Arial" w:cs="Arial" w:eastAsia="Arial" w:hAnsi="Arial"/>
          <w:sz w:val="16"/>
          <w:szCs w:val="16"/>
          <w:color w:val="auto"/>
        </w:rPr>
        <w:t xml:space="preserve">”), will, if practicable, be the </w:t>
      </w:r>
      <w:r>
        <w:rPr>
          <w:rFonts w:ascii="Arial" w:cs="Arial" w:eastAsia="Arial" w:hAnsi="Arial"/>
          <w:sz w:val="16"/>
          <w:szCs w:val="16"/>
          <w:i w:val="1"/>
          <w:iCs w:val="1"/>
          <w:color w:val="auto"/>
        </w:rPr>
        <w:t>Luxemburger Wort</w:t>
      </w:r>
      <w:r>
        <w:rPr>
          <w:rFonts w:ascii="Arial" w:cs="Arial" w:eastAsia="Arial" w:hAnsi="Arial"/>
          <w:sz w:val="16"/>
          <w:szCs w:val="16"/>
          <w:color w:val="auto"/>
        </w:rPr>
        <w:t>) published in an official or common language of the country of publication customarily published at least once a day for at least five days in each calendar week and of general circulation in The City of New York, the United Kingdom or Luxembourg, as applicable.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pacing w:after="0" w:line="181"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or consented to by the Board of Directors and to be in full force and effect, and delivered to the Trustee.</w:t>
      </w:r>
    </w:p>
    <w:p>
      <w:pPr>
        <w:spacing w:after="0" w:line="11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with respect to any Security, a day that is not a day on which banking institutions in the city (or in any of the cities, if more than one) in which amounts under the Securities are payable, as specified in the form of such Security, are authorized or required by any applicable law or regulation to be closed.</w:t>
      </w:r>
    </w:p>
    <w:p>
      <w:pPr>
        <w:spacing w:after="0" w:line="12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and delivery of this Indenture such Commission is not existing and performing the duties now assigned to it under the Trust Indenture Act, then the body performing such duties on such date.</w:t>
      </w:r>
    </w:p>
    <w:p>
      <w:pPr>
        <w:spacing w:after="0" w:line="127"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 administered, which office is, as of the date of this Indenture, located at 60 Livingston Avenue, St. Paul, Minnesota 55107.</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an Unregistered Security.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shall have the meaning set forth in Section 10.1(C).</w:t>
      </w:r>
    </w:p>
    <w:p>
      <w:pPr>
        <w:spacing w:after="0" w:line="15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2.3 until a successor Depositary shall have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u w:val="single" w:color="auto"/>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9" w:name="page40"/>
    <w:bookmarkEnd w:id="39"/>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coin or currency of the United States of America as at the time of payment is legal tender for the payment of public and private debts.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warrants, options or other rights to acquire any of the items listed in (a)-(d) above (but excluding any debt security that is convertible into, or exchangeable for any of the items listed in (a)-(d) above.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event or condition specified as such in Section 5.1.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means any coin, currency, currency unit or composite currency, including, without limitation, the euro, issued by the government of one or more countries, other than the United States of America or by any internationally recognized union, confederation or association of such governments.</w:t>
      </w:r>
    </w:p>
    <w:p>
      <w:pPr>
        <w:spacing w:after="0" w:line="72"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w:t>
      </w:r>
      <w:r>
        <w:rPr>
          <w:rFonts w:ascii="Arial" w:cs="Arial" w:eastAsia="Arial" w:hAnsi="Arial"/>
          <w:sz w:val="16"/>
          <w:szCs w:val="16"/>
          <w:u w:val="single" w:color="auto"/>
          <w:color w:val="auto"/>
        </w:rPr>
        <w:t>Holder of Securities</w:t>
      </w:r>
      <w:r>
        <w:rPr>
          <w:rFonts w:ascii="Arial" w:cs="Arial" w:eastAsia="Arial" w:hAnsi="Arial"/>
          <w:sz w:val="16"/>
          <w:szCs w:val="16"/>
          <w:color w:val="auto"/>
        </w:rPr>
        <w:t>,” “</w:t>
      </w:r>
      <w:r>
        <w:rPr>
          <w:rFonts w:ascii="Arial" w:cs="Arial" w:eastAsia="Arial" w:hAnsi="Arial"/>
          <w:sz w:val="16"/>
          <w:szCs w:val="16"/>
          <w:u w:val="single" w:color="auto"/>
          <w:color w:val="auto"/>
        </w:rPr>
        <w:t>Securityholder</w:t>
      </w:r>
      <w:r>
        <w:rPr>
          <w:rFonts w:ascii="Arial" w:cs="Arial" w:eastAsia="Arial" w:hAnsi="Arial"/>
          <w:sz w:val="16"/>
          <w:szCs w:val="16"/>
          <w:color w:val="auto"/>
        </w:rPr>
        <w:t>” or any other similar terms mean (a) in the case of any Registered Security, the person in whose name such Security is registered in the security register kept by the Issuer for that purpose in accordance with the terms hereof, and (b) in the case of any Unregistered Security, the bearer of such Security, or any Coupon appertaining thereto, as the case may be.</w:t>
      </w:r>
    </w:p>
    <w:p>
      <w:pPr>
        <w:spacing w:after="0" w:line="93"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xml:space="preserve">” means this instrument as originally executed and delivered or, if amended or supplemented as herein provided, as so amended or supplemented or both, and shall include the forms and terms of particular series of Securities established as contemplated hereunder, </w:t>
      </w:r>
      <w:r>
        <w:rPr>
          <w:rFonts w:ascii="Arial" w:cs="Arial" w:eastAsia="Arial" w:hAnsi="Arial"/>
          <w:sz w:val="18"/>
          <w:szCs w:val="18"/>
          <w:i w:val="1"/>
          <w:iCs w:val="1"/>
          <w:color w:val="auto"/>
        </w:rPr>
        <w:t>provided</w:t>
      </w:r>
      <w:r>
        <w:rPr>
          <w:rFonts w:ascii="Arial" w:cs="Arial" w:eastAsia="Arial" w:hAnsi="Arial"/>
          <w:sz w:val="18"/>
          <w:szCs w:val="18"/>
          <w:color w:val="auto"/>
        </w:rPr>
        <w:t>, that, if at any time more than one Person is acting as Trustee under this instrument, “</w:t>
      </w:r>
      <w:r>
        <w:rPr>
          <w:rFonts w:ascii="Arial" w:cs="Arial" w:eastAsia="Arial" w:hAnsi="Arial"/>
          <w:sz w:val="18"/>
          <w:szCs w:val="18"/>
          <w:u w:val="single" w:color="auto"/>
          <w:color w:val="auto"/>
        </w:rPr>
        <w:t>Indenture</w:t>
      </w:r>
      <w:r>
        <w:rPr>
          <w:rFonts w:ascii="Arial" w:cs="Arial" w:eastAsia="Arial" w:hAnsi="Arial"/>
          <w:sz w:val="18"/>
          <w:szCs w:val="18"/>
          <w:color w:val="auto"/>
        </w:rPr>
        <w:t>” shall mean, with respect to one or more series of Securities for which such person is trustee, this instrument as originally executed and delivered or, if amended or supplemented as herein provided, as so amended or supplemented or both, and shall include the forms and terms of those particular series of Securities for which such Person is Trustee established as contemplated hereunder, exclusive, however, of any provisions or terms which relate solely to other series of Securities for which such person is not Trustee, regardless of when such terms or provisions were adopted.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0" w:name="page41"/>
    <w:bookmarkEnd w:id="4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 Department of the Treasury, or any successor entity.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w:t>
      </w:r>
      <w:r>
        <w:rPr>
          <w:rFonts w:ascii="Arial" w:cs="Arial" w:eastAsia="Arial" w:hAnsi="Arial"/>
          <w:sz w:val="16"/>
          <w:szCs w:val="16"/>
          <w:color w:val="auto"/>
        </w:rPr>
        <w:t>” means (except as otherwise provided in Article IX) Wynn Resorts, Limited, a Nevada corporation, and, subject to Article IX, its successors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assigns.</w:t>
      </w:r>
    </w:p>
    <w:p>
      <w:pPr>
        <w:spacing w:after="0" w:line="15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any vice president or the treasurer of the Issuer.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set forth in Section 11.12.</w:t>
      </w:r>
    </w:p>
    <w:p>
      <w:pPr>
        <w:spacing w:after="0" w:line="158" w:lineRule="exact"/>
        <w:rPr>
          <w:sz w:val="20"/>
          <w:szCs w:val="20"/>
          <w:color w:val="auto"/>
        </w:rPr>
      </w:pPr>
    </w:p>
    <w:p>
      <w:pPr>
        <w:ind w:right="18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Officer’s Certificate</w:t>
      </w:r>
      <w:r>
        <w:rPr>
          <w:rFonts w:ascii="Arial" w:cs="Arial" w:eastAsia="Arial" w:hAnsi="Arial"/>
          <w:sz w:val="15"/>
          <w:szCs w:val="15"/>
          <w:color w:val="auto"/>
        </w:rPr>
        <w:t>” means a certificate signed by the Chairman of the Board of Directors, the Chief Executive Officer, the President, the Chief Operating Officer, the Chief Financial Officer, the Treasurer, any Assistant Treasurer, the Controller, the Secretary or any Vice-President of the Issuer and delivered to the Trustee. Each such certificate shall comply with Section 314 of the Trust Indenture Act and include the statements provided for in Section 11.5.</w:t>
      </w:r>
    </w:p>
    <w:p>
      <w:pPr>
        <w:spacing w:after="0" w:line="75"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an opinion in writing signed by legal counsel who may be an employee of the Issuer or other counsel satisfactory to the Trustee. Each such opinion shall comply with Section 314 of the Trust Indenture Act and include the statements provided for in Section 11.5.</w:t>
      </w:r>
    </w:p>
    <w:p>
      <w:pPr>
        <w:spacing w:after="0" w:line="7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18"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5.1.</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(except as otherwise provided in Section 7.4), when used with reference to Securities, means, subject to the provisions of Section 7.4, as of any particular time, all Securities authenticated and delivered by the Trustee under this Indenture, except:</w:t>
      </w:r>
    </w:p>
    <w:p>
      <w:pPr>
        <w:spacing w:after="0" w:line="37"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76"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or portions thereof, for the payment or redemption of which moneys or U.S. Government Obligations (as provided for in Section 10.1)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provisions satisfactory to the Trustee shall have been made for giving such notice;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1" w:name="page42"/>
    <w:bookmarkEnd w:id="41"/>
    <w:p>
      <w:pPr>
        <w:ind w:left="460" w:right="340" w:firstLine="443"/>
        <w:spacing w:after="0" w:line="306" w:lineRule="auto"/>
        <w:tabs>
          <w:tab w:leader="none" w:pos="1137"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which shall have been paid or in substitution for which other Securities shall have been authenticated and delivered pursuant to the terms of Section 2.9 (except with respect to any such Security as to which proof satisfactory to the Trustee is presented that such Security is held by a person in whose hands such Security is a legal, valid and binding obligation of the Issuer).</w:t>
      </w:r>
    </w:p>
    <w:p>
      <w:pPr>
        <w:spacing w:after="0" w:line="93"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5.1.</w:t>
      </w:r>
    </w:p>
    <w:p>
      <w:pPr>
        <w:spacing w:after="0" w:line="13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Issuer or its agents upon the issuance of such Securities.</w:t>
      </w:r>
    </w:p>
    <w:p>
      <w:pPr>
        <w:spacing w:after="0" w:line="127"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joint venture, association, joint stock company, trust, unincorporated organization or government or any agency or political subdivision thereof.</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whenever used with reference to the Securities or any Security or any portion thereof, shall be deemed to include “and premium, if any,” provided, however, that such inclusion of premium, if any, shall under no circumstances result in the double counting of such premium for the purpose of any calculation required hereunder.</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have the meaning set forth in Section 2.7.</w:t>
      </w:r>
    </w:p>
    <w:p>
      <w:pPr>
        <w:spacing w:after="0" w:line="158"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Global Security</w:t>
      </w:r>
      <w:r>
        <w:rPr>
          <w:rFonts w:ascii="Arial" w:cs="Arial" w:eastAsia="Arial" w:hAnsi="Arial"/>
          <w:sz w:val="16"/>
          <w:szCs w:val="16"/>
          <w:color w:val="auto"/>
        </w:rPr>
        <w:t>” means a Security evidencing all or a part of a series of Registered Securities, issued to the Depositary for such series in accordance with Section 2.4, and bearing the legend prescribed in Section 2.4 and any other legend required by the Depositary for such series.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registered on the Security register of the Issuer.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shall have the meaning set forth in Section 11.12.</w:t>
      </w:r>
    </w:p>
    <w:p>
      <w:pPr>
        <w:spacing w:after="0" w:line="158" w:lineRule="exact"/>
        <w:rPr>
          <w:sz w:val="20"/>
          <w:szCs w:val="20"/>
          <w:color w:val="auto"/>
        </w:rPr>
      </w:pPr>
    </w:p>
    <w:p>
      <w:pPr>
        <w:ind w:right="24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(whether or not designated by numbers or words added before or after the title “</w:t>
      </w:r>
      <w:r>
        <w:rPr>
          <w:rFonts w:ascii="Arial" w:cs="Arial" w:eastAsia="Arial" w:hAnsi="Arial"/>
          <w:sz w:val="15"/>
          <w:szCs w:val="15"/>
          <w:u w:val="single" w:color="auto"/>
          <w:color w:val="auto"/>
        </w:rPr>
        <w:t>Vice President</w:t>
      </w:r>
      <w:r>
        <w:rPr>
          <w:rFonts w:ascii="Arial" w:cs="Arial" w:eastAsia="Arial" w:hAnsi="Arial"/>
          <w:sz w:val="15"/>
          <w:szCs w:val="15"/>
          <w:color w:val="auto"/>
        </w:rPr>
        <w:t>”), the cashier, the secretary, the treasurer, any trust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2" w:name="page43"/>
    <w:bookmarkEnd w:id="42"/>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93"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(except as otherwise provided in Section 7.4) has the meaning stated in the first recital of this Indenture, or, as the case may be, Securities that have been authenticated and delivered under this Indenture.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when used with respect to the Subordinated Securities of any series, shall have the meaning established pursuant to Subsection 2.3(9) with respect to the Subordinated Securities of such series.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Securities other than Subordinated Securities.</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Securities</w:t>
      </w:r>
      <w:r>
        <w:rPr>
          <w:rFonts w:ascii="Arial" w:cs="Arial" w:eastAsia="Arial" w:hAnsi="Arial"/>
          <w:sz w:val="18"/>
          <w:szCs w:val="18"/>
          <w:color w:val="auto"/>
        </w:rPr>
        <w:t>” means Securities that by the terms established pursuant to Subsection 2.3(9) are subordinated in right of payment to Senior Indebtedness of the Issuer.</w:t>
      </w:r>
    </w:p>
    <w:p>
      <w:pPr>
        <w:spacing w:after="0" w:line="118"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Provisions</w:t>
      </w:r>
      <w:r>
        <w:rPr>
          <w:rFonts w:ascii="Arial" w:cs="Arial" w:eastAsia="Arial" w:hAnsi="Arial"/>
          <w:sz w:val="18"/>
          <w:szCs w:val="18"/>
          <w:color w:val="auto"/>
        </w:rPr>
        <w:t>,” when used with respect to the Subordinated Securities of any series, shall have the meaning established pursuant to Subsection 2.3(9) with respect to the Subordinated Securities of such series.</w:t>
      </w:r>
    </w:p>
    <w:p>
      <w:pPr>
        <w:spacing w:after="0" w:line="11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with respect to any Person, means (1) any corporation, association or other business entity of which more than 50% of the total voting power of shares of Equity Interests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 (2) any partnership (a) the sole general partner or the managing general partner of which is such Person or a Subsidiary of such Person or (b) the only general partners of which are that Person or one of more Subsidiaries of that Person (or any combination thereof).</w:t>
      </w:r>
    </w:p>
    <w:p>
      <w:pPr>
        <w:spacing w:after="0" w:line="102"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Person identified as “</w:t>
      </w:r>
      <w:r>
        <w:rPr>
          <w:rFonts w:ascii="Arial" w:cs="Arial" w:eastAsia="Arial" w:hAnsi="Arial"/>
          <w:sz w:val="16"/>
          <w:szCs w:val="16"/>
          <w:u w:val="single" w:color="auto"/>
          <w:color w:val="auto"/>
        </w:rPr>
        <w:t>Trustee</w:t>
      </w:r>
      <w:r>
        <w:rPr>
          <w:rFonts w:ascii="Arial" w:cs="Arial" w:eastAsia="Arial" w:hAnsi="Arial"/>
          <w:sz w:val="16"/>
          <w:szCs w:val="16"/>
          <w:color w:val="auto"/>
        </w:rPr>
        <w:t>” in the first paragraph hereof and, subject to the provisions of Article VI, shall also include any successor trustee. “</w:t>
      </w:r>
      <w:r>
        <w:rPr>
          <w:rFonts w:ascii="Arial" w:cs="Arial" w:eastAsia="Arial" w:hAnsi="Arial"/>
          <w:sz w:val="16"/>
          <w:szCs w:val="16"/>
          <w:u w:val="single" w:color="auto"/>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u w:val="single" w:color="auto"/>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Unregistered Security</w:t>
      </w:r>
      <w:r>
        <w:rPr>
          <w:rFonts w:ascii="Arial" w:cs="Arial" w:eastAsia="Arial" w:hAnsi="Arial"/>
          <w:sz w:val="18"/>
          <w:szCs w:val="18"/>
          <w:color w:val="auto"/>
        </w:rPr>
        <w:t>” means any Security other than a Registered Security.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shall have the meaning set forth in Section 10.1(A).</w:t>
      </w:r>
    </w:p>
    <w:p>
      <w:pPr>
        <w:spacing w:after="0" w:line="158"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3" w:name="page44"/>
    <w:bookmarkEnd w:id="43"/>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SECURITIES</w:t>
      </w:r>
    </w:p>
    <w:p>
      <w:pPr>
        <w:spacing w:after="0" w:line="15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SECTION 2.1 - FORMS GENERALLY. </w:t>
      </w:r>
      <w:r>
        <w:rPr>
          <w:rFonts w:ascii="Arial" w:cs="Arial" w:eastAsia="Arial" w:hAnsi="Arial"/>
          <w:sz w:val="16"/>
          <w:szCs w:val="16"/>
          <w:color w:val="auto"/>
        </w:rPr>
        <w:t>The Securities of each series and the Coupons, if any, to be attached thereto shall be substantially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form (not inconsistent with this Indenture) as shall be established by or pursuant to one or more Board Resolutions (as set forth in a Board Resolution or, to the extent established pursuant to but not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and Coupons, if any, as evidenced by their execution of such Securities and Coupons.</w:t>
      </w:r>
    </w:p>
    <w:p>
      <w:pPr>
        <w:spacing w:after="0" w:line="10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definitive Securities and Coupons, if any, shall be printed, lithographed, typewritten or otherwise produced in any other manner, all as determined by the officers executing such Securities and Coupons, if any, as evidenced by their execution of such Securities and Coupons, if 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4" w:name="page45"/>
    <w:bookmarkEnd w:id="44"/>
    <w:p>
      <w:pPr>
        <w:ind w:right="6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2.2 - FORM OF TRUSTEE’S CERTIFICATE OF AUTHENTICATION. </w:t>
      </w:r>
      <w:r>
        <w:rPr>
          <w:rFonts w:ascii="Arial" w:cs="Arial" w:eastAsia="Arial" w:hAnsi="Arial"/>
          <w:sz w:val="18"/>
          <w:szCs w:val="18"/>
          <w:color w:val="auto"/>
        </w:rPr>
        <w:t>The Trustee’s certificate of authentication on all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substantially the following form:</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tab/>
        <w:t>________________________________________</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at any time there shall be an Authenticating Agent appointed with respect to any series of Securities, then the Trustee’s Certificate of Authentication to be borne by the Securities of each such series shall be substantially as follows: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__________________________________________</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Authenticating Agent</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__________________________________________</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Signatory”</w:t>
      </w:r>
    </w:p>
    <w:p>
      <w:pPr>
        <w:spacing w:after="0" w:line="145"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b w:val="1"/>
          <w:bCs w:val="1"/>
          <w:color w:val="auto"/>
        </w:rPr>
        <w:t xml:space="preserve">SECTION 2.3 - AMOUNT UNLIMITED; ISSUABLE IN SERIES. </w:t>
      </w:r>
      <w:r>
        <w:rPr>
          <w:rFonts w:ascii="Arial" w:cs="Arial" w:eastAsia="Arial" w:hAnsi="Arial"/>
          <w:sz w:val="18"/>
          <w:szCs w:val="18"/>
          <w:color w:val="auto"/>
        </w:rPr>
        <w:t>The aggregate principal amount of Securities that may be authenticated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under this Indenture is unlimited.</w:t>
      </w:r>
    </w:p>
    <w:p>
      <w:pPr>
        <w:spacing w:after="0" w:line="112"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Securities may be issued in one or more series. There shall be established in or pursuant to one or more Board Resolutions (and to the extent established pursuant to but not set forth in a Board Resolution, in an Officer’s Certificate detailing such establishment) or established in one or more indentures supplemental hereto, prior to the initial issuance of Securities of any series,</w:t>
      </w:r>
    </w:p>
    <w:p>
      <w:pPr>
        <w:spacing w:after="0" w:line="127" w:lineRule="exact"/>
        <w:rPr>
          <w:sz w:val="20"/>
          <w:szCs w:val="20"/>
          <w:color w:val="auto"/>
        </w:rPr>
      </w:pPr>
    </w:p>
    <w:p>
      <w:pPr>
        <w:ind w:left="460" w:right="8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shall distinguish the Securities of the series from the Securities of all other series, and which may be part of a series of Securities previously issued;</w:t>
      </w:r>
    </w:p>
    <w:p>
      <w:pPr>
        <w:spacing w:after="0" w:line="37" w:lineRule="exact"/>
        <w:rPr>
          <w:rFonts w:ascii="Arial" w:cs="Arial" w:eastAsia="Arial" w:hAnsi="Arial"/>
          <w:sz w:val="18"/>
          <w:szCs w:val="18"/>
          <w:color w:val="auto"/>
        </w:rPr>
      </w:pPr>
    </w:p>
    <w:p>
      <w:pPr>
        <w:jc w:val="both"/>
        <w:ind w:left="460" w:right="40" w:firstLine="443"/>
        <w:spacing w:after="0" w:line="259"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2.9, 2.11, 8.5 or 12.3);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5" w:name="page46"/>
    <w:bookmarkEnd w:id="45"/>
    <w:p>
      <w:pPr>
        <w:ind w:left="700" w:hanging="257"/>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other than Dollars, the Foreign Currency or Foreign Currencies in which the Securities of the series are denominated;</w:t>
      </w:r>
    </w:p>
    <w:p>
      <w:pPr>
        <w:spacing w:after="0" w:line="76" w:lineRule="exact"/>
        <w:rPr>
          <w:rFonts w:ascii="Arial" w:cs="Arial" w:eastAsia="Arial" w:hAnsi="Arial"/>
          <w:sz w:val="18"/>
          <w:szCs w:val="18"/>
          <w:color w:val="auto"/>
        </w:rPr>
      </w:pPr>
    </w:p>
    <w:p>
      <w:pPr>
        <w:ind w:left="700" w:hanging="257"/>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or the method of determination thereof;</w:t>
      </w:r>
    </w:p>
    <w:p>
      <w:pPr>
        <w:spacing w:after="0" w:line="76" w:lineRule="exact"/>
        <w:rPr>
          <w:rFonts w:ascii="Arial" w:cs="Arial" w:eastAsia="Arial" w:hAnsi="Arial"/>
          <w:sz w:val="18"/>
          <w:szCs w:val="18"/>
          <w:color w:val="auto"/>
        </w:rPr>
      </w:pPr>
    </w:p>
    <w:p>
      <w:pPr>
        <w:ind w:firstLine="443"/>
        <w:spacing w:after="0" w:line="323" w:lineRule="auto"/>
        <w:tabs>
          <w:tab w:leader="none" w:pos="687"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rate or rates at which the Securities of the series shall bear interest, if any, the date or dates from which such interest shall accrue, on which such interest shall be payable, the terms and conditions of any deferral of interest and the additional interest, if any, thereon, the right, if any, of the Issuer to extend the interest payment periods and the duration of the extensions and (in the case of Registered Securities) the date or dates on which a record shall be taken for the determination of Holders to whom interest is payable and/or the method by which such rate or rates or date or dates shall be determined;</w:t>
      </w:r>
    </w:p>
    <w:p>
      <w:pPr>
        <w:spacing w:after="0" w:line="3" w:lineRule="exact"/>
        <w:rPr>
          <w:rFonts w:ascii="Arial" w:cs="Arial" w:eastAsia="Arial" w:hAnsi="Arial"/>
          <w:sz w:val="15"/>
          <w:szCs w:val="15"/>
          <w:color w:val="auto"/>
        </w:rPr>
      </w:pPr>
    </w:p>
    <w:p>
      <w:pPr>
        <w:ind w:right="24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the principal of and any interest on Securities of the series shall be payable, if other than as provided in Section 3.2;</w:t>
      </w:r>
    </w:p>
    <w:p>
      <w:pPr>
        <w:spacing w:after="0" w:line="37" w:lineRule="exact"/>
        <w:rPr>
          <w:rFonts w:ascii="Arial" w:cs="Arial" w:eastAsia="Arial" w:hAnsi="Arial"/>
          <w:sz w:val="18"/>
          <w:szCs w:val="18"/>
          <w:color w:val="auto"/>
        </w:rPr>
      </w:pPr>
    </w:p>
    <w:p>
      <w:pPr>
        <w:ind w:right="60" w:firstLine="443"/>
        <w:spacing w:after="0" w:line="259"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if any, of the Issuer to redeem Securities, in whole or in part, at its option and the period or periods within which, or the date or dates on which, the price or prices at which and any terms and conditions upon which Securities of the series may be so redeemed, pursuant to any sinking fund or otherwise;</w:t>
      </w:r>
    </w:p>
    <w:p>
      <w:pPr>
        <w:spacing w:after="0" w:line="45" w:lineRule="exact"/>
        <w:rPr>
          <w:rFonts w:ascii="Arial" w:cs="Arial" w:eastAsia="Arial" w:hAnsi="Arial"/>
          <w:sz w:val="18"/>
          <w:szCs w:val="18"/>
          <w:color w:val="auto"/>
        </w:rPr>
      </w:pPr>
    </w:p>
    <w:p>
      <w:pPr>
        <w:ind w:right="240" w:firstLine="443"/>
        <w:spacing w:after="0" w:line="256"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or the date or dates on which, and any terms and conditions upon which Securities of the series shall be redeemed, purchased or repaid, in whole or in part, pursuant to such obligation;</w:t>
      </w:r>
    </w:p>
    <w:p>
      <w:pPr>
        <w:spacing w:after="0" w:line="48" w:lineRule="exact"/>
        <w:rPr>
          <w:rFonts w:ascii="Arial" w:cs="Arial" w:eastAsia="Arial" w:hAnsi="Arial"/>
          <w:sz w:val="18"/>
          <w:szCs w:val="18"/>
          <w:color w:val="auto"/>
        </w:rPr>
      </w:pPr>
    </w:p>
    <w:p>
      <w:pPr>
        <w:ind w:right="100" w:firstLine="443"/>
        <w:spacing w:after="0" w:line="314" w:lineRule="auto"/>
        <w:tabs>
          <w:tab w:leader="none" w:pos="687"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the Securities of such series are Subordinated Securities, the terms pursuant to which the Securities of such series will be made subordinate in right of payment to Senior Indebtedness and the definition of such Senior Indebtedness with respect to such series (in the absence of an express statement to the effect that the Securities of such series are subordinate in right of payment to all such Senior Indebtedness, the Securities of such series shall not be subordinate to Senior Indebtedness and shall not constitute Subordinated Securities); and, in the event that the Securities of such series are Subordinated Securities, such Board Resolution, Officer’s Certificate or supplemental indenture, as the case may be, establishing the terms of such series shall expressly state which articles, sections or other provisions thereof constitute the “</w:t>
      </w:r>
      <w:r>
        <w:rPr>
          <w:rFonts w:ascii="Arial" w:cs="Arial" w:eastAsia="Arial" w:hAnsi="Arial"/>
          <w:sz w:val="15"/>
          <w:szCs w:val="15"/>
          <w:u w:val="single" w:color="auto"/>
          <w:color w:val="auto"/>
        </w:rPr>
        <w:t>Subordination Provisions</w:t>
      </w:r>
      <w:r>
        <w:rPr>
          <w:rFonts w:ascii="Arial" w:cs="Arial" w:eastAsia="Arial" w:hAnsi="Arial"/>
          <w:sz w:val="15"/>
          <w:szCs w:val="15"/>
          <w:color w:val="auto"/>
        </w:rPr>
        <w:t>” with respect to the Securities of such series;</w:t>
      </w:r>
    </w:p>
    <w:p>
      <w:pPr>
        <w:spacing w:after="0" w:line="10" w:lineRule="exact"/>
        <w:rPr>
          <w:rFonts w:ascii="Arial" w:cs="Arial" w:eastAsia="Arial" w:hAnsi="Arial"/>
          <w:sz w:val="15"/>
          <w:szCs w:val="15"/>
          <w:color w:val="auto"/>
        </w:rPr>
      </w:pPr>
    </w:p>
    <w:p>
      <w:pPr>
        <w:ind w:right="120" w:firstLine="443"/>
        <w:spacing w:after="0" w:line="268" w:lineRule="auto"/>
        <w:tabs>
          <w:tab w:leader="none" w:pos="7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in the case of Registered Securities, or $1,000 and $5,000 in the case of Unregistered Securities, the denominations in which Securities of the series shall be issuable;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46" w:name="page47"/>
    <w:bookmarkEnd w:id="46"/>
    <w:p>
      <w:pPr>
        <w:ind w:right="80" w:firstLine="443"/>
        <w:spacing w:after="0" w:line="259" w:lineRule="auto"/>
        <w:tabs>
          <w:tab w:leader="none" w:pos="76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percentage of the principal amount at which the Securities will be issued, and, if other than the principal amount thereof, the portion of the principal amount of Securities of the series which shall be payable upon declaration of acceleration of the maturity thereof and the terms and conditions of any acceleration;</w:t>
      </w:r>
    </w:p>
    <w:p>
      <w:pPr>
        <w:spacing w:after="0" w:line="45" w:lineRule="exact"/>
        <w:rPr>
          <w:rFonts w:ascii="Arial" w:cs="Arial" w:eastAsia="Arial" w:hAnsi="Arial"/>
          <w:sz w:val="18"/>
          <w:szCs w:val="18"/>
          <w:color w:val="auto"/>
        </w:rPr>
      </w:pPr>
    </w:p>
    <w:p>
      <w:pPr>
        <w:ind w:right="320" w:firstLine="443"/>
        <w:spacing w:after="0" w:line="325" w:lineRule="auto"/>
        <w:tabs>
          <w:tab w:leader="none" w:pos="7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other than the coin, currency or currencies in which the Securities of the series are denominated, the coin, currency or currencies in which payment of the principal of or interest on the Securities of such series shall be payable, including composite currencies or currency units;</w:t>
      </w:r>
    </w:p>
    <w:p>
      <w:pPr>
        <w:spacing w:after="0" w:line="1" w:lineRule="exact"/>
        <w:rPr>
          <w:rFonts w:ascii="Arial" w:cs="Arial" w:eastAsia="Arial" w:hAnsi="Arial"/>
          <w:sz w:val="16"/>
          <w:szCs w:val="16"/>
          <w:color w:val="auto"/>
        </w:rPr>
      </w:pPr>
    </w:p>
    <w:p>
      <w:pPr>
        <w:ind w:right="500" w:firstLine="443"/>
        <w:spacing w:after="0" w:line="259"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the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45" w:lineRule="exact"/>
        <w:rPr>
          <w:rFonts w:ascii="Arial" w:cs="Arial" w:eastAsia="Arial" w:hAnsi="Arial"/>
          <w:sz w:val="18"/>
          <w:szCs w:val="18"/>
          <w:color w:val="auto"/>
        </w:rPr>
      </w:pPr>
    </w:p>
    <w:p>
      <w:pPr>
        <w:jc w:val="both"/>
        <w:ind w:right="180" w:firstLine="443"/>
        <w:spacing w:after="0" w:line="259"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with reference to an index or formula based on a coin, currency, composite currency or currency unit other than that in which the Securities of the series are denominated, the manner in which such amounts shall be determined;</w:t>
      </w:r>
    </w:p>
    <w:p>
      <w:pPr>
        <w:spacing w:after="0" w:line="45" w:lineRule="exact"/>
        <w:rPr>
          <w:rFonts w:ascii="Arial" w:cs="Arial" w:eastAsia="Arial" w:hAnsi="Arial"/>
          <w:sz w:val="18"/>
          <w:szCs w:val="18"/>
          <w:color w:val="auto"/>
        </w:rPr>
      </w:pPr>
    </w:p>
    <w:p>
      <w:pPr>
        <w:ind w:right="120" w:firstLine="443"/>
        <w:spacing w:after="0" w:line="298" w:lineRule="auto"/>
        <w:tabs>
          <w:tab w:leader="none" w:pos="7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Securities of the series will be issuable as Registered Securities (and if so, whether such Securities will be issuable as Registered Global Securities) or Unregistered Securities (with or without Coupons), or any combination of the foregoing, any restrictions applicable to the offer, sale or delivery of Unregistered Securities or the payment of interest thereon and, if other than as provided in Section 2.8, the terms upon which Unregistered Securities of any series may be exchanged for Registered Securities of such series and vice versa;</w:t>
      </w:r>
    </w:p>
    <w:p>
      <w:pPr>
        <w:spacing w:after="0" w:line="18" w:lineRule="exact"/>
        <w:rPr>
          <w:rFonts w:ascii="Arial" w:cs="Arial" w:eastAsia="Arial" w:hAnsi="Arial"/>
          <w:sz w:val="16"/>
          <w:szCs w:val="16"/>
          <w:color w:val="auto"/>
        </w:rPr>
      </w:pPr>
    </w:p>
    <w:p>
      <w:pPr>
        <w:ind w:right="140" w:firstLine="443"/>
        <w:spacing w:after="0" w:line="259"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the Securities of the series rather than pay such additional amounts;</w:t>
      </w:r>
    </w:p>
    <w:p>
      <w:pPr>
        <w:spacing w:after="0" w:line="45" w:lineRule="exact"/>
        <w:rPr>
          <w:rFonts w:ascii="Arial" w:cs="Arial" w:eastAsia="Arial" w:hAnsi="Arial"/>
          <w:sz w:val="18"/>
          <w:szCs w:val="18"/>
          <w:color w:val="auto"/>
        </w:rPr>
      </w:pPr>
    </w:p>
    <w:p>
      <w:pPr>
        <w:jc w:val="both"/>
        <w:ind w:firstLine="443"/>
        <w:spacing w:after="0" w:line="259"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45" w:lineRule="exact"/>
        <w:rPr>
          <w:rFonts w:ascii="Arial" w:cs="Arial" w:eastAsia="Arial" w:hAnsi="Arial"/>
          <w:sz w:val="18"/>
          <w:szCs w:val="18"/>
          <w:color w:val="auto"/>
        </w:rPr>
      </w:pPr>
    </w:p>
    <w:p>
      <w:pPr>
        <w:ind w:left="780" w:hanging="337"/>
        <w:spacing w:after="0"/>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trustees, depositaries, authenticating or paying agents, transfer agents or registrars of any other agents with respect to the Securities of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series;</w:t>
      </w:r>
    </w:p>
    <w:p>
      <w:pPr>
        <w:spacing w:after="0" w:line="70" w:lineRule="exact"/>
        <w:rPr>
          <w:rFonts w:ascii="Arial" w:cs="Arial" w:eastAsia="Arial" w:hAnsi="Arial"/>
          <w:sz w:val="15"/>
          <w:szCs w:val="15"/>
          <w:color w:val="auto"/>
        </w:rPr>
      </w:pPr>
    </w:p>
    <w:p>
      <w:pPr>
        <w:ind w:left="780" w:hanging="337"/>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deletion from, modification of or addition to the Events of Default or covenants with respect to the Securities of such series;</w:t>
      </w:r>
    </w:p>
    <w:p>
      <w:pPr>
        <w:spacing w:after="0" w:line="76" w:lineRule="exact"/>
        <w:rPr>
          <w:rFonts w:ascii="Arial" w:cs="Arial" w:eastAsia="Arial" w:hAnsi="Arial"/>
          <w:sz w:val="18"/>
          <w:szCs w:val="18"/>
          <w:color w:val="auto"/>
        </w:rPr>
      </w:pPr>
    </w:p>
    <w:p>
      <w:pPr>
        <w:ind w:right="500" w:firstLine="443"/>
        <w:spacing w:after="0" w:line="268" w:lineRule="auto"/>
        <w:tabs>
          <w:tab w:leader="none" w:pos="7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other security or property of the Issuer, including, without limitation, securities of another Person held by the Issuer or its Affiliates and, if so, the terms thereof;</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47" w:name="page48"/>
    <w:bookmarkEnd w:id="47"/>
    <w:p>
      <w:pPr>
        <w:ind w:left="1240" w:hanging="337"/>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Securities of such series are to be secured, the terms pursuant to which such Securities will be secured; and</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5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All Securities of any one series and Coupons, if any, appertaining thereto shall be substantially identical, except in the case of Registered Securities as to denomination and except as may otherwise be provided by or pursuant to the Board Resolution or Officer’s Certificate referred to above or as set forth in any indenture supplemental hereto. All Securities of any one series need not be issued at the same time and may be issued from time to time without consent of any Holder, consistent with the terms of this Indenture, if so provided by or pursuant to such Board Resolution, such Officer’s Certificate or in any indenture supplemental hereto.</w:t>
      </w:r>
    </w:p>
    <w:p>
      <w:pPr>
        <w:spacing w:after="0" w:line="12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2.4 - AUTHENTICATION AND DELIVERY OF SECURITIES. </w:t>
      </w:r>
      <w:r>
        <w:rPr>
          <w:rFonts w:ascii="Arial" w:cs="Arial" w:eastAsia="Arial" w:hAnsi="Arial"/>
          <w:sz w:val="16"/>
          <w:szCs w:val="16"/>
          <w:color w:val="auto"/>
        </w:rPr>
        <w:t>The Issuer may deliver Securities of any series having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appropriate Coupons, if any, executed by the Issuer to the Trustee for authentication together with the applicable documents referred to below in this Section 2.4, and the Trustee shall thereupon authenticate and deliver such Securities and Coupons, if any,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and Coupons, if any, appertaining thereto shall be determined by or pursuant to such Issuer Order and procedures. If provided for in such procedures, such Issuer Order may authorize authentication and delivery pursuant to oral or written instructions from the Issuer or its duly authorized agent or agents, which instructions, if oral, shall be promptly confirmed in writing. In authenticating such Securities and accepting the additional responsibilities under this Indenture in relation to such Securities, the Trustee shall be entitled to receive (in the case of subparagraphs (2), (3) and (4) below only at or before the time of the first request of the Issuer to the Trustee to authenticate Securities of such series) and (subject to Section 6.1) shall be fully protected in relying upon, the following enumerated documents unless and until such documents have been superseded or revoked:</w:t>
      </w:r>
    </w:p>
    <w:p>
      <w:pPr>
        <w:spacing w:after="0" w:line="30" w:lineRule="exact"/>
        <w:rPr>
          <w:sz w:val="20"/>
          <w:szCs w:val="20"/>
          <w:color w:val="auto"/>
        </w:rPr>
      </w:pPr>
    </w:p>
    <w:p>
      <w:pPr>
        <w:ind w:left="460" w:firstLine="443"/>
        <w:spacing w:after="0" w:line="289"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 Issuer Order requesting such authentication and setting forth delivery instructions if the Securities and Coupons, if any, are not to be delivered to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Securities of a series subject to a Periodic Offering, (a) such Issuer Order may be delivered by the Issuer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established for such series, pursuant to an Issuer Order or pursuant to procedures acceptable to the Trustee as may be specified from time to time by an Issuer Order, (c) the maturity date or dates, original issue date or dates, interest rate or rates and any other terms of Securities of such series shall be determined by an Issuer Order or pursuant to such procedures and (d) if provided for in such procedures, such Issuer Order may authorize authentication and delivery pursuant to oral or written instructions from the Issuer or its duly authorized agent or agents, which instructions, if oral, shall be promptly confirmed in 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8" w:name="page49"/>
    <w:bookmarkEnd w:id="48"/>
    <w:p>
      <w:pPr>
        <w:ind w:left="460" w:right="6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Board Resolution, Officer’s Certificate and/or executed supplemental indenture referred to in Section 2.1 and 2.3 by or pursuant to which the forms and terms of the Securities and Coupons, if any, were established;</w:t>
      </w:r>
    </w:p>
    <w:p>
      <w:pPr>
        <w:spacing w:after="0" w:line="37" w:lineRule="exact"/>
        <w:rPr>
          <w:rFonts w:ascii="Arial" w:cs="Arial" w:eastAsia="Arial" w:hAnsi="Arial"/>
          <w:sz w:val="18"/>
          <w:szCs w:val="18"/>
          <w:color w:val="auto"/>
        </w:rPr>
      </w:pPr>
    </w:p>
    <w:p>
      <w:pPr>
        <w:jc w:val="both"/>
        <w:ind w:left="460" w:right="20" w:firstLine="443"/>
        <w:spacing w:after="0" w:line="259"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and Coupons, if any, stating that the form or forms and terms of the Securities and Coupons, if any, have been established pursuant to Sections 2.1 and 2.3 and comply with this Indenture, and covering such other matters as the Trustee may reasonably request; and</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the option of the Issuer, either one or more Opinions of Counsel, or a letter addressed to the Trustee permitting it to rely on one or more Opinions of Counsel, substantially to the effect that:</w:t>
      </w:r>
    </w:p>
    <w:p>
      <w:pPr>
        <w:spacing w:after="0" w:line="37"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form or forms of the Securities and Coupons, if any, have been duly authorized by the Issuer and established in conformity with the provisions of this Indenture;</w:t>
      </w:r>
    </w:p>
    <w:p>
      <w:pPr>
        <w:spacing w:after="0" w:line="37" w:lineRule="exact"/>
        <w:rPr>
          <w:rFonts w:ascii="Arial" w:cs="Arial" w:eastAsia="Arial" w:hAnsi="Arial"/>
          <w:sz w:val="18"/>
          <w:szCs w:val="18"/>
          <w:color w:val="auto"/>
        </w:rPr>
      </w:pPr>
    </w:p>
    <w:p>
      <w:pPr>
        <w:ind w:left="920" w:firstLine="421"/>
        <w:spacing w:after="0" w:line="294" w:lineRule="auto"/>
        <w:tabs>
          <w:tab w:leader="none" w:pos="1588"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case of an underwritten offering, the terms of the Securities have been duly authorized and established in conformity with the provisions of this Indenture, and, in the case of an offering that is not underwritten, certain terms of the Securities have been established pursuant to a Board Resolution, an Officer’s Certificate or a supplemental indenture in accordance with this Indenture, and when such other terms as are to be established pursuant to procedures set forth in an Issuer Order shall have been established, all such terms will have been duly authorized by the Issuer and will have been established in conformity with the provisions of this Indenture; and</w:t>
      </w:r>
    </w:p>
    <w:p>
      <w:pPr>
        <w:spacing w:after="0" w:line="21" w:lineRule="exact"/>
        <w:rPr>
          <w:rFonts w:ascii="Arial" w:cs="Arial" w:eastAsia="Arial" w:hAnsi="Arial"/>
          <w:sz w:val="16"/>
          <w:szCs w:val="16"/>
          <w:color w:val="auto"/>
        </w:rPr>
      </w:pPr>
    </w:p>
    <w:p>
      <w:pPr>
        <w:ind w:left="920" w:right="40" w:firstLine="421"/>
        <w:spacing w:after="0" w:line="290" w:lineRule="auto"/>
        <w:tabs>
          <w:tab w:leader="none" w:pos="1579" w:val="left"/>
        </w:tabs>
        <w:numPr>
          <w:ilvl w:val="1"/>
          <w:numId w:val="42"/>
        </w:numPr>
        <w:rPr>
          <w:rFonts w:ascii="Arial" w:cs="Arial" w:eastAsia="Arial" w:hAnsi="Arial"/>
          <w:sz w:val="16"/>
          <w:szCs w:val="16"/>
          <w:color w:val="auto"/>
        </w:rPr>
      </w:pPr>
      <w:r>
        <w:rPr>
          <w:rFonts w:ascii="Arial" w:cs="Arial" w:eastAsia="Arial" w:hAnsi="Arial"/>
          <w:sz w:val="16"/>
          <w:szCs w:val="16"/>
          <w:color w:val="auto"/>
        </w:rPr>
        <w:t>such Securities and Coupons, if any, when executed by the Issuer and authenticated by the Trustee in accordance with the provisions of this Indenture and delivered to and duly paid for by the purchasers thereof, and subject to any conditions specified in such Opinion of Counsel, will have been duly issued under this Indenture, will be entitled to the benefits of this Indenture, and will be valid and binding obligations of the Issuer, enforceable in accordance with their respective terms except as the enforceability thereof may be limited by applicable (i) bankruptcy, insolvency, reorganization, liquidation, moratorium or similar laws affecting creditors’ rights generally, (ii) rights of acceleration, if any, and (iii) general principles of equity (regardless of whether enforceability in considered in a proceeding in equity or law) and such counsel need express no opinion with regard to the enforceability of Section 6.6 or of a judgment denominated in a currency other than Dollars.</w:t>
      </w:r>
    </w:p>
    <w:p>
      <w:pPr>
        <w:spacing w:after="0" w:line="105"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In rendering such opinions, any counsel may qualify any opinions as to enforceability by stating that such enforceability may be limited by bankruptcy, insolvency, reorganization, liquidation, moratorium, fraudulent transfer and other similar laws affecting the rights and remedies of creditors and is subject to general principles of equity (regardless of whether such enforceability is considered in a proceeding in equity or at law). Such counsel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9" w:name="page50"/>
    <w:bookmarkEnd w:id="49"/>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rely upon opinions of other counsel (copies of which shall be delivered to the Trustee) reasonably satisfactory to the Trustee, in which case the opinion shall state that such counsel believes it and the Trustee are entitled so to rely. Such counsel may also state that, insofar as such opinion involves factual matters, it has relied, to the extent it deems proper, upon certificates of officers of the Issuer and its subsidiaries and certificates of public officials.</w:t>
      </w:r>
    </w:p>
    <w:p>
      <w:pPr>
        <w:spacing w:after="0" w:line="9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shall determine that such action would expose the Trustee to personal liability to existing Holders or would affect the Trustee’s own rights, duties or immunities under the Securities, this Indenture or otherwise.</w:t>
      </w:r>
    </w:p>
    <w:p>
      <w:pPr>
        <w:spacing w:after="0" w:line="9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If the Issuer shall establish pursuant to Section 2.3 that the Securities of a series are to be issued in the form of one or more Registered Global Securities, then the Issuer shall execute and the Trustee shall, in accordance with this Section and the Issuer Order with respect to such series, authenticate and deliver one or more Registered Global Securities that (i) shall represent and shall be denominated in an amount equal to the aggregate principal amount of all of the Securities of such series issued and not yet cancelled, (ii) shall be registered in the name of the Depositary for such Registered Global Security or Securities or the nominee of such Depositary, (iii) shall be delivered by the Trustee to such Depositary or delivered or held pursuant to such Depositary’s instructions and (iv) shall bear a legend substantially to the following effect: “</w:t>
      </w:r>
      <w:r>
        <w:rPr>
          <w:rFonts w:ascii="Arial" w:cs="Arial" w:eastAsia="Arial" w:hAnsi="Arial"/>
          <w:sz w:val="16"/>
          <w:szCs w:val="16"/>
          <w:u w:val="single" w:color="auto"/>
          <w:color w:val="auto"/>
        </w:rPr>
        <w:t>This Security is a Registered Global Security within the meaning of the Indenture hereinafter referred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is registered in the name of a Depositary or a nominee thereof. This Security may not be transferred to, or registered or exchanged for Securities registered in the name of, any Person other than the Depositary or a nominee thereof, and no such transfer may be registered, except in the limited circumstances described in the Indenture. Every Security authenticated and delivered upon registration of transfer of, or in exchange for or in lieu of, this Security shall be a Registered Global Security that is subject to the foregoing, except in such limited circumstances</w:t>
      </w:r>
      <w:r>
        <w:rPr>
          <w:rFonts w:ascii="Arial" w:cs="Arial" w:eastAsia="Arial" w:hAnsi="Arial"/>
          <w:sz w:val="16"/>
          <w:szCs w:val="16"/>
          <w:color w:val="auto"/>
        </w:rPr>
        <w:t>.”</w:t>
      </w:r>
    </w:p>
    <w:p>
      <w:pPr>
        <w:spacing w:after="0" w:line="109"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Each Depositary designated pursuant to Section 2.3 must, at the time of its designation and at all times while it serves as Depositary, be a clearing agency registered under the Exchange Act and any other applicable statute or regulation.</w:t>
      </w:r>
    </w:p>
    <w:p>
      <w:pPr>
        <w:spacing w:after="0" w:line="112" w:lineRule="exact"/>
        <w:rPr>
          <w:sz w:val="20"/>
          <w:szCs w:val="20"/>
          <w:color w:val="auto"/>
        </w:rPr>
      </w:pPr>
    </w:p>
    <w:p>
      <w:pPr>
        <w:ind w:right="240" w:firstLine="913"/>
        <w:spacing w:after="0" w:line="301" w:lineRule="auto"/>
        <w:rPr>
          <w:sz w:val="20"/>
          <w:szCs w:val="20"/>
          <w:color w:val="auto"/>
        </w:rPr>
      </w:pPr>
      <w:r>
        <w:rPr>
          <w:rFonts w:ascii="Arial" w:cs="Arial" w:eastAsia="Arial" w:hAnsi="Arial"/>
          <w:sz w:val="16"/>
          <w:szCs w:val="16"/>
          <w:b w:val="1"/>
          <w:bCs w:val="1"/>
          <w:color w:val="auto"/>
        </w:rPr>
        <w:t xml:space="preserve">SECTION 2.5 - EXECUTION OF SECURITIES. </w:t>
      </w:r>
      <w:r>
        <w:rPr>
          <w:rFonts w:ascii="Arial" w:cs="Arial" w:eastAsia="Arial" w:hAnsi="Arial"/>
          <w:sz w:val="16"/>
          <w:szCs w:val="16"/>
          <w:color w:val="auto"/>
        </w:rPr>
        <w:t>The Securities and each Coupon appertaining thereto, if any, shall be signed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 by the chairman or vice chairman of its Board of Directors or its president, or any executive (senior or other), a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96"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In case any officer of the Issuer who shall have signed any of the Securities or Coupons, if any, shall cease to be such officer before the Security or Coupon so signed (or the Security to which the Coupon so signed appertains) shall be authenticated and delivered by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50" w:name="page51"/>
    <w:bookmarkEnd w:id="5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 or disposed of by the Issuer, such Security or Coupon nevertheless may be authenticated and delivered or disposed of as though the person who signed such Security or Coupon had not ceased to be such officer of the Issuer; and any Security or Coupon may be signed on behalf of the Issuer by such persons as, at the actual date of the execution of such Security or Coupon, shall be the proper officers of the Issuer, although at the date of the execution and delivery of this Indenture any such person was not such an officer.</w:t>
      </w:r>
    </w:p>
    <w:p>
      <w:pPr>
        <w:spacing w:after="0" w:line="12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 xml:space="preserve">SECTION 2.6 - CERTIFICATE OF AUTHENTICATION. </w:t>
      </w:r>
      <w:r>
        <w:rPr>
          <w:rFonts w:ascii="Arial" w:cs="Arial" w:eastAsia="Arial" w:hAnsi="Arial"/>
          <w:sz w:val="16"/>
          <w:szCs w:val="16"/>
          <w:color w:val="auto"/>
        </w:rPr>
        <w:t>Only such Securities as shall bear thereon a certificate of authentication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form hereinbefore recited, executed by the Trustee by the manual signature of one of its authorized officers, shall be entitled to the benefits of this Indenture or be valid or obligatory for any purpose. No Coupon shall be entitled to the benefits of this Indenture or shall be valid and obligatory for any purpose until the certificate of authentication on the Security to which such Coupon appertains shall have been duly executed by the Trustee.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9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b w:val="1"/>
          <w:bCs w:val="1"/>
          <w:color w:val="auto"/>
        </w:rPr>
        <w:t xml:space="preserve">SECTION 2.7 - DENOMINATION AND DATE OF SECURITIES; PAYMENT OF INTEREST. </w:t>
      </w:r>
      <w:r>
        <w:rPr>
          <w:rFonts w:ascii="Arial" w:cs="Arial" w:eastAsia="Arial" w:hAnsi="Arial"/>
          <w:sz w:val="18"/>
          <w:szCs w:val="18"/>
          <w:color w:val="auto"/>
        </w:rPr>
        <w:t>The Securities of each series shall be issuable</w:t>
      </w:r>
      <w:r>
        <w:rPr>
          <w:rFonts w:ascii="Arial" w:cs="Arial" w:eastAsia="Arial" w:hAnsi="Arial"/>
          <w:sz w:val="18"/>
          <w:szCs w:val="18"/>
          <w:b w:val="1"/>
          <w:bCs w:val="1"/>
          <w:color w:val="auto"/>
        </w:rPr>
        <w:t xml:space="preserve"> </w:t>
      </w:r>
      <w:r>
        <w:rPr>
          <w:rFonts w:ascii="Arial" w:cs="Arial" w:eastAsia="Arial" w:hAnsi="Arial"/>
          <w:sz w:val="18"/>
          <w:szCs w:val="18"/>
          <w:color w:val="auto"/>
        </w:rPr>
        <w:t>as Registered Securities or Unregistered Securities in denominations established as contemplated by Section 2.3 or, with respect to the Registered Securities of any series, if not so established, in denominations of $1,000 and any integral multiple thereof. If denominations of Unregistered Securities of any series are not so established, such Securities shall be issuable in denominations of $1,000 and $5,000.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Each Registered Security shall be dated the date of its authentication. Each Unregistered Security shall be dated as provided in the Board Resolution referred to in Section 2.3. The Securities of each series shall bear interest, if any, from the date, and such interest shall be payable on the dates, established as contemplated by Section 2.3.</w:t>
      </w:r>
    </w:p>
    <w:p>
      <w:pPr>
        <w:spacing w:after="0" w:line="12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Registered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Registered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Registered Securities not less than 15 days preceding such subsequent record date. The term “</w:t>
      </w:r>
      <w:r>
        <w:rPr>
          <w:rFonts w:ascii="Arial" w:cs="Arial" w:eastAsia="Arial" w:hAnsi="Arial"/>
          <w:sz w:val="16"/>
          <w:szCs w:val="16"/>
          <w:u w:val="single" w:color="auto"/>
          <w:color w:val="auto"/>
        </w:rPr>
        <w:t>record date</w:t>
      </w:r>
      <w:r>
        <w:rPr>
          <w:rFonts w:ascii="Arial" w:cs="Arial" w:eastAsia="Arial" w:hAnsi="Arial"/>
          <w:sz w:val="16"/>
          <w:szCs w:val="16"/>
          <w:color w:val="auto"/>
        </w:rPr>
        <w:t>” as used with respect to any interest payment date (except a date for payment of defaulted interest) for the Securities of any series shall mean the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51" w:name="page52"/>
    <w:bookmarkEnd w:id="51"/>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as such in the terms of the Registered Securities of such series established as contemplated by Section 2.3, or, if no such date is so established, if such interest payment date is the first day of a calendar month, the fifteenth day of the preceding calendar month or, if such interest payment date is the fifteenth day of a calendar month, the first day of such calendar month, in each case whether or not such record date is a Business Day.</w:t>
      </w:r>
    </w:p>
    <w:p>
      <w:pPr>
        <w:spacing w:after="0" w:line="87" w:lineRule="exact"/>
        <w:rPr>
          <w:sz w:val="20"/>
          <w:szCs w:val="20"/>
          <w:color w:val="auto"/>
        </w:rPr>
      </w:pPr>
    </w:p>
    <w:p>
      <w:pPr>
        <w:ind w:right="60" w:firstLine="913"/>
        <w:spacing w:after="0" w:line="296" w:lineRule="auto"/>
        <w:rPr>
          <w:sz w:val="20"/>
          <w:szCs w:val="20"/>
          <w:color w:val="auto"/>
        </w:rPr>
      </w:pPr>
      <w:r>
        <w:rPr>
          <w:rFonts w:ascii="Arial" w:cs="Arial" w:eastAsia="Arial" w:hAnsi="Arial"/>
          <w:sz w:val="16"/>
          <w:szCs w:val="16"/>
          <w:b w:val="1"/>
          <w:bCs w:val="1"/>
          <w:color w:val="auto"/>
        </w:rPr>
        <w:t xml:space="preserve">SECTION 2.8 - REGISTRATION, TRANSFER AND EXCHANGE. </w:t>
      </w:r>
      <w:r>
        <w:rPr>
          <w:rFonts w:ascii="Arial" w:cs="Arial" w:eastAsia="Arial" w:hAnsi="Arial"/>
          <w:sz w:val="16"/>
          <w:szCs w:val="16"/>
          <w:color w:val="auto"/>
        </w:rPr>
        <w:t>(a) The Issuer will keep at each office or agency to be maintained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as provided in Section 3.2 for each series of Securities a register or registers in which, subject to such reasonable regulations as the Issuer may prescribe, it will provide for the registration of Registered Securities of such series and the registration of transfer of Registered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0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Upon due presentation for registration of transfer of any Registered Security of any series at any such office or agency to be maintained for the purpose as provided in Section 3.2, the Issuer shall execute and the Trustee shall authenticate and deliver in the name of the transferee or transferees a new Registered Security or Registered Securities of the same series, maturity date, interest rate and original issue date in authorized denominations for a like aggregate principal amount.</w:t>
      </w:r>
    </w:p>
    <w:p>
      <w:pPr>
        <w:spacing w:after="0" w:line="130"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Unregistered Securities (except for any temporary global Unregistered Securities) and Coupons (except for Coupons attached to any temporary global Unregistered Securities) shall be transferable by delivery.</w:t>
      </w:r>
    </w:p>
    <w:p>
      <w:pPr>
        <w:spacing w:after="0" w:line="11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At the option of the Holder thereof, Registered Securities of any series (other than a Registered Global Security, except as set forth below) may be exchanged for a Registered Security or Registered Securities of such series having authorized denominations and an equal aggregate principal amount, upon surrender of such Registered Securities to be exchanged at the agency of the Issuer that shall be maintained for such purpose in accordance with Section 3.2 and upon payment, if the Issuer shall so require, of the charges hereinafter provided. If the Securities of any series are issued in both registered and unregistered form, at the option of the Holder thereof, except as otherwise specified pursuant to Section 2.3, Unregistered Securities of any series may be exchanged for Registered Securities of such series having authorized denominations and an equal aggregate principal amount, upon surrender of such Unregistered Securities to be exchanged at the agency of the Issuer that shall be maintained for such purpose in accordance with Section 3.2, with, in the case of Unregistered Securities that have Coupons attached, all unmatured Coupons and all matured Coupons in default thereto appertaining,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specified pursuant to Section 2.3, such Unregistered Securities may be exchanged for Unregistered Securities of such series having authorized denominations and an equal aggregate principal amount, upon surrender of such Unregistered Securities to be exchanged at the agency of the Issuer that shall be maintained for such purpose in accordance with Section 3.2 or as specified pursuant to Section 2.3, with, in the case of Unregistered Securities that have Coupons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2" w:name="page53"/>
    <w:bookmarkEnd w:id="5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attached, all unmatured Coupons and all matured Coupons in default thereto appertaining, and upon payment, if the Issuer shall so require, of the charges hereinafter provided. Registered Securities of any series may not be exchanged for Unregistered Securities of such series unless (1) otherwise specified pursuant to Section 2.3 and (2) the Issuer has delivered to the Trustee an Opinion of Counsel that (x) the Issuer has received from the IRS a ruling or (y) since the date hereof, there has been a change in the applicable United States Federal income tax law, in either case to the effect that the inclusion of terms permitting Registered Securities to be exchanged for Unregistered Securities would result in no United States Federal income tax effect adverse to the Issuer or to any Holder. Whenever any Securities are so surrendered for exchange, the Issuer shall execute, and the Trustee shall authenticate and deliver, the Securities which the Holder making the exchange is entitled to receive. All Securities and Coupons, if any, surrendered upon any exchange or transfer provided for in this Indenture shall be promptly cancelled and disposed of by the Trustee in accordance with its regular procedures, and the Trustee shall deliver a certificate of disposition thereof to the Issuer.</w:t>
      </w:r>
    </w:p>
    <w:p>
      <w:pPr>
        <w:spacing w:after="0" w:line="10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All Registered Securities presented for registration of transfer, exchange, redemption or payment shall (if so required by the Issuer or the Trustee) be duly endorsed, or be accompanied by a written instrument or instruments of transfer in form satisfactory to the Issuer and the Trustee duly executed, by the Holder or his attorney duly authorized in writing.</w:t>
      </w:r>
    </w:p>
    <w:p>
      <w:pPr>
        <w:spacing w:after="0" w:line="12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Issuer or the registrar may require payment of a sum sufficient to cover any tax or other governmental charge that may be imposed in connection with any exchange or registration of transfer of Securities. No service charge shall be made for any such transaction.</w:t>
      </w:r>
    </w:p>
    <w:p>
      <w:pPr>
        <w:spacing w:after="0" w:line="118"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Notwithstanding any other provision of this Section 2.8 (other than the provisions set forth in the four immediately following paragraphs),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2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at any time the Depositary for any Registered Securities of a series represented by one or more Registered Global Securities notifies the Issuer that it is unwilling or unable to continue as Depositary for such Registered Securities or if at any time the Depositary for such Registered Securities shall no longer be eligible under Section 2.4, the Issuer shall appoint a successor Depositary eligible under Section 2.4 with respect to such Registered Securities. If a successor Depositary eligible under Section 2.4 for such Registered Securities is not appointed by the Issuer within 90 days after the Issuer receives such notice or becomes aware of such ineligibility, the Issuer’s election pursuant to Section 2.3 that such Registered Securities be represented by one or more Registered Global Securities shall no longer be effective and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53" w:name="page54"/>
    <w:bookmarkEnd w:id="53"/>
    <w:p>
      <w:pPr>
        <w:ind w:right="3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130"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Issuer may at any time and in its sole discretion determine that the Registered Securities of any series issued in the form of one or more Registered Global Securities shall no longer be represented by a Registered Global Security or Securities. In such event the Issuer will execute, and the Trustee, upon receipt of any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Registered Securities, in exchange for such Registered Global Security or Securities.</w:t>
      </w:r>
    </w:p>
    <w:p>
      <w:pPr>
        <w:spacing w:after="0" w:line="10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If specified by the Issuer pursuant to Section 2.3 with respect to Securities represented by a Registered Global Security, the Depositary for such Registered Global Security may surrender such Registered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49" w:lineRule="exact"/>
        <w:rPr>
          <w:sz w:val="20"/>
          <w:szCs w:val="20"/>
          <w:color w:val="auto"/>
        </w:rPr>
      </w:pPr>
    </w:p>
    <w:p>
      <w:pPr>
        <w:ind w:left="1120" w:hanging="217"/>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Person specified by such Depositary a new Registered Security or Securities of the same series, of any authorized denominations as</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requested by such Person, in an aggregate principal amount equal to and in exchange for such Person’s beneficial interest in the Registered Global Security; and</w:t>
      </w:r>
    </w:p>
    <w:p>
      <w:pPr>
        <w:spacing w:after="0" w:line="43" w:lineRule="exact"/>
        <w:rPr>
          <w:rFonts w:ascii="Arial" w:cs="Arial" w:eastAsia="Arial" w:hAnsi="Arial"/>
          <w:sz w:val="16"/>
          <w:szCs w:val="16"/>
          <w:color w:val="auto"/>
        </w:rPr>
      </w:pPr>
    </w:p>
    <w:p>
      <w:pPr>
        <w:ind w:left="460" w:right="440" w:firstLine="443"/>
        <w:spacing w:after="0" w:line="259" w:lineRule="auto"/>
        <w:tabs>
          <w:tab w:leader="none" w:pos="11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12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Upon the exchange of a Registered Global Security for Securities in definitive registered form without coupons, in authorized denominations and any new Registered Global Security, such Registered Global Security shall be cancelled by the Trustee or an agent of the Issuer or the Trustee. Securities in definitive registered form without coupons issued in exchange for a Registered Global Security pursuant to this Section 2.8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54" w:name="page55"/>
    <w:bookmarkEnd w:id="54"/>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18"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Notwithstanding anything herein or in the terms of any series of Securities to the contrary, none of the Issuer, the Trustee or any agent of the Issuer or the Trustee (any of which, other than the Issuer, shall rely on an Officer’s Certificate and an Opinion of Counsel) shall be required to exchange any Unregistered Security for a Registered Security if such exchange would result in United States Federal income tax consequences adverse to the Issuer (such as, for example, the inability of the Issuer to deduct from its income, as computed for United States Federal income tax purposes, the interest payable on the Unregistered Securities) under then applicable United States Federal income tax laws.</w:t>
      </w:r>
    </w:p>
    <w:p>
      <w:pPr>
        <w:spacing w:after="0" w:line="9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2.9 - MUTILATED, DEFACED, DESTROYED, LOST AND STOLEN SECURITIES. </w:t>
      </w:r>
      <w:r>
        <w:rPr>
          <w:rFonts w:ascii="Arial" w:cs="Arial" w:eastAsia="Arial" w:hAnsi="Arial"/>
          <w:sz w:val="16"/>
          <w:szCs w:val="16"/>
          <w:color w:val="auto"/>
        </w:rPr>
        <w:t>In case any temporary or definitive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or any Coupon appertaining to any Security shall be mutilated, defaced,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in substitution for the Security so destroyed, lost or stolen with Coupons corresponding to the Coupons appertaining to the Securities so mutilated, defaced, destroyed, lost or stolen, or in exchange or substitution for the Security to which such mutilated, defaced, destroyed, lost or stolen Coupon appertained, with Coupons appertaining thereto corresponding to the Coupons so mutilated, defaced, destroyed, lost or stolen. In every case, the applicant for a substitute Security or Coupon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or Coupon and of the ownership thereof, and in the case of mutilation or defacement shall surrender the Security and related Coupons to the Trustee or such agent.</w:t>
      </w:r>
    </w:p>
    <w:p>
      <w:pPr>
        <w:spacing w:after="0" w:line="11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Upon the issuance of any substitute Security or Coupon, the Issuer or the registrar may require the payment of a sum sufficient to cover any tax or other governmental charge that may be imposed in relation thereto and any other expenses (including the fees and expenses of the Trustee) or its agent connected therewith. In case any Security or Coupon that has matured or is about to mature or has been called for redemption in full shall become mutilated or defaced or be destroyed, lost or stolen, the Issuer may, instead of issuing a substitute Security, pay or authorize the payment of the same or the relevant Coupon (without surrender thereof except in the case of a mutilated or defaced Security or Coupon),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or Coupons and of the ownership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5" w:name="page56"/>
    <w:bookmarkEnd w:id="55"/>
    <w:p>
      <w:pPr>
        <w:ind w:right="18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substitute Security or Coupon of any series issued pursuant to the provisions of this Section by virtue of the fact that any such Security or Coupon is destroyed, lost or stolen shall constitute an additional contractual obligation of the Issuer, whether or not the destroyed, lost or stolen Security or Coupon shall be at any time enforceable by anyone and shall be entitled to all the benefits of (but shall be subject to all the limitations of rights set forth in) this Indenture equally and proportionately with any and all other Securities or Coupons of such series duly authenticated and delivered hereunder. All Securities and Coupons shall be held and owned upon the express condition that, to the extent permitted by law, the foregoing provisions are exclusive with respect to the replacement or payment of mutilated, defaced or destroyed, lost or stolen Securities and Coupons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9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SECTION 2.10 - CANCELLATION OF SECURITIES; DESTRUCTION THEREOF. </w:t>
      </w:r>
      <w:r>
        <w:rPr>
          <w:rFonts w:ascii="Arial" w:cs="Arial" w:eastAsia="Arial" w:hAnsi="Arial"/>
          <w:sz w:val="16"/>
          <w:szCs w:val="16"/>
          <w:color w:val="auto"/>
        </w:rPr>
        <w:t>All Securities and Coupons surrendered for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redemption, registration of transfer or exchange, or for credit against any payment in respect of a sinking or analogous fund, if any, if surrendered to the Issuer or any agent of the Issuer or the Trustee or any agent of the Trustee, shall be delivered to the Trustee or its agent for cancellation or, if surrendered to the Trustee, shall be cancelled by it; and no Securities or Coupons shall be issued in lieu thereof except as expressly permitted by any of the provisions of this Indenture. The Trustee or its agent shall dispose of cancelled Securities and Coupons held by it in accordance with its regular procedures and deliver a certificate of disposition to the Issuer. If the Issuer or its agent shall acquire any of the Securities or Coupons, such acquisition shall not operate as a redemption or satisfaction of the indebtedness represented by such Securities or Coupons unless and until the same are delivered to the Trustee or its agent for cancellation.</w:t>
      </w:r>
    </w:p>
    <w:p>
      <w:pPr>
        <w:spacing w:after="0" w:line="10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b w:val="1"/>
          <w:bCs w:val="1"/>
          <w:color w:val="auto"/>
        </w:rPr>
        <w:t xml:space="preserve">SECTION 2.11 - TEMPORARY SECURITIES. </w:t>
      </w:r>
      <w:r>
        <w:rPr>
          <w:rFonts w:ascii="Arial" w:cs="Arial" w:eastAsia="Arial" w:hAnsi="Arial"/>
          <w:sz w:val="16"/>
          <w:szCs w:val="16"/>
          <w:color w:val="auto"/>
        </w:rPr>
        <w:t>Pending the preparation of definitive Securities for any series, the Issuer may execute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shall authenticate and deliver temporary Securities for such series (printed, lithographed, typewritten or otherwise reproduced, in each case in form satisfactory to the Trustee). Temporary Securities of any series shall be issuable as Registered Securities without coupons, or as Unregistered Securities with or without coupons attached thereto, of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references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Registered Securities of such series may be surrendered in exchange therefor without charge at each office or agency to be maintained by the Issuer for that purpose pursuant to Section 3.2 and, in the case of Unregistered Securities, at any agency maintained by the Issuer for such purpose as specified pursuant to Section 2.3, and the Trustee shall authenticate and deliver in exchange for such temporary Securities of such series an equal aggregate principal amount of definitive Securities of the same series having authorized denominations and, in the case of Unregistered Securities, having attached thereto any appropriate Coupons. Until so exchanged, the temporary Securities of 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6" w:name="page57"/>
    <w:bookmarkEnd w:id="56"/>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series shall be entitled to the same benefits under this Indenture as definitive Securities of such series, unless otherwise established pursuant to Section 2.3. The provisions of this Section are subject to any restrictions or limitations on the issue and delivery of temporary Unregistered Securities of any series that may be established pursuant to Section 2.3 (including any provision that Unregistered Securities of such series initially be issued in the form of a single global Unregistered Security to be delivered to a depositary or agency located outside the United States and the procedures pursuant to which definitive or global Unregistered Securities of such series would be issued in exchange for such temporary global Unregistered Security).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THE ISSUER</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SECTION 3.1 - PAYMENT OF PRINCIPAL AND INTEREST. </w:t>
      </w:r>
      <w:r>
        <w:rPr>
          <w:rFonts w:ascii="Arial" w:cs="Arial" w:eastAsia="Arial" w:hAnsi="Arial"/>
          <w:sz w:val="16"/>
          <w:szCs w:val="16"/>
          <w:color w:val="auto"/>
        </w:rPr>
        <w:t>The Issuer covenants and agrees for the benefit of each series of Securities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will duly and punctually pay or cause to be paid the principal of, and interest on, if any, each of the Securities of such series (together with any additional amounts payable pursuant to the terms of such Securities) at the place or places, at the respective time or times, and in the manner provided in this Indenture and in such Securities and in the Coupons, if any, appertaining thereto. The interest on Securities with Coupons attached (together with any additional amounts payable pursuant to the terms of such Securities) shall be payable only upon presentation and surrender of the several Coupons for such interest installments as are evidenced thereby as they severally mature. If any temporary Unregistered Security provides that interest thereon may be paid while such Security is in temporary form, the interest on any such temporary Unregistered Security (together with any additional amounts payable pursuant to the terms of such Security) shall be paid, as to the installments of interest evidenced by Coupons attached thereto, if any, only upon presentation and surrender thereof, and, as to the other installments of interest, if any, only upon presentation of such Securities for notation thereon of the payment of such interest, in each case subject to any restrictions that may be established pursuant to Section 2.3. The interest, if any, on Registered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Securities register of the Issuer.</w:t>
      </w:r>
    </w:p>
    <w:p>
      <w:pPr>
        <w:spacing w:after="0" w:line="107"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b w:val="1"/>
          <w:bCs w:val="1"/>
          <w:color w:val="auto"/>
        </w:rPr>
        <w:t xml:space="preserve">SECTION 3.2 - OFFICES FOR PAYMENTS, ETC. </w:t>
      </w:r>
      <w:r>
        <w:rPr>
          <w:rFonts w:ascii="Arial" w:cs="Arial" w:eastAsia="Arial" w:hAnsi="Arial"/>
          <w:sz w:val="16"/>
          <w:szCs w:val="16"/>
          <w:color w:val="auto"/>
        </w:rPr>
        <w:t>So long as any Registered Securities are outstanding under this Indenture, the Issuer will</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in the Borough of Manhattan, The City of New York, an office or agency where the Registered Securities of each series may be presented for payment, where the Securities of each series may be presented for exchange as is provided in this Indenture and, if applicable, pursuant to Section 2.3 and where the Registered Securities of each series may be presented for registration of transfer as in this Indenture provided.</w:t>
      </w:r>
    </w:p>
    <w:p>
      <w:pPr>
        <w:spacing w:after="0" w:line="9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Issuer will maintain one or more offices or agencies in a city or cities located outside the United States (including any city in which such an agency is required to be maintained under the rules of any stock exchange on which the Securities of such series are listed) where the Unregistered Securities, if any, of each series and Coupons, if any, appertaining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57" w:name="page58"/>
    <w:bookmarkEnd w:id="57"/>
    <w:p>
      <w:pPr>
        <w:ind w:right="10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thereto may be presented for payment. No payment on any Unregistered Security or Coupon will be made upon presentation of such Unregistered Security or Coupon at an agency of the Issuer within the United States, nor will any payment be made by transfer to an account in, or by mail to an address in, the United States, unless pursuant to applicable United States laws and regulations then in effect such payment can be made without tax consequences adverse to the Issuer. Notwithstanding the foregoing, payments in Dollars of Unregistered Securities of any series and Coupons appertaining thereto which are payable in Dollars may be made at an agency of the Issuer maintained in the Borough of Manhattan, The City of New York if such payment in Dollars at each agency maintained by the Issuer outside the United States for payment on such Unregistered Securities is illegal or effectively precluded by exchange controls or other similar restrictions.</w:t>
      </w:r>
    </w:p>
    <w:p>
      <w:pPr>
        <w:spacing w:after="0" w:line="9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Issuer will maintain in the Borough of Manhattan, The City of New York, an office or agency where notices and demands to or upon the Issuer in respect of the Securities of any series, the Coupons appertaining thereto or this Indenture may be served.</w:t>
      </w:r>
    </w:p>
    <w:p>
      <w:pPr>
        <w:spacing w:after="0" w:line="11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Issuer will give to the Trustee written notice of the location of each such office or agency and of any change of location thereof. In case the Issuer shall fail to maintain any agency required by this Section to be located in the Borough of Manhattan, The City of New York, or shall fail to give such notice of the location or for any change in the location of any of the above agencies, presentations and demands may be made and notices may be served at the Corporate Trust Office of the Trustee.</w:t>
      </w:r>
    </w:p>
    <w:p>
      <w:pPr>
        <w:spacing w:after="0" w:line="13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offices or agencies where the Securities of a series and any Coupons appertaining thereto may be presented for payment, where the Securities of that series may be presented for exchange as provided in this Indenture and pursuant to Section 2.3 and where the Registered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designation or rescission shall in any manner relieve the Issuer of its obligations to maintain the agencies provided for in this Section. The Issuer shall give to the Trustee prompt written notice of any such designation or rescission thereof.</w:t>
      </w:r>
    </w:p>
    <w:p>
      <w:pPr>
        <w:spacing w:after="0" w:line="125" w:lineRule="exact"/>
        <w:rPr>
          <w:sz w:val="20"/>
          <w:szCs w:val="20"/>
          <w:color w:val="auto"/>
        </w:rPr>
      </w:pPr>
    </w:p>
    <w:p>
      <w:pPr>
        <w:ind w:right="300" w:firstLine="913"/>
        <w:spacing w:after="0" w:line="262" w:lineRule="auto"/>
        <w:rPr>
          <w:sz w:val="20"/>
          <w:szCs w:val="20"/>
          <w:color w:val="auto"/>
        </w:rPr>
      </w:pPr>
      <w:r>
        <w:rPr>
          <w:rFonts w:ascii="Arial" w:cs="Arial" w:eastAsia="Arial" w:hAnsi="Arial"/>
          <w:sz w:val="18"/>
          <w:szCs w:val="18"/>
          <w:b w:val="1"/>
          <w:bCs w:val="1"/>
          <w:color w:val="auto"/>
        </w:rPr>
        <w:t xml:space="preserve">SECTION 3.3 - APPOINTMENT TO FILL A VACANCY IN OFFICE OF TRUSTEE. </w:t>
      </w:r>
      <w:r>
        <w:rPr>
          <w:rFonts w:ascii="Arial" w:cs="Arial" w:eastAsia="Arial" w:hAnsi="Arial"/>
          <w:sz w:val="18"/>
          <w:szCs w:val="18"/>
          <w:color w:val="auto"/>
        </w:rPr>
        <w:t>The Issuer, whenever necessary to avoid or fill a</w:t>
      </w:r>
      <w:r>
        <w:rPr>
          <w:rFonts w:ascii="Arial" w:cs="Arial" w:eastAsia="Arial" w:hAnsi="Arial"/>
          <w:sz w:val="18"/>
          <w:szCs w:val="18"/>
          <w:b w:val="1"/>
          <w:bCs w:val="1"/>
          <w:color w:val="auto"/>
        </w:rPr>
        <w:t xml:space="preserve"> </w:t>
      </w:r>
      <w:r>
        <w:rPr>
          <w:rFonts w:ascii="Arial" w:cs="Arial" w:eastAsia="Arial" w:hAnsi="Arial"/>
          <w:sz w:val="18"/>
          <w:szCs w:val="18"/>
          <w:color w:val="auto"/>
        </w:rPr>
        <w:t>vacancy in the office of Trustee, will appoint, in the manner provided in Section 6.8, a Trustee, so that there shall at all times be a Trustee with respect to each series of Securities hereunder.</w:t>
      </w:r>
    </w:p>
    <w:p>
      <w:pPr>
        <w:spacing w:after="0" w:line="119" w:lineRule="exact"/>
        <w:rPr>
          <w:sz w:val="20"/>
          <w:szCs w:val="20"/>
          <w:color w:val="auto"/>
        </w:rPr>
      </w:pPr>
    </w:p>
    <w:p>
      <w:pPr>
        <w:ind w:right="180" w:firstLine="913"/>
        <w:spacing w:after="0" w:line="262" w:lineRule="auto"/>
        <w:rPr>
          <w:sz w:val="20"/>
          <w:szCs w:val="20"/>
          <w:color w:val="auto"/>
        </w:rPr>
      </w:pPr>
      <w:r>
        <w:rPr>
          <w:rFonts w:ascii="Arial" w:cs="Arial" w:eastAsia="Arial" w:hAnsi="Arial"/>
          <w:sz w:val="18"/>
          <w:szCs w:val="18"/>
          <w:b w:val="1"/>
          <w:bCs w:val="1"/>
          <w:color w:val="auto"/>
        </w:rPr>
        <w:t xml:space="preserve">SECTION 3.4 - PAYING AGENTS. </w:t>
      </w:r>
      <w:r>
        <w:rPr>
          <w:rFonts w:ascii="Arial" w:cs="Arial" w:eastAsia="Arial" w:hAnsi="Arial"/>
          <w:sz w:val="18"/>
          <w:szCs w:val="18"/>
          <w:color w:val="auto"/>
        </w:rPr>
        <w:t>Whenever the Issuer shall appoint a paying agent other than the Trustee with respect to the Securities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series, it will cause such paying agent to execute and deliver to the Trustee an instrument in which such agent shall agree with the Trustee, subject to the provisions of this Section:</w:t>
      </w:r>
    </w:p>
    <w:p>
      <w:pPr>
        <w:spacing w:after="0" w:line="44" w:lineRule="exact"/>
        <w:rPr>
          <w:sz w:val="20"/>
          <w:szCs w:val="20"/>
          <w:color w:val="auto"/>
        </w:rPr>
      </w:pPr>
    </w:p>
    <w:p>
      <w:pPr>
        <w:ind w:left="460" w:right="120" w:firstLine="443"/>
        <w:spacing w:after="0" w:line="259"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Coupons appertaining thereto, if any, or of the Trustee;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8" w:name="page59"/>
    <w:bookmarkEnd w:id="58"/>
    <w:p>
      <w:pPr>
        <w:ind w:left="460" w:right="24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the foregoing clause (b).</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7"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or the Coupons appertaining thereto a sum sufficient to pay such principal or interest so becoming due. The Issuer will promptly notify the Trustee of any failure to take such action.</w:t>
      </w:r>
    </w:p>
    <w:p>
      <w:pPr>
        <w:spacing w:after="0" w:line="13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Anything in this Section to the contrary notwithstanding, but subject to Section 10.1,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3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10.3 and 10.4.</w:t>
      </w:r>
    </w:p>
    <w:p>
      <w:pPr>
        <w:spacing w:after="0" w:line="112"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 xml:space="preserve">SECTION 3.5 - COMPLIANCE CERTIFICATES. </w:t>
      </w:r>
      <w:r>
        <w:rPr>
          <w:rFonts w:ascii="Arial" w:cs="Arial" w:eastAsia="Arial" w:hAnsi="Arial"/>
          <w:sz w:val="16"/>
          <w:szCs w:val="16"/>
          <w:color w:val="auto"/>
        </w:rPr>
        <w:t>The Issuer will furnish to the Trustee on or before January 31 in each year (beginning with</w:t>
      </w:r>
      <w:r>
        <w:rPr>
          <w:rFonts w:ascii="Arial" w:cs="Arial" w:eastAsia="Arial" w:hAnsi="Arial"/>
          <w:sz w:val="16"/>
          <w:szCs w:val="16"/>
          <w:b w:val="1"/>
          <w:bCs w:val="1"/>
          <w:color w:val="auto"/>
        </w:rPr>
        <w:t xml:space="preserve"> </w:t>
      </w:r>
      <w:r>
        <w:rPr>
          <w:rFonts w:ascii="Arial" w:cs="Arial" w:eastAsia="Arial" w:hAnsi="Arial"/>
          <w:sz w:val="16"/>
          <w:szCs w:val="16"/>
          <w:color w:val="auto"/>
        </w:rPr>
        <w:t>2005) a brief certificate (which need not comply with Section 11.5) from the principal executive, financial or accounting officer of the Issuer stating that in the course of the performance by the signer of his or her duties as an officer of the Issuer he or she would normally have knowledge of any default or non-compliance by the Issuer in the performance of any covenants or conditions contained in this Indenture, stating whether or not he or she has knowledge of any such default or non-compliance and, if so, describing each such default or non-compliance of which the signer has knowledge and the nature thereof.</w:t>
      </w:r>
    </w:p>
    <w:p>
      <w:pPr>
        <w:spacing w:after="0" w:line="94"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b w:val="1"/>
          <w:bCs w:val="1"/>
          <w:color w:val="auto"/>
        </w:rPr>
        <w:t xml:space="preserve">SECTION 3.6 - CORPORATE EXISTENCE. </w:t>
      </w:r>
      <w:r>
        <w:rPr>
          <w:rFonts w:ascii="Arial" w:cs="Arial" w:eastAsia="Arial" w:hAnsi="Arial"/>
          <w:sz w:val="18"/>
          <w:szCs w:val="18"/>
          <w:color w:val="auto"/>
        </w:rPr>
        <w:t>Subject to Article IX, the Issuer will do or cause to be done all things necessary to preserve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keep in full force and effect its corporate existence and the rights (charter and statutory), licenses and franchises of the Issuer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Issuer shall not be required to preserve any such right, license or franchise, if, in the judgment of the Issuer, the preservation thereof is no longer desirable in the conduct of the business of the Issuer and its Subsidiaries taken as a whole and the loss thereof is not disadvantageous in any material respect to the Securityholders.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59" w:name="page60"/>
    <w:bookmarkEnd w:id="59"/>
    <w:p>
      <w:pPr>
        <w:ind w:right="4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3.7 - LUXEMBOURG PUBLICATIONS. </w:t>
      </w:r>
      <w:r>
        <w:rPr>
          <w:rFonts w:ascii="Arial" w:cs="Arial" w:eastAsia="Arial" w:hAnsi="Arial"/>
          <w:sz w:val="18"/>
          <w:szCs w:val="18"/>
          <w:color w:val="auto"/>
        </w:rPr>
        <w:t>In the event of the publication of any notice pursuant to Section 5.11, 6.9, 6.10, 8.2, 10.4,</w:t>
      </w:r>
      <w:r>
        <w:rPr>
          <w:rFonts w:ascii="Arial" w:cs="Arial" w:eastAsia="Arial" w:hAnsi="Arial"/>
          <w:sz w:val="18"/>
          <w:szCs w:val="18"/>
          <w:b w:val="1"/>
          <w:bCs w:val="1"/>
          <w:color w:val="auto"/>
        </w:rPr>
        <w:t xml:space="preserve"> </w:t>
      </w:r>
      <w:r>
        <w:rPr>
          <w:rFonts w:ascii="Arial" w:cs="Arial" w:eastAsia="Arial" w:hAnsi="Arial"/>
          <w:sz w:val="18"/>
          <w:szCs w:val="18"/>
          <w:color w:val="auto"/>
        </w:rPr>
        <w:t>11.4 or 12.2, the party making such publication in the Borough of Manhattan, The City of New York and London shall also, to the extent that notice is required to be given to Holders of Securities of any series by applicable Luxembourg law or stock exchange regulation, as evidenced by an Officer’s Certificate delivered to such party, make a similar publication in Luxembourg.</w:t>
      </w:r>
    </w:p>
    <w:p>
      <w:pPr>
        <w:spacing w:after="0" w:line="12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SECURITYHOLDER LISTS AND REPORTS BY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AND THE TRUSTEE</w:t>
      </w:r>
    </w:p>
    <w:p>
      <w:pPr>
        <w:spacing w:after="0" w:line="145"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 xml:space="preserve">SECTION 4.1 - ISSUER TO FURNISH TRUSTEE INFORMATION AS TO NAMES AND ADDRESSES OF SECURITYHOLDERS. </w:t>
      </w:r>
      <w:r>
        <w:rPr>
          <w:rFonts w:ascii="Arial" w:cs="Arial" w:eastAsia="Arial" w:hAnsi="Arial"/>
          <w:sz w:val="18"/>
          <w:szCs w:val="18"/>
          <w:color w:val="auto"/>
        </w:rPr>
        <w:t>If</w:t>
      </w:r>
      <w:r>
        <w:rPr>
          <w:rFonts w:ascii="Arial" w:cs="Arial" w:eastAsia="Arial" w:hAnsi="Arial"/>
          <w:sz w:val="18"/>
          <w:szCs w:val="18"/>
          <w:b w:val="1"/>
          <w:bCs w:val="1"/>
          <w:color w:val="auto"/>
        </w:rPr>
        <w:t xml:space="preserve"> </w:t>
      </w:r>
      <w:r>
        <w:rPr>
          <w:rFonts w:ascii="Arial" w:cs="Arial" w:eastAsia="Arial" w:hAnsi="Arial"/>
          <w:sz w:val="18"/>
          <w:szCs w:val="18"/>
          <w:color w:val="auto"/>
        </w:rPr>
        <w:t>and so long as the Trustee shall not be the Security registrar for the Securities of any series, the Issuer and any other obligor on the Securities will furnish or cause to be furnished to the Trustee a list in such form as the Trustee may reasonably require of the names and addresses of the Holders of the Registered Securities of such series pursuant to Section 312 of the Trust Indenture Act:</w:t>
      </w:r>
    </w:p>
    <w:p>
      <w:pPr>
        <w:spacing w:after="0" w:line="48" w:lineRule="exact"/>
        <w:rPr>
          <w:sz w:val="20"/>
          <w:szCs w:val="20"/>
          <w:color w:val="auto"/>
        </w:rPr>
      </w:pPr>
    </w:p>
    <w:p>
      <w:pPr>
        <w:ind w:left="460" w:right="120" w:firstLine="443"/>
        <w:spacing w:after="0" w:line="325"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semi-annually not more than 5 days after each record date for the payment of interest on such Registered Securities, as hereinabove specified, as of such record date and on dates to be determined pursuant to Section 2.3 for non-interest bearing Registered Securities in each year; and</w:t>
      </w:r>
    </w:p>
    <w:p>
      <w:pPr>
        <w:spacing w:after="0" w:line="1"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such other times as the Trustee may reasonably request in writing, within thirty days after receipt by the Issuer of any such request as of a date not more than 15 days prior to the time such information is furnished.</w:t>
      </w:r>
    </w:p>
    <w:p>
      <w:pPr>
        <w:spacing w:after="0" w:line="112" w:lineRule="exact"/>
        <w:rPr>
          <w:sz w:val="20"/>
          <w:szCs w:val="20"/>
          <w:color w:val="auto"/>
        </w:rPr>
      </w:pPr>
    </w:p>
    <w:p>
      <w:pPr>
        <w:ind w:right="160" w:firstLine="913"/>
        <w:spacing w:after="0" w:line="310" w:lineRule="auto"/>
        <w:rPr>
          <w:sz w:val="20"/>
          <w:szCs w:val="20"/>
          <w:color w:val="auto"/>
        </w:rPr>
      </w:pPr>
      <w:r>
        <w:rPr>
          <w:rFonts w:ascii="Arial" w:cs="Arial" w:eastAsia="Arial" w:hAnsi="Arial"/>
          <w:sz w:val="16"/>
          <w:szCs w:val="16"/>
          <w:b w:val="1"/>
          <w:bCs w:val="1"/>
          <w:color w:val="auto"/>
        </w:rPr>
        <w:t xml:space="preserve">SECTION 4.2 - REPORTS BY THE ISSUER. </w:t>
      </w:r>
      <w:r>
        <w:rPr>
          <w:rFonts w:ascii="Arial" w:cs="Arial" w:eastAsia="Arial" w:hAnsi="Arial"/>
          <w:sz w:val="16"/>
          <w:szCs w:val="16"/>
          <w:color w:val="auto"/>
        </w:rPr>
        <w:t>The Issuer covenants to file with the Trustee, within 15 days after the Issuer is required to file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with the Commission, copies of the annual reports and of the information, documents, and other reports that the Issuer may be required to file with the Commission pursuant to Section 13 or Section 15(d) of the Exchange Act or pursuant to Section 314 of the Trust Indenture Act.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4.3 - REPORTS BY THE TRUSTEE.</w:t>
      </w:r>
    </w:p>
    <w:p>
      <w:pPr>
        <w:spacing w:after="0" w:line="83" w:lineRule="exact"/>
        <w:rPr>
          <w:sz w:val="20"/>
          <w:szCs w:val="20"/>
          <w:color w:val="auto"/>
        </w:rPr>
      </w:pPr>
    </w:p>
    <w:p>
      <w:pPr>
        <w:ind w:left="460" w:right="80" w:firstLine="443"/>
        <w:spacing w:after="0" w:line="286"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such report is required by TIA Section 313, within 60 days after each May 15, beginning with May 15, 2004, the Trustee shall transmit to each Securityholder a brief report dated as of such May 15 that complies with TIA Section 313(a). The Trustee also shall comply with TIA Section 313(b) and</w:t>
      </w:r>
    </w:p>
    <w:p>
      <w:pPr>
        <w:ind w:left="460"/>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70"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copy of each such report shall, at the time of such transmission to Holders of Securities, be transmitted to the Company and filed by the Trustee with the Commission and each stock exchange or quotation system, if any, upon which any Securities are listed. The Company will notify the Trustee when any Securities are listed or admitted to trading on any stock exchange or quotation system or of any delisting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60" w:name="page61"/>
    <w:bookmarkEnd w:id="60"/>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REMEDIES OF THE TRUSTEE AND SECURITYHOLDERS ON EVENT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DEFAULT</w:t>
      </w:r>
    </w:p>
    <w:p>
      <w:pPr>
        <w:spacing w:after="0" w:line="145" w:lineRule="exact"/>
        <w:rPr>
          <w:sz w:val="20"/>
          <w:szCs w:val="20"/>
          <w:color w:val="auto"/>
        </w:rPr>
      </w:pPr>
    </w:p>
    <w:p>
      <w:pPr>
        <w:jc w:val="both"/>
        <w:ind w:right="60" w:firstLine="913"/>
        <w:spacing w:after="0" w:line="258" w:lineRule="auto"/>
        <w:rPr>
          <w:sz w:val="20"/>
          <w:szCs w:val="20"/>
          <w:color w:val="auto"/>
        </w:rPr>
      </w:pPr>
      <w:r>
        <w:rPr>
          <w:rFonts w:ascii="Arial" w:cs="Arial" w:eastAsia="Arial" w:hAnsi="Arial"/>
          <w:sz w:val="18"/>
          <w:szCs w:val="18"/>
          <w:b w:val="1"/>
          <w:bCs w:val="1"/>
          <w:color w:val="auto"/>
        </w:rPr>
        <w:t xml:space="preserve">SECTION 5.1 - - EVENT OF DEFAULT DEFINED, ACCELERATION OF MATURITY; WAIVER OF DEFAULT. </w:t>
      </w: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Securities of any series, wherever used herein, means any one of the following events that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48" w:lineRule="exact"/>
        <w:rPr>
          <w:sz w:val="20"/>
          <w:szCs w:val="20"/>
          <w:color w:val="auto"/>
        </w:rPr>
      </w:pPr>
    </w:p>
    <w:p>
      <w:pPr>
        <w:ind w:left="460" w:firstLine="443"/>
        <w:spacing w:after="0" w:line="259"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default in the payment of any installment of interest upon any of the Securities of such series as and when the same shall become due and payable, and continuance of such default for a period of 30 days; </w:t>
      </w:r>
      <w:r>
        <w:rPr>
          <w:rFonts w:ascii="Arial" w:cs="Arial" w:eastAsia="Arial" w:hAnsi="Arial"/>
          <w:sz w:val="18"/>
          <w:szCs w:val="18"/>
          <w:u w:val="single" w:color="auto"/>
          <w:color w:val="auto"/>
        </w:rPr>
        <w:t>provided</w:t>
      </w:r>
      <w:r>
        <w:rPr>
          <w:rFonts w:ascii="Arial" w:cs="Arial" w:eastAsia="Arial" w:hAnsi="Arial"/>
          <w:sz w:val="18"/>
          <w:szCs w:val="18"/>
          <w:color w:val="auto"/>
        </w:rPr>
        <w:t>, that, a valid extension of an interest payment period by the Issuer in accordance with the terms of such Securities shall not constitute a failure to pay interest; or</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in the payment of all or any part of the principal or premium (if any) on any of the Securities of such series as and when the same shall become due and payable either at maturity, upon any redemption, by declaration or otherwise; or</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default in the payment of any sinking fund installment as and when the same shall become due and payable by the terms of the Securities of such</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series; or</w:t>
      </w:r>
    </w:p>
    <w:p>
      <w:pPr>
        <w:spacing w:after="0" w:line="70" w:lineRule="exact"/>
        <w:rPr>
          <w:rFonts w:ascii="Arial" w:cs="Arial" w:eastAsia="Arial" w:hAnsi="Arial"/>
          <w:sz w:val="15"/>
          <w:szCs w:val="15"/>
          <w:color w:val="auto"/>
        </w:rPr>
      </w:pPr>
    </w:p>
    <w:p>
      <w:pPr>
        <w:ind w:left="460" w:right="40" w:firstLine="443"/>
        <w:spacing w:after="0" w:line="291"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failure on the part of the Issuer duly to observe or perform any other of the covenants or agreements on the part of the Issuer in the Securities of such series or contained in this Indenture (other than a covenant or agreement included in this Indenture solely for the benefit of a series of Securities other than such series) for a period of 90 days after the date on which written notice specifying such failure, stating that such notice is a “</w:t>
      </w:r>
      <w:r>
        <w:rPr>
          <w:rFonts w:ascii="Arial" w:cs="Arial" w:eastAsia="Arial" w:hAnsi="Arial"/>
          <w:sz w:val="16"/>
          <w:szCs w:val="16"/>
          <w:u w:val="single" w:color="auto"/>
          <w:color w:val="auto"/>
        </w:rPr>
        <w:t>Notice of Default</w:t>
      </w:r>
      <w:r>
        <w:rPr>
          <w:rFonts w:ascii="Arial" w:cs="Arial" w:eastAsia="Arial" w:hAnsi="Arial"/>
          <w:sz w:val="16"/>
          <w:szCs w:val="16"/>
          <w:color w:val="auto"/>
        </w:rPr>
        <w:t>” hereunder and demanding that the Issuer remedy the same, shall have been given by overnight or personal delivery, or by facsimile if confirmed by mail, overnight, or personal delivery, to the Issuer by the Trustee, or to the Issuer and the Trustee by the holders of at least 25% in aggregate principal amount of the Outstanding Securities of the series to which such covenant or agreement relates; or</w:t>
      </w:r>
    </w:p>
    <w:p>
      <w:pPr>
        <w:spacing w:after="0" w:line="25" w:lineRule="exact"/>
        <w:rPr>
          <w:rFonts w:ascii="Arial" w:cs="Arial" w:eastAsia="Arial" w:hAnsi="Arial"/>
          <w:sz w:val="16"/>
          <w:szCs w:val="16"/>
          <w:color w:val="auto"/>
        </w:rPr>
      </w:pPr>
    </w:p>
    <w:p>
      <w:pPr>
        <w:jc w:val="both"/>
        <w:ind w:left="460" w:right="100" w:firstLine="443"/>
        <w:spacing w:after="0" w:line="256"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sequestrator (or similar official) of the Issuer for any substantial part of its or their property or ordering the winding up or liquidation of its or their affairs, and such decree or order shall remain unstayed and in effect for a period of 60 consecutive days; or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61" w:name="page62"/>
    <w:bookmarkEnd w:id="61"/>
    <w:p>
      <w:pPr>
        <w:ind w:left="460" w:firstLine="443"/>
        <w:spacing w:after="0" w:line="256"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Issuer shall commence a voluntary case under any applicable bankruptcy, insolvency or other similar law now or hereafter in effect, or consent to the entry of an order for relief in an involuntary case under any such law, or consent to the appointment or taking possession by a receiver, liquidator, assignee, custodian, trustee, sequestrator (or similar official) of the Issuer or for any substantial part of its or their property, or make any general assignment for the benefit of creditors; or</w:t>
      </w:r>
    </w:p>
    <w:p>
      <w:pPr>
        <w:spacing w:after="0" w:line="48"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Board Resolution under which such series of Securities is issued or in the form of Security for such series.</w:t>
      </w:r>
    </w:p>
    <w:p>
      <w:pPr>
        <w:spacing w:after="0" w:line="11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If an Event of Default described in clause (a), (b) or (c) occurs and is continuing, then, and in each and every such case, except for any series of Securities the principal of which shall have already become due and payable, either the Trustee or the Holders of not less than 25% in aggregate principal amount of the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Except as otherwise provided in the terms of any series of Senior Securities pursuant to Section 2.3, if an Event of Default described in clause (d) or</w:t>
      </w:r>
    </w:p>
    <w:p>
      <w:pPr>
        <w:spacing w:after="0" w:line="38" w:lineRule="exact"/>
        <w:rPr>
          <w:sz w:val="20"/>
          <w:szCs w:val="20"/>
          <w:color w:val="auto"/>
        </w:rPr>
      </w:pPr>
    </w:p>
    <w:p>
      <w:pPr>
        <w:ind w:right="60" w:firstLine="8"/>
        <w:spacing w:after="0" w:line="287"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above with respect to all series of the Senior Securities then Outstanding, occurs and is continuing, then, and in each and every such case, unless the Principal of all of the Senior Securities shall have already become due and payable, either the Trustee or the Holders of not less than 25% in aggregate principal amount of all of the Senior Securities then Outstanding hereunder (treated as one class) by notice in writing to the Issuer (and to the Trustee if given by Securityholders), may declare the entire principal (or, if the Senior Securities of any series are Original Issue Discount Securities, such portion of the principal amount as may be specified in the terms of such series) of all of the Senior Securities then Outstanding, and the interest accrued thereon, if any, to be due and payable immediately, and upon such declaration, the same shall become immediately due and payable. If an Event of Default described in clause (e) or (f) above occurs and is continuing, then the principal amount of all the Senior Securities then Outstanding, and the interest accrued thereon, if any, shall become and be immediately due and payable without any declaration or other act on the part of the Trustee or any Holder.</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Except as otherwise provided in the terms of any series of Subordinated Securities pursuant to Section 2.3, if an Event of Default described in clause</w:t>
      </w:r>
    </w:p>
    <w:p>
      <w:pPr>
        <w:spacing w:after="0" w:line="50" w:lineRule="exact"/>
        <w:rPr>
          <w:sz w:val="20"/>
          <w:szCs w:val="20"/>
          <w:color w:val="auto"/>
        </w:rPr>
      </w:pPr>
    </w:p>
    <w:p>
      <w:pPr>
        <w:ind w:right="60" w:firstLine="8"/>
        <w:spacing w:after="0" w:line="253"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 (g) above with respect to all series of Subordinated Securities then Outstanding, occurs and is continuing, then, and in each and every such case, unless the Principal of all of the Subordinated Securities shall have already become due and payable, either the Trustee or the Holders of not less than 25% in aggregate principal amount of all of the Subordinated Securities then Outstanding hereunder (treated as one class) by notice in writing to the Issuer (and to the Trustee if given by Securityholders), may declare the entire principal (or, if the Subordinated Securities of any series are Original Issue Discount Securities, such portion of the principal amount as may be specified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62" w:name="page63"/>
    <w:bookmarkEnd w:id="6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terms of such series) of all of the Subordinated Securities then Outstanding, and the interest accrued thereon, if any, to be due and payable immediately, and upon such declaration, the same shall become immediately due and payable. If an Event of Default described in clause (e) or (f) above occurs and is continuing, then the principal amount of all of the Subordinated Securities then Outstanding, and the interest accrued thereon, if any, shall become and be immediately due and payable without any declaration or other act on the part of the Trustee or any Holder.</w:t>
      </w:r>
    </w:p>
    <w:p>
      <w:pPr>
        <w:spacing w:after="0" w:line="9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If an Event of Default described in clause (d) or (g) occurs and is continuing, which Event of Default is with respect to less than all series of Senior Securities then Outstanding, then, and in each and every such case, except for any series of Senior Securities the principal of which shall have already become due and payable, either the Trustee or the Holders of not less than 25% in aggregate principal amount of the Senior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0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an Event of Default described in clause (d) or (g) occurs and is continuing, which Event of Default is with respect to less than all series of Subordinated Securities then Outstanding, then, and in each and every such case, except for any series of Subordinated Securities the principal of which shall have already become due and payable, either the Trustee or the Holders of not less than 25% in aggregate principal amount of the Subordinated Securities of each such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10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The foregoing provisions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w:t>
      </w:r>
    </w:p>
    <w:p>
      <w:pPr>
        <w:spacing w:after="0" w:line="130" w:lineRule="exact"/>
        <w:rPr>
          <w:sz w:val="20"/>
          <w:szCs w:val="20"/>
          <w:color w:val="auto"/>
        </w:rPr>
      </w:pPr>
    </w:p>
    <w:p>
      <w:pPr>
        <w:ind w:left="1200" w:hanging="297"/>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shall pay or shall deposit with the Trustee a sum sufficient to pay:</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matured installments of interest upon all the Securities of such series (or all the Securities, as the case may be);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63" w:name="page64"/>
    <w:bookmarkEnd w:id="63"/>
    <w:p>
      <w:pPr>
        <w:ind w:left="920" w:right="60" w:firstLine="421"/>
        <w:spacing w:after="0" w:line="268" w:lineRule="auto"/>
        <w:tabs>
          <w:tab w:leader="none" w:pos="1598"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principal of any and all Securities of such series (or of all the Securities, as the case may be) that shall have become due otherwise than by acceleration; and</w:t>
      </w:r>
    </w:p>
    <w:p>
      <w:pPr>
        <w:spacing w:after="0" w:line="37" w:lineRule="exact"/>
        <w:rPr>
          <w:rFonts w:ascii="Arial" w:cs="Arial" w:eastAsia="Arial" w:hAnsi="Arial"/>
          <w:sz w:val="18"/>
          <w:szCs w:val="18"/>
          <w:color w:val="auto"/>
        </w:rPr>
      </w:pPr>
    </w:p>
    <w:p>
      <w:pPr>
        <w:ind w:left="920" w:firstLine="421"/>
        <w:spacing w:after="0" w:line="256" w:lineRule="auto"/>
        <w:tabs>
          <w:tab w:leader="none" w:pos="16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w:t>
      </w:r>
    </w:p>
    <w:p>
      <w:pPr>
        <w:spacing w:after="0" w:line="48" w:lineRule="exact"/>
        <w:rPr>
          <w:rFonts w:ascii="Arial" w:cs="Arial" w:eastAsia="Arial" w:hAnsi="Arial"/>
          <w:sz w:val="18"/>
          <w:szCs w:val="18"/>
          <w:color w:val="auto"/>
        </w:rPr>
      </w:pPr>
    </w:p>
    <w:p>
      <w:pPr>
        <w:ind w:left="1640" w:hanging="299"/>
        <w:spacing w:after="0"/>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amounts payable to the Trustee pursuant to Section 6.6; and</w:t>
      </w:r>
    </w:p>
    <w:p>
      <w:pPr>
        <w:spacing w:after="0" w:line="158" w:lineRule="exact"/>
        <w:rPr>
          <w:sz w:val="20"/>
          <w:szCs w:val="20"/>
          <w:color w:val="auto"/>
        </w:rPr>
      </w:pPr>
    </w:p>
    <w:p>
      <w:pPr>
        <w:ind w:left="460" w:right="180" w:firstLine="443"/>
        <w:spacing w:after="0" w:line="268" w:lineRule="auto"/>
        <w:tabs>
          <w:tab w:leader="none" w:pos="11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Events of Default under the Indenture, other than the non-payment of the principal of Securities that shall have become due by acceleration, shall have been cured, waived or otherwise remedied as provided herein,</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then and in every such case the Holders of a majority in aggregate principal amount of all the Securities of such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99" w:lineRule="exact"/>
        <w:rPr>
          <w:sz w:val="20"/>
          <w:szCs w:val="20"/>
          <w:color w:val="auto"/>
        </w:rPr>
      </w:pPr>
    </w:p>
    <w:p>
      <w:pPr>
        <w:ind w:right="80" w:firstLine="913"/>
        <w:spacing w:after="0" w:line="318" w:lineRule="auto"/>
        <w:rPr>
          <w:sz w:val="20"/>
          <w:szCs w:val="20"/>
          <w:color w:val="auto"/>
        </w:rPr>
      </w:pPr>
      <w:r>
        <w:rPr>
          <w:rFonts w:ascii="Arial" w:cs="Arial" w:eastAsia="Arial" w:hAnsi="Arial"/>
          <w:sz w:val="15"/>
          <w:szCs w:val="15"/>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8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b w:val="1"/>
          <w:bCs w:val="1"/>
          <w:color w:val="auto"/>
        </w:rPr>
        <w:t xml:space="preserve">SECTION 5.2 - COLLECTION OF INDEBTEDNESS BY TRUSTEE; TRUSTEE MAY PROVE DEBT. </w:t>
      </w:r>
      <w:r>
        <w:rPr>
          <w:rFonts w:ascii="Arial" w:cs="Arial" w:eastAsia="Arial" w:hAnsi="Arial"/>
          <w:sz w:val="18"/>
          <w:szCs w:val="18"/>
          <w:color w:val="auto"/>
        </w:rPr>
        <w:t>The Issuer covenants that (a) in case</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and such Coupons, for principal and interest, as the case may be (with interest to the date of such payment upon the overdue principal and, to the extent that payment of such interest is enforceable under applicable law, on overdue installments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64" w:name="page65"/>
    <w:bookmarkEnd w:id="6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and such other amount due the Trustee under Section 6.6 in respect of Securities of such series.</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Securities of such series be overdue.</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the Securities and collect in the manner provided by law out of the property of the Issuer or other obligor upon the Securities, wherever situated, all the moneys adjudged or decreed to be payable.</w:t>
      </w:r>
    </w:p>
    <w:p>
      <w:pPr>
        <w:spacing w:after="0" w:line="129"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or to the creditors or property of the Issuer or such other obligor, the Trustee, irrespective of whether the principal of the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24" w:lineRule="exact"/>
        <w:rPr>
          <w:sz w:val="20"/>
          <w:szCs w:val="20"/>
          <w:color w:val="auto"/>
        </w:rPr>
      </w:pPr>
    </w:p>
    <w:p>
      <w:pPr>
        <w:ind w:left="460" w:right="40" w:firstLine="443"/>
        <w:spacing w:after="0" w:line="294" w:lineRule="auto"/>
        <w:tabs>
          <w:tab w:leader="none" w:pos="11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amounts payable to the Trustee under Section 6.6) and of the Securityholders allowed in any judicial proceedings relative to the Issuer or other obligor upon the Securities, or to the creditors or property of the Issuer or such other obligor;</w:t>
      </w:r>
    </w:p>
    <w:p>
      <w:pPr>
        <w:spacing w:after="0" w:line="2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receiver, assignee, trustee or a standby trustee in arrangement, reorganization, liquidation or other bankruptcy or insolvency proceedings, custodian or other person performing similar functions in respect of any such proceedings; and</w:t>
      </w:r>
    </w:p>
    <w:p>
      <w:pPr>
        <w:spacing w:after="0" w:line="45"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65" w:name="page66"/>
    <w:bookmarkEnd w:id="65"/>
    <w:p>
      <w:pPr>
        <w:ind w:left="460"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liquidator, custodian or other similar official performing similar functions in respect of any such proceedings is hereby authorized by each of the Securityholders to make payments to the Trustee, and, in the event that the Trustee shall consent to the making of payments directly to the Securityholders, to pay to the Trustee its costs and expenses of collection and all other amounts due to it pursuant to Section 6.6.</w:t>
      </w:r>
    </w:p>
    <w:p>
      <w:pPr>
        <w:spacing w:after="0" w:line="93"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in clause (b).</w:t>
      </w:r>
    </w:p>
    <w:p>
      <w:pPr>
        <w:spacing w:after="0" w:line="9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All rights of action and of asserting claims under this Indenture, or under any of the Securities of any series or Coupons appertaining to such Securities, may be enforced by the Trustee without the possession of any of the Securities of such series or Coupons appertaining to such Securities or the production thereof in any trial or other proceedings relative thereto, and any such action or proceedings instituted by the Trustee shall be brought in its own name as trustee of an express trust, and any recovery of judgment shall be awarded to the Trustee for ratable distribution to the Holders of the Securities or Coupons appertaining to such Securities in respect of which such action was taken, after payment of all sums due to the Trustee under Section 6.6 in respect of such Securities.</w:t>
      </w:r>
    </w:p>
    <w:p>
      <w:pPr>
        <w:spacing w:after="0" w:line="13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In any proceedings brought by the Trustee (and also any proceedings involving the interpretation of any provision of this Indenture to which the Trustee shall be a party) the Trustee shall be held to represent all the Holders of the Securities or Coupons appertaining to such Securities in respect to which such action was taken, and it shall not be necessary to make any Holders of such Securities or Coupons appertaining to such Securities parties to any such proceedings.</w:t>
      </w:r>
    </w:p>
    <w:p>
      <w:pPr>
        <w:spacing w:after="0" w:line="69"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b w:val="1"/>
          <w:bCs w:val="1"/>
          <w:color w:val="auto"/>
        </w:rPr>
        <w:t xml:space="preserve">SECTION 5.3—APPLICATION OF PROCEEDS. </w:t>
      </w:r>
      <w:r>
        <w:rPr>
          <w:rFonts w:ascii="Arial" w:cs="Arial" w:eastAsia="Arial" w:hAnsi="Arial"/>
          <w:sz w:val="18"/>
          <w:szCs w:val="18"/>
          <w:color w:val="auto"/>
        </w:rPr>
        <w:t>Any moneys collected by the Trustee pursuant to this Article in respect of any series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in the following order at the date or dates fixed by the Trustee and, in case of the distribution of such moneys on account of principal or interest, upon presentation of the several Securities and Coupons appertaining to such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50" w:lineRule="exact"/>
        <w:rPr>
          <w:sz w:val="20"/>
          <w:szCs w:val="20"/>
          <w:color w:val="auto"/>
        </w:rPr>
      </w:pPr>
    </w:p>
    <w:p>
      <w:pPr>
        <w:ind w:left="460" w:right="240" w:firstLine="438"/>
        <w:spacing w:after="0" w:line="325" w:lineRule="auto"/>
        <w:rPr>
          <w:sz w:val="20"/>
          <w:szCs w:val="20"/>
          <w:color w:val="auto"/>
        </w:rPr>
      </w:pPr>
      <w:r>
        <w:rPr>
          <w:rFonts w:ascii="Arial" w:cs="Arial" w:eastAsia="Arial" w:hAnsi="Arial"/>
          <w:sz w:val="16"/>
          <w:szCs w:val="16"/>
          <w:color w:val="auto"/>
        </w:rPr>
        <w:t>FIRST: To the payment of costs and expenses applicable to such series of Securities in respect of which monies have been collected, including all amounts due to the Trustee and each predecessor Trustee pursuant to Section 6.6 in respect to such series of Securities;</w:t>
      </w:r>
    </w:p>
    <w:p>
      <w:pPr>
        <w:spacing w:after="0" w:line="1"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SECOND: If the Securities of such series are Subordinated Securities, to the payment of amounts then due and unpaid to the holders of Senior Indebtedness with respect to such series, to the extent required pursuant to the Subordination Provisions established with respect to the Securities of such series pursuant to Section 2.3(9).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66" w:name="page67"/>
    <w:bookmarkEnd w:id="66"/>
    <w:p>
      <w:pPr>
        <w:ind w:left="460"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In case the principal of the Securities of such series in respect of which moneys have been collected shall not have become and be then due and payable, to the payment of interest on the Securities of such series in default in the order of the maturity of the installments on such interest, with interest (to the extent that such interest has been collected by the Trustee and is permitted by applicable law)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21"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color w:val="auto"/>
        </w:rPr>
        <w:t>FOURTH: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and is permitted by applicable law) upon the overdue installations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FIFTH: To the payment of the remainder, if any, to the Issuer or to such party as a court of competent jurisdiction shall direct.</w:t>
      </w:r>
    </w:p>
    <w:p>
      <w:pPr>
        <w:spacing w:after="0" w:line="15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SECTION 5.4 - SUITS FOR ENFORCEMENT. </w:t>
      </w:r>
      <w:r>
        <w:rPr>
          <w:rFonts w:ascii="Arial" w:cs="Arial" w:eastAsia="Arial" w:hAnsi="Arial"/>
          <w:sz w:val="18"/>
          <w:szCs w:val="18"/>
          <w:color w:val="auto"/>
        </w:rPr>
        <w:t>In case an Event of Default has occurred, has not been waived and is continuing, the Trustee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25"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b w:val="1"/>
          <w:bCs w:val="1"/>
          <w:color w:val="auto"/>
        </w:rPr>
        <w:t xml:space="preserve">SECTION 5.5 - RESTORATION OF RIGHTS ON ABANDONMENT OF PROCEEDINGS. </w:t>
      </w:r>
      <w:r>
        <w:rPr>
          <w:rFonts w:ascii="Arial" w:cs="Arial" w:eastAsia="Arial" w:hAnsi="Arial"/>
          <w:sz w:val="16"/>
          <w:szCs w:val="16"/>
          <w:color w:val="auto"/>
        </w:rPr>
        <w:t>In case the Trustee shall have proceeded to</w:t>
      </w:r>
      <w:r>
        <w:rPr>
          <w:rFonts w:ascii="Arial" w:cs="Arial" w:eastAsia="Arial" w:hAnsi="Arial"/>
          <w:sz w:val="16"/>
          <w:szCs w:val="16"/>
          <w:b w:val="1"/>
          <w:bCs w:val="1"/>
          <w:color w:val="auto"/>
        </w:rPr>
        <w:t xml:space="preserve"> </w:t>
      </w:r>
      <w:r>
        <w:rPr>
          <w:rFonts w:ascii="Arial" w:cs="Arial" w:eastAsia="Arial" w:hAnsi="Arial"/>
          <w:sz w:val="16"/>
          <w:szCs w:val="16"/>
          <w:color w:val="auto"/>
        </w:rPr>
        <w:t>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67" w:name="page68"/>
    <w:bookmarkEnd w:id="67"/>
    <w:p>
      <w:pPr>
        <w:ind w:right="40" w:firstLine="913"/>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5.6 - LIMITATIONS ON SUITS BY SECURITY HOLDERS. </w:t>
      </w:r>
      <w:r>
        <w:rPr>
          <w:rFonts w:ascii="Arial" w:cs="Arial" w:eastAsia="Arial" w:hAnsi="Arial"/>
          <w:sz w:val="16"/>
          <w:szCs w:val="16"/>
          <w:color w:val="auto"/>
        </w:rPr>
        <w:t>No Holder of any Security of any series or of any Coupon appertaining</w:t>
      </w:r>
      <w:r>
        <w:rPr>
          <w:rFonts w:ascii="Arial" w:cs="Arial" w:eastAsia="Arial" w:hAnsi="Arial"/>
          <w:sz w:val="16"/>
          <w:szCs w:val="16"/>
          <w:b w:val="1"/>
          <w:bCs w:val="1"/>
          <w:color w:val="auto"/>
        </w:rPr>
        <w:t xml:space="preserve"> </w:t>
      </w:r>
      <w:r>
        <w:rPr>
          <w:rFonts w:ascii="Arial" w:cs="Arial" w:eastAsia="Arial" w:hAnsi="Arial"/>
          <w:sz w:val="16"/>
          <w:szCs w:val="16"/>
          <w:color w:val="auto"/>
        </w:rPr>
        <w:t>thereto shall have any right by virtue or by availing of any provision of this Indenture to institute any action or proceeding at law or in equity or in bankruptcy or otherwise upon or under or with respect to this Indenture or such Security, or for the appointment of a trustee, receiver, liquidator, custodian or other similar official or for any other remedy hereunder or thereunder, unless (a) such Holder previously shall have given to a Responsible Officer of the Trustee written notice of an Event of Default with respect to Securities of such series and of the continuance thereof, as hereinbefore provided, (b) the Holders of not less than 25% in aggregate principal amount of the Securities of such affected series then Outstanding (treated as a single class) shall have made written request upon the Trustee to institute such action or proceedings in its own name as Trustee hereunder and shall have offered to the Trustee reasonable security or indemnity satisfactory to it against the costs, expenses and liabilities to be incurred therein or thereby, (c) the Trustee for 60 days after its receipt of such notice, request and offer of indemnity shall have failed to institute any such action or proceeding, and (d) no direction inconsistent with such written request shall have been given to the Trustee pursuant to Section 5.9; it being understood and intended, and being expressly covenanted by the taker and Holder of every Security or Coupon with every other taker and Holder and the Trustee, that no one or more Holders of Securities of any series or Coupons appertaining to such Securities shall have any right in any manner whatever by virtue or by availing of any provision of this Indenture or any Security to affect, disturb or prejudice the rights of any other such taker or Holder of Securities or Coupons appertaining to such Securities, or to obtain or seek to obtain priority over or preference to any other such taker or Holder or to enforce any right under this Indenture or any Security, except in the manner herein provided and for the equal, ratable and common benefit of all Holders of Securities of the applicable series and Coupons appertaining to such Securities. For the protection and enforcement of the provisions of this Section, each and every Securityholder and the Trustee shall be entitled to such relief as can be given either at law or in equity.</w:t>
      </w:r>
    </w:p>
    <w:p>
      <w:pPr>
        <w:spacing w:after="0" w:line="11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SECTION 5.7 - UNCONDITIONAL RIGHT OF SECURITYHOLDERS TO INSTITUTE CERTAIN SUITS. </w:t>
      </w:r>
      <w:r>
        <w:rPr>
          <w:rFonts w:ascii="Arial" w:cs="Arial" w:eastAsia="Arial" w:hAnsi="Arial"/>
          <w:sz w:val="18"/>
          <w:szCs w:val="18"/>
          <w:color w:val="auto"/>
        </w:rPr>
        <w:t>Notwithstanding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this Indenture and any provision of any Security, the right of any Holder of any Security or Coupon to receive payment of the principal of and interest on such Security or Coupon on or after the respective due dates expressed in such Security or Coupon or the applicable redemption dates provided for in such Security, or to institute suit for the enforcement of any such payment on or after such respective dates, shall not be impaired or affected without the consent of such Holder.</w:t>
      </w:r>
    </w:p>
    <w:p>
      <w:pPr>
        <w:spacing w:after="0" w:line="125"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 xml:space="preserve">SECTION 5.8 - POWERS AND REMEDIES CUMULATIVE; DELAY OR OMISSION NOT WAIVER OF DEFAULT. </w:t>
      </w:r>
      <w:r>
        <w:rPr>
          <w:rFonts w:ascii="Arial" w:cs="Arial" w:eastAsia="Arial" w:hAnsi="Arial"/>
          <w:sz w:val="16"/>
          <w:szCs w:val="16"/>
          <w:color w:val="auto"/>
        </w:rPr>
        <w:t>Except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68" w:name="page69"/>
    <w:bookmarkEnd w:id="68"/>
    <w:p>
      <w:pPr>
        <w:jc w:val="both"/>
        <w:ind w:right="20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delay or omission of the Trustee or of any Holder of Securities or Coupons to exercise any right or power accruing upon any Event of Default occurring and continuing as aforesaid shall impair any such right or power or shall be construed to be a waiver of any such Event of Default or an acquiescence therein. Every power and remedy given by this Indenture, any Security or law to the Trustee or to the Holders of Securities or Coupons may be exercised from time to time, and as often as shall be deemed expedient, by the Trustee or, subject to Section 5.6, by the Holders of Securities or Coupons.</w:t>
      </w:r>
    </w:p>
    <w:p>
      <w:pPr>
        <w:spacing w:after="0" w:line="9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SECTION 5.9 - CONTROL BY HOLDERS OF SECURITIES. </w:t>
      </w:r>
      <w:r>
        <w:rPr>
          <w:rFonts w:ascii="Arial" w:cs="Arial" w:eastAsia="Arial" w:hAnsi="Arial"/>
          <w:sz w:val="16"/>
          <w:szCs w:val="16"/>
          <w:color w:val="auto"/>
        </w:rPr>
        <w:t>The Holders of a majority in aggregate principal amount of the Securities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series affected (with each such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direction shall not be otherwise than in accordance with law and the provisions of this Indenture;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(subject to the provisions of Section 6.1) the Trustee shall have the right to decline to follow any such direction if (a) the Trustee, being advised by counsel, shall determine that the action or proceeding so directed may not lawfully be taken; (b) if the Trustee by its trust committee of directors or Responsible Officers of the Trustee shall determine in good faith that the action or proceedings so directed would involve the Trustee in personal liability; or (c) if the Trustee in good faith shall so determine that the actions or forbearances specified in or pursuant to such direction would be unduly prejudicial to the interests of Holders of the Securities of all affected series not joining in the giving of said direction, it being understood that (subject to Section 6.1) the Trustee shall have no duty to ascertain whether or not such actions or forbearances are unduly prejudicial to such Holders.</w:t>
      </w:r>
    </w:p>
    <w:p>
      <w:pPr>
        <w:spacing w:after="0" w:line="108"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12"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 xml:space="preserve">SECTION 5.10 - WAIVER OF PAST DEFAULTS. </w:t>
      </w:r>
      <w:r>
        <w:rPr>
          <w:rFonts w:ascii="Arial" w:cs="Arial" w:eastAsia="Arial" w:hAnsi="Arial"/>
          <w:sz w:val="16"/>
          <w:szCs w:val="16"/>
          <w:color w:val="auto"/>
        </w:rPr>
        <w:t>Prior to the declaration of acceleration of the maturity of the Securities of any series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5.1, the Holders of a majority in aggregate principal amount of the Securities of such series at the time Outstanding (voting as a single class) may on behalf of the Holders of all such Securities of such series waive any past default or Event of Default described in Section 5.1 and its consequences, except a default in respect of a covenant or provision hereof which cannot be modified or amended without the consent of the Holder of each Security affected. In the case of any such waiver, the Issuer, the Trustee and the Holders of all such Securities of such Series shall be restored to their former positions and rights hereunder, respectively, and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0" w:lineRule="exact"/>
        <w:rPr>
          <w:sz w:val="20"/>
          <w:szCs w:val="20"/>
          <w:color w:val="auto"/>
        </w:rPr>
      </w:pPr>
    </w:p>
    <w:p>
      <w:pPr>
        <w:jc w:val="both"/>
        <w:ind w:right="140" w:firstLine="913"/>
        <w:spacing w:after="0" w:line="262" w:lineRule="auto"/>
        <w:rPr>
          <w:sz w:val="20"/>
          <w:szCs w:val="20"/>
          <w:color w:val="auto"/>
        </w:rPr>
      </w:pPr>
      <w:r>
        <w:rPr>
          <w:rFonts w:ascii="Arial" w:cs="Arial" w:eastAsia="Arial" w:hAnsi="Arial"/>
          <w:sz w:val="18"/>
          <w:szCs w:val="18"/>
          <w:b w:val="1"/>
          <w:bCs w:val="1"/>
          <w:color w:val="auto"/>
        </w:rPr>
        <w:t xml:space="preserve">SECTION 5.11 - TRUSTEE TO GIVE NOTICE OF DEFAULT, BUT MAY WITHHOLD IN CERTAIN CIRCUMSTANCES. </w:t>
      </w:r>
      <w:r>
        <w:rPr>
          <w:rFonts w:ascii="Arial" w:cs="Arial" w:eastAsia="Arial" w:hAnsi="Arial"/>
          <w:sz w:val="18"/>
          <w:szCs w:val="18"/>
          <w:color w:val="auto"/>
        </w:rPr>
        <w:t>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within 90 days after the occurrence of a default with respect to the Securities of any series, give notice to the Securityholders of all defaults with respect to that series known to the Trustee in the manner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69" w:name="page70"/>
    <w:bookmarkEnd w:id="6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provided in Section 11.4, unless in each case such defaults shall have been cured before the mailing or publication of such notice (the term “</w:t>
      </w:r>
      <w:r>
        <w:rPr>
          <w:rFonts w:ascii="Arial" w:cs="Arial" w:eastAsia="Arial" w:hAnsi="Arial"/>
          <w:sz w:val="16"/>
          <w:szCs w:val="16"/>
          <w:u w:val="single" w:color="auto"/>
          <w:color w:val="auto"/>
        </w:rPr>
        <w:t>default</w:t>
      </w:r>
      <w:r>
        <w:rPr>
          <w:rFonts w:ascii="Arial" w:cs="Arial" w:eastAsia="Arial" w:hAnsi="Arial"/>
          <w:sz w:val="16"/>
          <w:szCs w:val="16"/>
          <w:color w:val="auto"/>
        </w:rPr>
        <w:t xml:space="preserve">” for the purpose of this Section being hereby defined to mean any event or condition which is, or with notice or lapse of time or both would become,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in the case of default in the payment of the principal of or interest on any of the Securities of such series, or default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0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5.12 - RIGHT OF COURT TO REQUIRE FILING OF UNDERTAKING TO PAY COSTS. </w:t>
      </w:r>
      <w:r>
        <w:rPr>
          <w:rFonts w:ascii="Arial" w:cs="Arial" w:eastAsia="Arial" w:hAnsi="Arial"/>
          <w:sz w:val="16"/>
          <w:szCs w:val="16"/>
          <w:color w:val="auto"/>
        </w:rPr>
        <w:t>All parties to this Indenture agree,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any Security or Coupon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5.12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(d) or (g) of Section 5.1 (if the suit relates to Securities of more than one but less than all series), 10% in aggregate principal amount of Securities then Outstanding and affected thereby, or in the case of any suit relating to or arising under clause (d) or (g) (if the suit under clause (d) or (g) relates to all the Securities then Outstanding), or (e) or (f) of Section 5.1,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158"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b w:val="1"/>
          <w:bCs w:val="1"/>
          <w:color w:val="auto"/>
        </w:rPr>
        <w:t xml:space="preserve">SECTION 6.1 - DUTIES AND RESPONSIBILITIES OF THE TRUSTEE; DURING DEFAULT; PRIOR TO DEFAULT. </w:t>
      </w:r>
      <w:r>
        <w:rPr>
          <w:rFonts w:ascii="Arial" w:cs="Arial" w:eastAsia="Arial" w:hAnsi="Arial"/>
          <w:sz w:val="16"/>
          <w:szCs w:val="16"/>
          <w:color w:val="auto"/>
        </w:rPr>
        <w:t>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an Event of Default with respect to the Securities of a particular series and after the curing or waiving of all Events of Default that may have occurred with respect to such series, the Trustee undertakes to perform such duties and only such duties as are specifically set forth in this Indenture with respect to such series of Securities. In case an Event of Default with respect to the Securities of a series has occurred and has not been cured or waived, the Trustee shall exercise with respect to such series of Securities such of the rights and powers vested in it by this Indenture with respect to such series of Securities, and use the same degree of care and skill in their exercise, as a prudent person would exercise or use under the circumstances in the conduct of his or her own affairs.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70" w:name="page71"/>
    <w:bookmarkEnd w:id="70"/>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37" w:lineRule="exact"/>
        <w:rPr>
          <w:sz w:val="20"/>
          <w:szCs w:val="20"/>
          <w:color w:val="auto"/>
        </w:rPr>
      </w:pPr>
    </w:p>
    <w:p>
      <w:pPr>
        <w:ind w:left="460" w:right="340" w:firstLine="443"/>
        <w:spacing w:after="0" w:line="268"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37" w:lineRule="exact"/>
        <w:rPr>
          <w:rFonts w:ascii="Arial" w:cs="Arial" w:eastAsia="Arial" w:hAnsi="Arial"/>
          <w:sz w:val="18"/>
          <w:szCs w:val="18"/>
          <w:color w:val="auto"/>
        </w:rPr>
      </w:pPr>
    </w:p>
    <w:p>
      <w:pPr>
        <w:ind w:left="920" w:right="140" w:firstLine="421"/>
        <w:spacing w:after="0" w:line="306" w:lineRule="auto"/>
        <w:tabs>
          <w:tab w:leader="none" w:pos="1549"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2" w:lineRule="exact"/>
        <w:rPr>
          <w:rFonts w:ascii="Arial" w:cs="Arial" w:eastAsia="Arial" w:hAnsi="Arial"/>
          <w:sz w:val="16"/>
          <w:szCs w:val="16"/>
          <w:color w:val="auto"/>
        </w:rPr>
      </w:pPr>
    </w:p>
    <w:p>
      <w:pPr>
        <w:ind w:left="920" w:right="20" w:firstLine="421"/>
        <w:spacing w:after="0" w:line="323" w:lineRule="auto"/>
        <w:tabs>
          <w:tab w:leader="none" w:pos="1598" w:val="left"/>
        </w:tabs>
        <w:numPr>
          <w:ilvl w:val="1"/>
          <w:numId w:val="56"/>
        </w:numPr>
        <w:rPr>
          <w:rFonts w:ascii="Arial" w:cs="Arial" w:eastAsia="Arial" w:hAnsi="Arial"/>
          <w:sz w:val="15"/>
          <w:szCs w:val="15"/>
          <w:color w:val="auto"/>
        </w:rPr>
      </w:pPr>
      <w:r>
        <w:rPr>
          <w:rFonts w:ascii="Arial" w:cs="Arial" w:eastAsia="Arial" w:hAnsi="Arial"/>
          <w:sz w:val="15"/>
          <w:szCs w:val="15"/>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3" w:lineRule="exact"/>
        <w:rPr>
          <w:rFonts w:ascii="Arial" w:cs="Arial" w:eastAsia="Arial" w:hAnsi="Arial"/>
          <w:sz w:val="15"/>
          <w:szCs w:val="15"/>
          <w:color w:val="auto"/>
        </w:rPr>
      </w:pPr>
    </w:p>
    <w:p>
      <w:pPr>
        <w:ind w:left="460" w:right="44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5.9 relating to the time, method and place of conducting any proceeding for any remedy available to the Trustee, or exercising any trust or power conferred upon the Trustee, under this Indenture.</w:t>
      </w:r>
    </w:p>
    <w:p>
      <w:pPr>
        <w:spacing w:after="0" w:line="12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6.1 are in furtherance of and subject to Section 315 of the Trust Indenture Act.</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6.2 - CERTAIN RIGHTS OF THE TRUSTEE. </w:t>
      </w:r>
      <w:r>
        <w:rPr>
          <w:rFonts w:ascii="Arial" w:cs="Arial" w:eastAsia="Arial" w:hAnsi="Arial"/>
          <w:sz w:val="16"/>
          <w:szCs w:val="16"/>
          <w:color w:val="auto"/>
        </w:rPr>
        <w:t>In furtherance of and subject to the Trust Indenture Act, and subject to Section 6.1:</w:t>
      </w:r>
    </w:p>
    <w:p>
      <w:pPr>
        <w:spacing w:after="0" w:line="106" w:lineRule="exact"/>
        <w:rPr>
          <w:sz w:val="20"/>
          <w:szCs w:val="20"/>
          <w:color w:val="auto"/>
        </w:rPr>
      </w:pPr>
    </w:p>
    <w:p>
      <w:pPr>
        <w:ind w:left="460" w:right="4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Officer’s Certificate or any other certificate,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71" w:name="page72"/>
    <w:bookmarkEnd w:id="7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instrument, opinion, report, notice, request, consent, order, bond, debenture, note, coupon, security or other paper or document believed by it to be genuine and to have been signed or presented by the proper party or parties;</w:t>
      </w:r>
    </w:p>
    <w:p>
      <w:pPr>
        <w:spacing w:after="0" w:line="37" w:lineRule="exact"/>
        <w:rPr>
          <w:sz w:val="20"/>
          <w:szCs w:val="20"/>
          <w:color w:val="auto"/>
        </w:rPr>
      </w:pPr>
    </w:p>
    <w:p>
      <w:pPr>
        <w:ind w:firstLine="443"/>
        <w:spacing w:after="0" w:line="306" w:lineRule="auto"/>
        <w:tabs>
          <w:tab w:leader="none" w:pos="687"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request, direction, order or demand of the Issuer mentioned herein shall be sufficiently evidenced by an Officer’s Certificate (unless other evidence in respect thereof is specifically prescribed herein or in the terms established in respect of any series); and any resolution of the Board of Directors may be evidenced to the Trustee by a copy thereof certified by the secretary or an assistant secretary of the Issuer;</w:t>
      </w:r>
    </w:p>
    <w:p>
      <w:pPr>
        <w:spacing w:after="0" w:line="12" w:lineRule="exact"/>
        <w:rPr>
          <w:rFonts w:ascii="Arial" w:cs="Arial" w:eastAsia="Arial" w:hAnsi="Arial"/>
          <w:sz w:val="16"/>
          <w:szCs w:val="16"/>
          <w:color w:val="auto"/>
        </w:rPr>
      </w:pPr>
    </w:p>
    <w:p>
      <w:pPr>
        <w:jc w:val="both"/>
        <w:ind w:right="160" w:firstLine="443"/>
        <w:spacing w:after="0" w:line="259" w:lineRule="auto"/>
        <w:tabs>
          <w:tab w:leader="none" w:pos="6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any written advice or any Opinion of Counsel shall be full and complete authorization and protection in respect of any action taken, suffered or omitted to be taken by it hereunder in good faith and in reliance thereon in accordance with such advice or Opinion of Counsel;</w:t>
      </w:r>
    </w:p>
    <w:p>
      <w:pPr>
        <w:spacing w:after="0" w:line="45" w:lineRule="exact"/>
        <w:rPr>
          <w:rFonts w:ascii="Arial" w:cs="Arial" w:eastAsia="Arial" w:hAnsi="Arial"/>
          <w:sz w:val="18"/>
          <w:szCs w:val="18"/>
          <w:color w:val="auto"/>
        </w:rPr>
      </w:pPr>
    </w:p>
    <w:p>
      <w:pPr>
        <w:ind w:right="120" w:firstLine="443"/>
        <w:spacing w:after="0" w:line="306" w:lineRule="auto"/>
        <w:tabs>
          <w:tab w:leader="none" w:pos="68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satisfactory to it against the costs, expenses and liabilities which might be incurred therein or thereby;</w:t>
      </w:r>
    </w:p>
    <w:p>
      <w:pPr>
        <w:spacing w:after="0" w:line="12" w:lineRule="exact"/>
        <w:rPr>
          <w:rFonts w:ascii="Arial" w:cs="Arial" w:eastAsia="Arial" w:hAnsi="Arial"/>
          <w:sz w:val="16"/>
          <w:szCs w:val="16"/>
          <w:color w:val="auto"/>
        </w:rPr>
      </w:pPr>
    </w:p>
    <w:p>
      <w:pPr>
        <w:ind w:right="60" w:firstLine="443"/>
        <w:spacing w:after="0" w:line="268" w:lineRule="auto"/>
        <w:tabs>
          <w:tab w:leader="none" w:pos="6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37" w:lineRule="exact"/>
        <w:rPr>
          <w:rFonts w:ascii="Arial" w:cs="Arial" w:eastAsia="Arial" w:hAnsi="Arial"/>
          <w:sz w:val="18"/>
          <w:szCs w:val="18"/>
          <w:color w:val="auto"/>
        </w:rPr>
      </w:pPr>
    </w:p>
    <w:p>
      <w:pPr>
        <w:ind w:right="60" w:firstLine="443"/>
        <w:spacing w:after="0" w:line="288" w:lineRule="auto"/>
        <w:tabs>
          <w:tab w:leader="none" w:pos="657"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(i) requested in writing so to do by the Holders of not less than a majority in aggregate principal amount of the Securities of all series affected then Outstanding (treated as one class) or (ii) otherwise provided in the terms of any series of Securities pursuant to Section 2.3;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security or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25"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and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80" w:right="239" w:bottom="1440" w:gutter="0" w:footer="0" w:header="0"/>
        </w:sectPr>
      </w:pPr>
    </w:p>
    <w:bookmarkStart w:id="72" w:name="page73"/>
    <w:bookmarkEnd w:id="72"/>
    <w:p>
      <w:pPr>
        <w:jc w:val="both"/>
        <w:ind w:left="460" w:right="460" w:firstLine="443"/>
        <w:spacing w:after="0" w:line="259"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 be deemed to have notice of any Event of Default unless a Responsible Officer has actual knowledge thereof or unless written notice of any event which is in fact an Event of Default is received by the Trustee at the Corporate Trust Office and such notice references the Securities, the Issuer or this Indenture.</w:t>
      </w:r>
    </w:p>
    <w:p>
      <w:pPr>
        <w:spacing w:after="0" w:line="12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b w:val="1"/>
          <w:bCs w:val="1"/>
          <w:color w:val="auto"/>
        </w:rPr>
        <w:t xml:space="preserve">SECTION 6.3 - TRUSTEE NOT RESPONSIBLE FOR RECITALS, DISPOSITION OF SECURITIES OR APPLICATION OF PROCEEDS THEREOF. </w:t>
      </w:r>
      <w:r>
        <w:rPr>
          <w:rFonts w:ascii="Arial" w:cs="Arial" w:eastAsia="Arial" w:hAnsi="Arial"/>
          <w:sz w:val="18"/>
          <w:szCs w:val="18"/>
          <w:color w:val="auto"/>
        </w:rPr>
        <w:t>The recitals contained herein and in the Securities, except the Trustee’s certificates of authentication, shall be taken as the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Issuer, and the Trustee assumes no responsibility for the correctness of the same. The Trustee makes no representation as to the validity or sufficiency of this Indenture or of the Securities or Coupons. The Trustee shall not be accountable for the use or application by the Issuer of any of the Securities or of the proceeds thereof.</w:t>
      </w:r>
    </w:p>
    <w:p>
      <w:pPr>
        <w:spacing w:after="0" w:line="131"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87"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8"/>
          <w:szCs w:val="18"/>
          <w:b w:val="1"/>
          <w:bCs w:val="1"/>
          <w:color w:val="auto"/>
        </w:rPr>
        <w:t xml:space="preserve">SECTION 6.4 - TRUSTEE AND AGENTS MAY HOLD SECURITIES OR COUPONS; COLLECTIONS, ETC. </w:t>
      </w:r>
      <w:r>
        <w:rPr>
          <w:rFonts w:ascii="Arial" w:cs="Arial" w:eastAsia="Arial" w:hAnsi="Arial"/>
          <w:sz w:val="18"/>
          <w:szCs w:val="18"/>
          <w:color w:val="auto"/>
        </w:rPr>
        <w:t>The Trustee or any agent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 or of the Trustee, in its individual or any other capacity, may become the owner or pledgee of Securities or Coupons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23"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SECTION 6.5 - MONEYS HELD BY TRUSTEE. </w:t>
      </w:r>
      <w:r>
        <w:rPr>
          <w:rFonts w:ascii="Arial" w:cs="Arial" w:eastAsia="Arial" w:hAnsi="Arial"/>
          <w:sz w:val="18"/>
          <w:szCs w:val="18"/>
          <w:color w:val="auto"/>
        </w:rPr>
        <w:t>Subject to the provisions of Section 10.4 hereof, all moneys received by the Trustee shall, until</w:t>
      </w:r>
      <w:r>
        <w:rPr>
          <w:rFonts w:ascii="Arial" w:cs="Arial" w:eastAsia="Arial" w:hAnsi="Arial"/>
          <w:sz w:val="18"/>
          <w:szCs w:val="18"/>
          <w:b w:val="1"/>
          <w:bCs w:val="1"/>
          <w:color w:val="auto"/>
        </w:rPr>
        <w:t xml:space="preserve"> </w:t>
      </w:r>
      <w:r>
        <w:rPr>
          <w:rFonts w:ascii="Arial" w:cs="Arial" w:eastAsia="Arial" w:hAnsi="Arial"/>
          <w:sz w:val="18"/>
          <w:szCs w:val="18"/>
          <w:color w:val="auto"/>
        </w:rPr>
        <w:t>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SECTION 6.6 - COMPENSATION AND INDEMNIFICATION OF TRUSTEE AND ITS PRIOR CLAIM. </w:t>
      </w:r>
      <w:r>
        <w:rPr>
          <w:rFonts w:ascii="Arial" w:cs="Arial" w:eastAsia="Arial" w:hAnsi="Arial"/>
          <w:sz w:val="16"/>
          <w:szCs w:val="16"/>
          <w:color w:val="auto"/>
        </w:rPr>
        <w:t>The Issuer covenants and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defend and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73" w:name="page74"/>
    <w:bookmarkEnd w:id="73"/>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and the resignation or removal of the Trustee. Such additional indebtedness shall be a senior claim to that of the Securities upon all property and funds held or collected by the Trustee as such, except funds held in trust for the benefit of the Holders of particular Securities or Coupons, and the Securities are hereby subordinated to such senior claim.</w:t>
      </w:r>
    </w:p>
    <w:p>
      <w:pPr>
        <w:spacing w:after="0" w:line="96"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b w:val="1"/>
          <w:bCs w:val="1"/>
          <w:color w:val="auto"/>
        </w:rPr>
        <w:t xml:space="preserve">SECTION 6.7 - RIGHT OF TRUSTEE TO RELY ON OFFICER’S CERTIFICATE, ETC. </w:t>
      </w:r>
      <w:r>
        <w:rPr>
          <w:rFonts w:ascii="Arial" w:cs="Arial" w:eastAsia="Arial" w:hAnsi="Arial"/>
          <w:sz w:val="16"/>
          <w:szCs w:val="16"/>
          <w:color w:val="auto"/>
        </w:rPr>
        <w:t>Subject to Sections 6.1 and 6.2, whenever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9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SECTION 6.8 - ELIGIBILITY; DISQUALIFICATION. </w:t>
      </w:r>
      <w:r>
        <w:rPr>
          <w:rFonts w:ascii="Arial" w:cs="Arial" w:eastAsia="Arial" w:hAnsi="Arial"/>
          <w:sz w:val="18"/>
          <w:szCs w:val="18"/>
          <w:color w:val="auto"/>
        </w:rPr>
        <w:t>The Trustee shall always satisfy the requirements of paragraphs (1), (2) and (5)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310(a) of the Trust Indenture Act. The Trustee (or its parent holding company) shall have a combined capital and surplus of at least $50,000,000. If at any time the Trustee shall cease to satisfy any such requirements, it shall resign immediately in the manner and with the effect specified in this Article VI. The Trustee shall be subject to the provisions of TIA Section 310(b). Nothing herein shall prevent the Trustee from filing with the SEC the application referred to in the penultimate paragraph of Section 310(b) of the Trust Indenture Act.</w:t>
      </w:r>
    </w:p>
    <w:p>
      <w:pPr>
        <w:spacing w:after="0" w:line="1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b w:val="1"/>
          <w:bCs w:val="1"/>
          <w:color w:val="auto"/>
        </w:rPr>
        <w:t xml:space="preserve">SECTION 6.9 - RESIGNATION AND REMOVAL; APPOINTMENT OF SUCCESSOR TRUSTEE. </w:t>
      </w:r>
      <w:r>
        <w:rPr>
          <w:rFonts w:ascii="Arial" w:cs="Arial" w:eastAsia="Arial" w:hAnsi="Arial"/>
          <w:sz w:val="16"/>
          <w:szCs w:val="16"/>
          <w:color w:val="auto"/>
        </w:rPr>
        <w:t>(a) The Trustee, or any trustee or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appointed, may at any time resign with respect to one or more or all series of Securities by giving written notice of resignation to the Issuer and to the Securityholders in the manner and to the extent provided in Section 11.4.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and all others similarly situated, petition any such court for the appointment of a successor trustee. Such court may thereupon, after such notice, if any, as it may deem proper and prescribe, appoint a successor trustee.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74" w:name="page75"/>
    <w:bookmarkEnd w:id="74"/>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at any time any of the following shall occur:</w:t>
      </w:r>
    </w:p>
    <w:p>
      <w:pPr>
        <w:spacing w:after="0" w:line="76" w:lineRule="exact"/>
        <w:rPr>
          <w:rFonts w:ascii="Arial" w:cs="Arial" w:eastAsia="Arial" w:hAnsi="Arial"/>
          <w:sz w:val="18"/>
          <w:szCs w:val="18"/>
          <w:color w:val="auto"/>
        </w:rPr>
      </w:pPr>
    </w:p>
    <w:p>
      <w:pPr>
        <w:ind w:left="920" w:firstLine="421"/>
        <w:spacing w:after="0" w:line="259" w:lineRule="auto"/>
        <w:tabs>
          <w:tab w:leader="none" w:pos="1549"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with respect to any series of Securities after written request therefor by the Issuer or by any Securityholder who has been a bona fide Holder of a Security or Securities of such series for at least six months; or</w:t>
      </w:r>
    </w:p>
    <w:p>
      <w:pPr>
        <w:spacing w:after="0" w:line="45"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6.8 and Section 310(a) of the Trust Indenture Act and shall fail to resign after written request therefor by the Issuer or by any Securityholder who has been a bona fide Holder of a Security or Securities of such series for at least six months; or</w:t>
      </w:r>
    </w:p>
    <w:p>
      <w:pPr>
        <w:spacing w:after="0" w:line="45" w:lineRule="exact"/>
        <w:rPr>
          <w:rFonts w:ascii="Arial" w:cs="Arial" w:eastAsia="Arial" w:hAnsi="Arial"/>
          <w:sz w:val="18"/>
          <w:szCs w:val="18"/>
          <w:color w:val="auto"/>
        </w:rPr>
      </w:pPr>
    </w:p>
    <w:p>
      <w:pPr>
        <w:ind w:left="920" w:right="340" w:firstLine="421"/>
        <w:spacing w:after="0" w:line="259" w:lineRule="auto"/>
        <w:tabs>
          <w:tab w:leader="none" w:pos="16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the provisions of Section 315(e) of the Trust Indenture Act,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so prescribe, remove the Trustee and appoint a successor trustee.</w:t>
      </w:r>
    </w:p>
    <w:p>
      <w:pPr>
        <w:spacing w:after="0" w:line="26" w:lineRule="exact"/>
        <w:rPr>
          <w:sz w:val="20"/>
          <w:szCs w:val="20"/>
          <w:color w:val="auto"/>
        </w:rPr>
      </w:pPr>
    </w:p>
    <w:p>
      <w:pPr>
        <w:ind w:left="460" w:right="120" w:firstLine="443"/>
        <w:spacing w:after="0" w:line="256"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7.1 of the action in that regard taken by the Securityholders.</w:t>
      </w:r>
    </w:p>
    <w:p>
      <w:pPr>
        <w:spacing w:after="0" w:line="48"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6.9 shall become effective upon acceptance of appointment by the successor trustee as provided in Section 6.10.</w:t>
      </w:r>
    </w:p>
    <w:p>
      <w:pPr>
        <w:spacing w:after="0" w:line="121"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SECTION 6.10 - ACCEPTANCE OF APPOINTMENT BY SUCCESSOR TRUSTEE. </w:t>
      </w:r>
      <w:r>
        <w:rPr>
          <w:rFonts w:ascii="Arial" w:cs="Arial" w:eastAsia="Arial" w:hAnsi="Arial"/>
          <w:sz w:val="18"/>
          <w:szCs w:val="18"/>
          <w:color w:val="auto"/>
        </w:rPr>
        <w:t>Any successor trustee appointed as provided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6.9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75" w:name="page76"/>
    <w:bookmarkEnd w:id="7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6.6.</w:t>
      </w:r>
    </w:p>
    <w:p>
      <w:pPr>
        <w:spacing w:after="0" w:line="107"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05"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No successor trustee with respect to any series of Securities shall accept appointment as provided in this Section 6.10 unless at the time of such acceptance such successor trustee shall be qualified under Section 310(b) of the Trust Indenture Act and eligible under the provisions of Section 6.8.</w:t>
      </w:r>
    </w:p>
    <w:p>
      <w:pPr>
        <w:spacing w:after="0" w:line="72" w:lineRule="exact"/>
        <w:rPr>
          <w:sz w:val="20"/>
          <w:szCs w:val="20"/>
          <w:color w:val="auto"/>
        </w:rPr>
      </w:pPr>
    </w:p>
    <w:p>
      <w:pPr>
        <w:ind w:right="80" w:firstLine="913"/>
        <w:spacing w:after="0" w:line="323" w:lineRule="auto"/>
        <w:rPr>
          <w:sz w:val="20"/>
          <w:szCs w:val="20"/>
          <w:color w:val="auto"/>
        </w:rPr>
      </w:pPr>
      <w:r>
        <w:rPr>
          <w:rFonts w:ascii="Arial" w:cs="Arial" w:eastAsia="Arial" w:hAnsi="Arial"/>
          <w:sz w:val="15"/>
          <w:szCs w:val="15"/>
          <w:color w:val="auto"/>
        </w:rPr>
        <w:t>Upon acceptance of appointment by any successor trustee as provided in this Section 6.10, the Issuer shall give notice thereof to the Securityholders in the manner and to the extent provided in Section 11.4. If the acceptance of appointment is substantially contemporaneous with the resignation, then the notice called for by the preceding sentence may be combined with the notice called for by Section 6.9. If the Issuer fails to give such notice within 10 days after acceptance of appointment by the successor trustee, the successor trustee shall cause such notice to be given at the expense of the Issuer.</w:t>
      </w:r>
    </w:p>
    <w:p>
      <w:pPr>
        <w:spacing w:after="0" w:line="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 xml:space="preserve">SECTION 6.11 - MERGER, CONVERSION, CONSOLIDATION OR SUCCESSION TO BUSINESS OF TRUSTEE. </w:t>
      </w:r>
      <w:r>
        <w:rPr>
          <w:rFonts w:ascii="Arial" w:cs="Arial" w:eastAsia="Arial" w:hAnsi="Arial"/>
          <w:sz w:val="16"/>
          <w:szCs w:val="16"/>
          <w:color w:val="auto"/>
        </w:rPr>
        <w:t>Any corporation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banking association into which the Trustee may be merged or converted or with which it may be consolidated, or any corporation or banking association resulting from any merger, conversion or consolidation to which the Trustee shall be a party, or any corporation or banking association succeeding to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corporation or banking association shall be qualified under Section 310(b) of the Trust Indenture Act and eligible under the provisions of Section 6.8, without the execution or filing of any paper or any further act on the part of any of the parties hereto, anything herein to the contrary notwithstanding.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6" w:name="page77"/>
    <w:bookmarkEnd w:id="76"/>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such successor to the Trustee may authenticate such Securities either in the name of any predecessor hereunder or in the name of the successor Trustee; and in all such cases such certificate of authentication shall have the full force which under this Indenture or the Securities of such series it is provided that the certificate of authentication of the Trustee shall have;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99"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SECTION 6.12 - PREFERENTIAL COLLECTION OF CLAIMS AGAINST THE ISSUER. </w:t>
      </w:r>
      <w:r>
        <w:rPr>
          <w:rFonts w:ascii="Arial" w:cs="Arial" w:eastAsia="Arial" w:hAnsi="Arial"/>
          <w:sz w:val="18"/>
          <w:szCs w:val="18"/>
          <w:color w:val="auto"/>
        </w:rPr>
        <w:t>The Trustee shall comply with Section 311(a)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 Indenture Act, excluding any creditor relationship listed in Section 311(b) of the Trust Indenture Act. A Trustee who has resigned or been removed shall be subject to Section 311(a) of the Trust Indenture Act to the extent indicated.</w:t>
      </w:r>
    </w:p>
    <w:p>
      <w:pPr>
        <w:spacing w:after="0" w:line="119"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b w:val="1"/>
          <w:bCs w:val="1"/>
          <w:color w:val="auto"/>
        </w:rPr>
        <w:t xml:space="preserve">SECTION 6.13 - APPOINTMENT OF AUTHENTICATING AGENT. </w:t>
      </w:r>
      <w:r>
        <w:rPr>
          <w:rFonts w:ascii="Arial" w:cs="Arial" w:eastAsia="Arial" w:hAnsi="Arial"/>
          <w:sz w:val="15"/>
          <w:szCs w:val="15"/>
          <w:color w:val="auto"/>
        </w:rPr>
        <w:t>As long as any Securities of a series remain Outstanding, the Trustee</w:t>
      </w:r>
      <w:r>
        <w:rPr>
          <w:rFonts w:ascii="Arial" w:cs="Arial" w:eastAsia="Arial" w:hAnsi="Arial"/>
          <w:sz w:val="15"/>
          <w:szCs w:val="15"/>
          <w:b w:val="1"/>
          <w:bCs w:val="1"/>
          <w:color w:val="auto"/>
        </w:rPr>
        <w:t xml:space="preserve"> </w:t>
      </w:r>
      <w:r>
        <w:rPr>
          <w:rFonts w:ascii="Arial" w:cs="Arial" w:eastAsia="Arial" w:hAnsi="Arial"/>
          <w:sz w:val="15"/>
          <w:szCs w:val="15"/>
          <w:color w:val="auto"/>
        </w:rPr>
        <w:t>may, by an instrument in writing, appoint with the approval of the Issuer an authenticating agent (the “</w:t>
      </w:r>
      <w:r>
        <w:rPr>
          <w:rFonts w:ascii="Arial" w:cs="Arial" w:eastAsia="Arial" w:hAnsi="Arial"/>
          <w:sz w:val="15"/>
          <w:szCs w:val="15"/>
          <w:u w:val="single" w:color="auto"/>
          <w:color w:val="auto"/>
        </w:rPr>
        <w:t>Authenticating Agent</w:t>
      </w:r>
      <w:r>
        <w:rPr>
          <w:rFonts w:ascii="Arial" w:cs="Arial" w:eastAsia="Arial" w:hAnsi="Arial"/>
          <w:sz w:val="15"/>
          <w:szCs w:val="15"/>
          <w:color w:val="auto"/>
        </w:rPr>
        <w:t>”), which Authenticating Agent shall be authorized to act on behalf of the Trustee to authenticate Securities, including Securities issued upon exchange, registration of transfer, partial redemption or in replacement of mutilated, defaced, destroyed, lost or stolen securities pursuant to Section 2.9. Securities of each such series authenticated by such Authenticating Agent shall be entitled to the benefits of this Indenture and shall be valid and obligatory for all purposes as if authenticated by the Trustee. Whenever reference is made in this Indenture to the authentication and delivery of Securities of any series by the Trustee or to the Trustee’s Certificate of Authentication, such reference shall be deemed to include authentication and delivery on behalf of the Trustee by an Authenticating Agent for such series and a Certificate of Authentication executed on behalf of the Trustee by such Authenticating Agent. Such Authenticating Agent shall at all times be a corporation organized and doing business under the laws of the United States of America or of any State, authorized under such laws to exercise corporate trust powers, having (or its parent holding company shall have) a combined capital and surplus of at least $45,000,000 and subject to supervision or examination by Federal or state authority.</w:t>
      </w:r>
    </w:p>
    <w:p>
      <w:pPr>
        <w:spacing w:after="0" w:line="95"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Securities for which it served as Authenticating Agent without the execution or filing of any paper or any further act on the part of the Trustee or such Authenticating Agent. Any Authenticating Agent may at any time, and if it shall cease to be eligible shall, resign by giving written notice of resignation to the Trustee and to the Issuer.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77" w:name="page78"/>
    <w:bookmarkEnd w:id="77"/>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receiving such a notice of resignation or upon such a termination, or in case at any time any Authenticating Agent shall cease to be eligible in accordance with the provisions of this Section 6.13 with respect to one or more series of Securities, the Trustee shall upon receipt of an Issuer Order appoint a successor Authenticating Agent, and the Issuer shall provide notice of such appointment to all Holders of Securities of such series in the manner and to the extent provided in Section 11.4. Any successor Authenticating Agent upon acceptance of its appointment hereunder shall become vested with all rights, powers, duties and responsibilities of its predecessor hereunder, with like effect as if originally named as Authenticating Agent. The Issuer agrees to pay to the Authenticating Agent for such series from time to time reasonable compensation. The Authenticating Agent for the Securities of any series shall have no responsibility or liability for any action taken by it as such at the direction of the Trustee.</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Sections 6.3, 6.4 and 7.3 shall be applicable to any Authenticating Agent.</w:t>
      </w:r>
    </w:p>
    <w:p>
      <w:pPr>
        <w:spacing w:after="0" w:line="15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15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CONCERNING THE SECURITYHOLDERS</w:t>
      </w:r>
    </w:p>
    <w:p>
      <w:pPr>
        <w:spacing w:after="0" w:line="15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 xml:space="preserve">SECTION 7.1 - EVIDENCE OF ACTION TAKEN BY SECURITYHOLDERS. </w:t>
      </w:r>
      <w:r>
        <w:rPr>
          <w:rFonts w:ascii="Arial" w:cs="Arial" w:eastAsia="Arial" w:hAnsi="Arial"/>
          <w:sz w:val="16"/>
          <w:szCs w:val="16"/>
          <w:color w:val="auto"/>
        </w:rPr>
        <w:t>Any request, demand, authorization, direction, notice,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6.1 and 6.2) conclusive in favor of the Trustee and the Issuer, if made in the manner provided in this Article VII.</w:t>
      </w:r>
    </w:p>
    <w:p>
      <w:pPr>
        <w:spacing w:after="0" w:line="97"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SECTION 7.2 - PROOF OF EXECUTION OF INSTRUMENTS AND OF HOLDING OF SECURITIES. </w:t>
      </w:r>
      <w:r>
        <w:rPr>
          <w:rFonts w:ascii="Arial" w:cs="Arial" w:eastAsia="Arial" w:hAnsi="Arial"/>
          <w:sz w:val="18"/>
          <w:szCs w:val="18"/>
          <w:color w:val="auto"/>
        </w:rPr>
        <w:t>Subject to Sections 6.1 and 6.2,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any instrument by a Securityholder or his agent or proxy may be proved in accordance with such reasonable rules and regulations as may be prescribed by the Trustee or in such manner as shall be satisfactory to the Trustee. The holding of Registered Securities shall be proved by the Security register or by a certificate of the registrar thereof.</w:t>
      </w:r>
    </w:p>
    <w:p>
      <w:pPr>
        <w:spacing w:after="0" w:line="123" w:lineRule="exact"/>
        <w:rPr>
          <w:sz w:val="20"/>
          <w:szCs w:val="20"/>
          <w:color w:val="auto"/>
        </w:rPr>
      </w:pPr>
    </w:p>
    <w:p>
      <w:pPr>
        <w:ind w:right="100" w:firstLine="913"/>
        <w:spacing w:after="0" w:line="316" w:lineRule="auto"/>
        <w:rPr>
          <w:sz w:val="20"/>
          <w:szCs w:val="20"/>
          <w:color w:val="auto"/>
        </w:rPr>
      </w:pPr>
      <w:r>
        <w:rPr>
          <w:rFonts w:ascii="Arial" w:cs="Arial" w:eastAsia="Arial" w:hAnsi="Arial"/>
          <w:sz w:val="15"/>
          <w:szCs w:val="15"/>
          <w:b w:val="1"/>
          <w:bCs w:val="1"/>
          <w:color w:val="auto"/>
        </w:rPr>
        <w:t xml:space="preserve">SECTION 7.3 - HOLDERS TO BE TREATED AS OWNERS. </w:t>
      </w:r>
      <w:r>
        <w:rPr>
          <w:rFonts w:ascii="Arial" w:cs="Arial" w:eastAsia="Arial" w:hAnsi="Arial"/>
          <w:sz w:val="15"/>
          <w:szCs w:val="15"/>
          <w:color w:val="auto"/>
        </w:rPr>
        <w:t>The Issuer, the Trustee and any agent of the Issuer or the Trustee may deem and</w:t>
      </w:r>
      <w:r>
        <w:rPr>
          <w:rFonts w:ascii="Arial" w:cs="Arial" w:eastAsia="Arial" w:hAnsi="Arial"/>
          <w:sz w:val="15"/>
          <w:szCs w:val="15"/>
          <w:b w:val="1"/>
          <w:bCs w:val="1"/>
          <w:color w:val="auto"/>
        </w:rPr>
        <w:t xml:space="preserve"> </w:t>
      </w:r>
      <w:r>
        <w:rPr>
          <w:rFonts w:ascii="Arial" w:cs="Arial" w:eastAsia="Arial" w:hAnsi="Arial"/>
          <w:sz w:val="15"/>
          <w:szCs w:val="15"/>
          <w:color w:val="auto"/>
        </w:rPr>
        <w:t>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The Issuer, the Trustee and any agent of the Issuer or the Trustee may treat the Holder of any Unregistered Security and the Holder of any Coupon as the absolute owner of such Unregistered Security or Coupon (whether or not such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78" w:name="page79"/>
    <w:bookmarkEnd w:id="78"/>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Unregistered Security or Coupon shall be overdue) for the purpose of receiving payment thereof or on account thereof and for all other purposes, and neither the Issuer,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Unregistered Security or Coupon.</w:t>
      </w:r>
    </w:p>
    <w:p>
      <w:pPr>
        <w:spacing w:after="0" w:line="12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SECTION 7.4 - SECURITIES OWNED BY ISSUER DEEMED NOT OUTSTANDING. </w:t>
      </w:r>
      <w:r>
        <w:rPr>
          <w:rFonts w:ascii="Arial" w:cs="Arial" w:eastAsia="Arial" w:hAnsi="Arial"/>
          <w:sz w:val="16"/>
          <w:szCs w:val="16"/>
          <w:color w:val="auto"/>
        </w:rPr>
        <w:t>In determining whether the Holders of the requisite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principal amount of Outstanding Securities of any or all series have concurred in any request, demand, authorization, direction, notice, consent, waiver or other action by Securityholders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action only Securities which the Trustee knows are so owned shall be so disregarded. Securities so owned that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6.1 and 6.2, the Trustee shall be entitled to accept such Officer’s Certificate as conclusive evidence of the facts therein set forth and of the fact that all Securities not listed therein are Outstanding for the purpose of any such determination.</w:t>
      </w:r>
    </w:p>
    <w:p>
      <w:pPr>
        <w:spacing w:after="0" w:line="10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SECTION 7.5 - RIGHT OF REVOCATION OF ACTION TAKEN. </w:t>
      </w:r>
      <w:r>
        <w:rPr>
          <w:rFonts w:ascii="Arial" w:cs="Arial" w:eastAsia="Arial" w:hAnsi="Arial"/>
          <w:sz w:val="16"/>
          <w:szCs w:val="16"/>
          <w:color w:val="auto"/>
        </w:rPr>
        <w:t>At any time prior to (but not after) the evidencing to the Trustee, as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7.1, of the taking of any action by the Holders of the percentage in aggregate principal amount of the Securities of any or all series, as the case may be, specified in this Indenture in connection with such action, any Holder of a Security which has consented to such action may, by filing written notice at the Corporate Trust Office and upon proof of holding as provided in this Article VII,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INDENTURES</w:t>
      </w:r>
    </w:p>
    <w:p>
      <w:pPr>
        <w:spacing w:after="0" w:line="158" w:lineRule="exact"/>
        <w:rPr>
          <w:sz w:val="20"/>
          <w:szCs w:val="20"/>
          <w:color w:val="auto"/>
        </w:rPr>
      </w:pPr>
    </w:p>
    <w:p>
      <w:pPr>
        <w:jc w:val="both"/>
        <w:ind w:right="260" w:firstLine="913"/>
        <w:spacing w:after="0" w:line="258" w:lineRule="auto"/>
        <w:rPr>
          <w:sz w:val="20"/>
          <w:szCs w:val="20"/>
          <w:color w:val="auto"/>
        </w:rPr>
      </w:pPr>
      <w:r>
        <w:rPr>
          <w:rFonts w:ascii="Arial" w:cs="Arial" w:eastAsia="Arial" w:hAnsi="Arial"/>
          <w:sz w:val="18"/>
          <w:szCs w:val="18"/>
          <w:b w:val="1"/>
          <w:bCs w:val="1"/>
          <w:color w:val="auto"/>
        </w:rPr>
        <w:t xml:space="preserve">SECTION 8.1 - SUPPLEMENTAL INDENTURES WITHOUT CONSENT OF SECURITYHOLDERS. </w:t>
      </w:r>
      <w:r>
        <w:rPr>
          <w:rFonts w:ascii="Arial" w:cs="Arial" w:eastAsia="Arial" w:hAnsi="Arial"/>
          <w:sz w:val="18"/>
          <w:szCs w:val="18"/>
          <w:color w:val="auto"/>
        </w:rPr>
        <w:t>The Issuer, when authorized by a</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for one or more of the following purposes:</w:t>
      </w:r>
    </w:p>
    <w:p>
      <w:pPr>
        <w:spacing w:after="0" w:line="48" w:lineRule="exact"/>
        <w:rPr>
          <w:sz w:val="20"/>
          <w:szCs w:val="20"/>
          <w:color w:val="auto"/>
        </w:rPr>
      </w:pPr>
    </w:p>
    <w:p>
      <w:pPr>
        <w:ind w:left="1140" w:hanging="237"/>
        <w:spacing w:after="0"/>
        <w:tabs>
          <w:tab w:leader="none" w:pos="11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99"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IX;</w:t>
      </w:r>
    </w:p>
    <w:p>
      <w:pPr>
        <w:spacing w:after="0" w:line="37" w:lineRule="exact"/>
        <w:rPr>
          <w:rFonts w:ascii="Arial" w:cs="Arial" w:eastAsia="Arial" w:hAnsi="Arial"/>
          <w:sz w:val="18"/>
          <w:szCs w:val="18"/>
          <w:color w:val="auto"/>
        </w:rPr>
      </w:pPr>
    </w:p>
    <w:p>
      <w:pPr>
        <w:ind w:left="460" w:firstLine="443"/>
        <w:spacing w:after="0" w:line="253" w:lineRule="auto"/>
        <w:tabs>
          <w:tab w:leader="none" w:pos="11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the Issuer and the Trustee shall consider to be for the protection of the Holders of Securities or Coupons of a particular series,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u w:val="single" w:color="auto"/>
          <w:color w:val="auto"/>
        </w:rPr>
        <w:t>provided</w:t>
      </w:r>
      <w:r>
        <w:rPr>
          <w:rFonts w:ascii="Arial" w:cs="Arial" w:eastAsia="Arial" w:hAnsi="Arial"/>
          <w:sz w:val="18"/>
          <w:szCs w:val="18"/>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50" w:lineRule="exact"/>
        <w:rPr>
          <w:rFonts w:ascii="Arial" w:cs="Arial" w:eastAsia="Arial" w:hAnsi="Arial"/>
          <w:sz w:val="18"/>
          <w:szCs w:val="18"/>
          <w:color w:val="auto"/>
        </w:rPr>
      </w:pPr>
    </w:p>
    <w:p>
      <w:pPr>
        <w:ind w:left="460" w:right="40" w:firstLine="443"/>
        <w:spacing w:after="0" w:line="306"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that may be defective or inconsistent with any other provision contained herein or in any supplemental indenture, or to make any other provisions as the Issuer may deem necessary or desirable, provided, that no such action shall adversely affect the interests of the Holders of the Securities or Coupons;</w:t>
      </w:r>
    </w:p>
    <w:p>
      <w:pPr>
        <w:spacing w:after="0" w:line="12" w:lineRule="exact"/>
        <w:rPr>
          <w:rFonts w:ascii="Arial" w:cs="Arial" w:eastAsia="Arial" w:hAnsi="Arial"/>
          <w:sz w:val="16"/>
          <w:szCs w:val="16"/>
          <w:color w:val="auto"/>
        </w:rPr>
      </w:pPr>
    </w:p>
    <w:p>
      <w:pPr>
        <w:ind w:left="1140" w:hanging="237"/>
        <w:spacing w:after="0"/>
        <w:tabs>
          <w:tab w:leader="none" w:pos="11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establish the forms or terms of Securities of any series or of the Coupons appertaining to such Securities as permitted by Sections 2.1 and 2.3;</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70" w:lineRule="exact"/>
        <w:rPr>
          <w:rFonts w:ascii="Arial" w:cs="Arial" w:eastAsia="Arial" w:hAnsi="Arial"/>
          <w:sz w:val="15"/>
          <w:szCs w:val="15"/>
          <w:color w:val="auto"/>
        </w:rPr>
      </w:pPr>
    </w:p>
    <w:p>
      <w:pPr>
        <w:ind w:left="460" w:right="60" w:firstLine="443"/>
        <w:spacing w:after="0" w:line="259" w:lineRule="auto"/>
        <w:tabs>
          <w:tab w:leader="none" w:pos="11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80" w:name="page81"/>
    <w:bookmarkEnd w:id="80"/>
    <w:p>
      <w:pPr>
        <w:ind w:right="1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3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8.2.</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8.2 - SUPPLEMENTAL INDENTURES WITH CONSENT OF SECURITYHOLDERS.</w:t>
      </w:r>
    </w:p>
    <w:p>
      <w:pPr>
        <w:spacing w:after="0" w:line="83" w:lineRule="exact"/>
        <w:rPr>
          <w:sz w:val="20"/>
          <w:szCs w:val="20"/>
          <w:color w:val="auto"/>
        </w:rPr>
      </w:pPr>
    </w:p>
    <w:p>
      <w:pPr>
        <w:ind w:left="460" w:right="20" w:firstLine="443"/>
        <w:spacing w:after="0" w:line="289" w:lineRule="auto"/>
        <w:tabs>
          <w:tab w:leader="none" w:pos="1186"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set forth in paragraph (C) below, with the consent (evidenced as provided in Article VII) of the Holders of not less than a majority in aggregate principal amount of the Securities at the time Outstanding of all series of Senior Securities affected by such supplemental indenture (voting as one class),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w:t>
      </w:r>
    </w:p>
    <w:p>
      <w:pPr>
        <w:spacing w:after="0" w:line="23" w:lineRule="exact"/>
        <w:rPr>
          <w:rFonts w:ascii="Arial" w:cs="Arial" w:eastAsia="Arial" w:hAnsi="Arial"/>
          <w:sz w:val="16"/>
          <w:szCs w:val="16"/>
          <w:color w:val="auto"/>
        </w:rPr>
      </w:pPr>
    </w:p>
    <w:p>
      <w:pPr>
        <w:ind w:left="460" w:right="120" w:firstLine="443"/>
        <w:spacing w:after="0" w:line="289" w:lineRule="auto"/>
        <w:tabs>
          <w:tab w:leader="none" w:pos="11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set forth in paragraph (C) below, with the consent (evidenced as provided in Article VII) of the Holders of not less than a majority in aggregate principal amount of the Securities at the time Outstanding of all series of Subordinated Securities affected by such supplemental indenture (voting as one class),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(which shall conform to the provisions of the Trust Indenture Act as in force and effect at the date of execution thereof)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w:t>
      </w:r>
    </w:p>
    <w:p>
      <w:pPr>
        <w:spacing w:after="0" w:line="23" w:lineRule="exact"/>
        <w:rPr>
          <w:rFonts w:ascii="Arial" w:cs="Arial" w:eastAsia="Arial" w:hAnsi="Arial"/>
          <w:sz w:val="16"/>
          <w:szCs w:val="16"/>
          <w:color w:val="auto"/>
        </w:rPr>
      </w:pPr>
    </w:p>
    <w:p>
      <w:pPr>
        <w:ind w:left="460" w:firstLine="443"/>
        <w:spacing w:after="0" w:line="259" w:lineRule="auto"/>
        <w:tabs>
          <w:tab w:leader="none" w:pos="1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such supplemental indenture shall (i) extend the final maturity of any Security, or reduce the principal amount thereof, or premium thereon, if any, or reduce the rate or extend the time of payment of interest thereon, or reduce any amount payable on redemption thereof, or make the principal thereof (including any amount in respect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81" w:name="page82"/>
    <w:bookmarkEnd w:id="81"/>
    <w:p>
      <w:pPr>
        <w:ind w:left="4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original issue discount), or premium thereon, if any, or interest thereon payable in any coin or currency other than that provided in the Securities and Coupons or in accordance with the terms thereof, or reduce the amount of the principal of an Original Issue Discount Security that would be due and payable upon an acceleration of the maturity thereof pursuant to Section 5.1 or the amount thereof provable in bankruptcy pursuant to Section 5.2, or in the case of Subordinated Securities of any series, modify any of the Subordination Provisions or the definition of “</w:t>
      </w:r>
      <w:r>
        <w:rPr>
          <w:rFonts w:ascii="Arial" w:cs="Arial" w:eastAsia="Arial" w:hAnsi="Arial"/>
          <w:sz w:val="15"/>
          <w:szCs w:val="15"/>
          <w:u w:val="single" w:color="auto"/>
          <w:color w:val="auto"/>
        </w:rPr>
        <w:t>Senior Indebtedness</w:t>
      </w:r>
      <w:r>
        <w:rPr>
          <w:rFonts w:ascii="Arial" w:cs="Arial" w:eastAsia="Arial" w:hAnsi="Arial"/>
          <w:sz w:val="15"/>
          <w:szCs w:val="15"/>
          <w:color w:val="auto"/>
        </w:rPr>
        <w:t>” relating to such series in a manner adverse to the holders of such Subordinated Securities, or alter the provisions of Section 11.11 or 11.12 or impair or affect the right of any Securityholder to institute suit for the payment thereof when due or, if the Securities provide therefor, any right of repayment at the option of the Securityholder, in each case without the consent of the Holder of each Security so affected, or (ii) reduce the aforesaid percentage of Securities of any series, the consent of the Holders of which is required for any such supplemental indenture, without the consent of the Holders of each Security so affected.</w:t>
      </w:r>
    </w:p>
    <w:p>
      <w:pPr>
        <w:spacing w:after="0" w:line="14" w:lineRule="exact"/>
        <w:rPr>
          <w:sz w:val="20"/>
          <w:szCs w:val="20"/>
          <w:color w:val="auto"/>
        </w:rPr>
      </w:pPr>
    </w:p>
    <w:p>
      <w:pPr>
        <w:ind w:left="460" w:right="20" w:firstLine="443"/>
        <w:spacing w:after="0" w:line="256" w:lineRule="auto"/>
        <w:tabs>
          <w:tab w:leader="none" w:pos="11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supplemental indenture that changes or eliminates any covenant or other provision of this Indenture that has expressly been included solely for the benefit of one or more particular series of Securities, or that modifies the rights of Holders of Securities of such series, or of Coupons appertaining to such Securities, with respect to such covenant or provision, shall be deemed not to affect the rights under this Indenture of the Holders of Securities of any other series or of the Coupons appertaining to such Securities.</w:t>
      </w:r>
    </w:p>
    <w:p>
      <w:pPr>
        <w:spacing w:after="0" w:line="130"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Upon the request of the Issuer, accompanied by a copy of a resolution of the Board of Directors (which resolution may provide general terms or parameters for such action and may provide that the specific terms of such action may be determined in accordance with or pursuant to an Issuer Order) certified by the secretary or an assistant secretary of the Issuer authorizing the execution of any such supplemental indenture, and upon the filing with the Trustee of evidence of the consent of the Holders of the Securities as aforesaid and other documents, if any, required by Section 7.1,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07"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1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notice thereof to the Securityholders in the manner and to the extent provided in Section 11.4, and in each case such notice shall set forth in general terms the substance of such supplemental indenture. Any failure of the Issuer to give such notice, or any defect therein, shall not, however, in any way impair or affect the validity of any such supplemental indenture.</w:t>
      </w:r>
    </w:p>
    <w:p>
      <w:pPr>
        <w:spacing w:after="0" w:line="124" w:lineRule="exact"/>
        <w:rPr>
          <w:sz w:val="20"/>
          <w:szCs w:val="20"/>
          <w:color w:val="auto"/>
        </w:rPr>
      </w:pPr>
    </w:p>
    <w:p>
      <w:pPr>
        <w:ind w:right="220" w:firstLine="913"/>
        <w:spacing w:after="0" w:line="275" w:lineRule="auto"/>
        <w:rPr>
          <w:sz w:val="20"/>
          <w:szCs w:val="20"/>
          <w:color w:val="auto"/>
        </w:rPr>
      </w:pPr>
      <w:r>
        <w:rPr>
          <w:rFonts w:ascii="Arial" w:cs="Arial" w:eastAsia="Arial" w:hAnsi="Arial"/>
          <w:sz w:val="18"/>
          <w:szCs w:val="18"/>
          <w:b w:val="1"/>
          <w:bCs w:val="1"/>
          <w:color w:val="auto"/>
        </w:rPr>
        <w:t xml:space="preserve">SECTION 8.3 - EFFECT OF SUPPLEMENTAL INDENTURE. </w:t>
      </w:r>
      <w:r>
        <w:rPr>
          <w:rFonts w:ascii="Arial" w:cs="Arial" w:eastAsia="Arial" w:hAnsi="Arial"/>
          <w:sz w:val="18"/>
          <w:szCs w:val="18"/>
          <w:color w:val="auto"/>
        </w:rPr>
        <w:t>Upon the execution of any supplemental indenture pursuant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this Indenture shall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82" w:name="page83"/>
    <w:bookmarkEnd w:id="82"/>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93"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 xml:space="preserve">SECTION 8.4 - DOCUMENTS TO BE GIVEN TO TRUSTEE. </w:t>
      </w:r>
      <w:r>
        <w:rPr>
          <w:rFonts w:ascii="Arial" w:cs="Arial" w:eastAsia="Arial" w:hAnsi="Arial"/>
          <w:sz w:val="18"/>
          <w:szCs w:val="18"/>
          <w:color w:val="auto"/>
        </w:rPr>
        <w:t>The Trustee, subject to the provisions of Sections 6.1 and 6.2, may receive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Certificate and an Opinion of Counsel as conclusive evidence that any supplemental indenture executed pursuant to this Article VIII complies with the applicable provisions of this Indenture.</w:t>
      </w:r>
    </w:p>
    <w:p>
      <w:pPr>
        <w:spacing w:after="0" w:line="11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 xml:space="preserve">SECTION 8.5 - NOTATION ON SECURITIES IN RESPECT OF SUPPLEMENTAL INDENTURES. </w:t>
      </w:r>
      <w:r>
        <w:rPr>
          <w:rFonts w:ascii="Arial" w:cs="Arial" w:eastAsia="Arial" w:hAnsi="Arial"/>
          <w:sz w:val="18"/>
          <w:szCs w:val="18"/>
          <w:color w:val="auto"/>
        </w:rPr>
        <w:t>Securities of any series authenticated</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delivered after the execution of any supplemental indenture pursuant to the provisions of this Article VIII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158" w:lineRule="exact"/>
        <w:rPr>
          <w:sz w:val="20"/>
          <w:szCs w:val="20"/>
          <w:color w:val="auto"/>
        </w:rPr>
      </w:pPr>
    </w:p>
    <w:p>
      <w:pPr>
        <w:jc w:val="both"/>
        <w:ind w:right="20" w:firstLine="913"/>
        <w:spacing w:after="0" w:line="262" w:lineRule="auto"/>
        <w:rPr>
          <w:sz w:val="20"/>
          <w:szCs w:val="20"/>
          <w:color w:val="auto"/>
        </w:rPr>
      </w:pPr>
      <w:r>
        <w:rPr>
          <w:rFonts w:ascii="Arial" w:cs="Arial" w:eastAsia="Arial" w:hAnsi="Arial"/>
          <w:sz w:val="18"/>
          <w:szCs w:val="18"/>
          <w:b w:val="1"/>
          <w:bCs w:val="1"/>
          <w:color w:val="auto"/>
        </w:rPr>
        <w:t xml:space="preserve">SECTION 9.1 - ISSUER MAY CONSOLIDATE, ETC., ONLY ON CERTAIN TERMS. </w:t>
      </w:r>
      <w:r>
        <w:rPr>
          <w:rFonts w:ascii="Arial" w:cs="Arial" w:eastAsia="Arial" w:hAnsi="Arial"/>
          <w:sz w:val="18"/>
          <w:szCs w:val="18"/>
          <w:color w:val="auto"/>
        </w:rPr>
        <w:t>The Issuer shall not consolidate with or merge into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or transfer or lease its properties and assets substantially as an entirety to any Person, and the Issuer shall not permit any other Person to consolidate with or merge into the Issuer, unless:</w:t>
      </w:r>
    </w:p>
    <w:p>
      <w:pPr>
        <w:spacing w:after="0" w:line="44" w:lineRule="exact"/>
        <w:rPr>
          <w:sz w:val="20"/>
          <w:szCs w:val="20"/>
          <w:color w:val="auto"/>
        </w:rPr>
      </w:pPr>
    </w:p>
    <w:p>
      <w:pPr>
        <w:ind w:left="460" w:right="180" w:firstLine="443"/>
        <w:spacing w:after="0" w:line="255"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 the Issuer shall be the continuing corporation, or the successor corporation (if other than the Issuer) formed by such consolidation or into which the Issuer is merged or to which the properties and assets of the Issuer substantially as an entirety are transferred or leased shall be a corporation organized and existing under the laws of the United States of America, any State thereof or the District of Columbia and shall expressly assume, by an indenture supplemental hereto, executed and delivered to the Trustee, in form satisfactory to the Trustee, all the obligations of the Issuer under the Securities and this Indenture; and</w:t>
      </w:r>
    </w:p>
    <w:p>
      <w:pPr>
        <w:spacing w:after="0" w:line="48"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Issuer or a Subsidiary as a result of such transaction as having been incurred by the Issuer or such Subsidiary at the time of such transaction, no Event of Default, and no event which, after notice or lapse of time or both, would become an Event of Default, shall have happened and be continuing.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83" w:name="page84"/>
    <w:bookmarkEnd w:id="83"/>
    <w:p>
      <w:pPr>
        <w:ind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9.2 - SUCCESSOR CORPORATION SUBSTITUTED. </w:t>
      </w:r>
      <w:r>
        <w:rPr>
          <w:rFonts w:ascii="Arial" w:cs="Arial" w:eastAsia="Arial" w:hAnsi="Arial"/>
          <w:sz w:val="16"/>
          <w:szCs w:val="16"/>
          <w:color w:val="auto"/>
        </w:rPr>
        <w:t>The successor corporation formed by such consolidation or into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Issuer is merged or to which such transfer or lease is made shall succeed to and be substituted for, and may exercise every right and power of, the Issuer under this Indenture with the same effect as if such successor corporation had been named as the Issuer herein, and thereafter (except in the case of a lease to another Person) the predecessor corporation shall be relieved of all obligations and covenants under the Indenture and the Securities and, in the event of such conveyance or transfer, any such predecessor corporation may be dissolved and liquidated.</w:t>
      </w:r>
    </w:p>
    <w:p>
      <w:pPr>
        <w:spacing w:after="0" w:line="94" w:lineRule="exact"/>
        <w:rPr>
          <w:sz w:val="20"/>
          <w:szCs w:val="20"/>
          <w:color w:val="auto"/>
        </w:rPr>
      </w:pPr>
    </w:p>
    <w:p>
      <w:pPr>
        <w:ind w:right="240" w:firstLine="913"/>
        <w:spacing w:after="0" w:line="262" w:lineRule="auto"/>
        <w:rPr>
          <w:sz w:val="20"/>
          <w:szCs w:val="20"/>
          <w:color w:val="auto"/>
        </w:rPr>
      </w:pPr>
      <w:r>
        <w:rPr>
          <w:rFonts w:ascii="Arial" w:cs="Arial" w:eastAsia="Arial" w:hAnsi="Arial"/>
          <w:sz w:val="18"/>
          <w:szCs w:val="18"/>
          <w:b w:val="1"/>
          <w:bCs w:val="1"/>
          <w:color w:val="auto"/>
        </w:rPr>
        <w:t xml:space="preserve">SECTION 9.3 - OPINION OF COUNSEL TO BE GIVEN TO TRUSTEE. </w:t>
      </w:r>
      <w:r>
        <w:rPr>
          <w:rFonts w:ascii="Arial" w:cs="Arial" w:eastAsia="Arial" w:hAnsi="Arial"/>
          <w:sz w:val="18"/>
          <w:szCs w:val="18"/>
          <w:color w:val="auto"/>
        </w:rPr>
        <w:t>The Trustee, subject to the provisions of Sections 6.1 and 6.2,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 Opinion of Counsel as conclusive evidence that any such consolidation, merger, sale or conveyance, and any such assumption, complies with the provisions of this Article IX.</w:t>
      </w:r>
    </w:p>
    <w:p>
      <w:pPr>
        <w:spacing w:after="0" w:line="1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X</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SATISFACTION AND DISCHARGE OF INDENTURE; UNCLAIMED MONEYS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10.1 - SATISFACTION AND DISCHARGE OF INDENTURE.</w:t>
      </w:r>
    </w:p>
    <w:p>
      <w:pPr>
        <w:spacing w:after="0" w:line="83" w:lineRule="exact"/>
        <w:rPr>
          <w:sz w:val="20"/>
          <w:szCs w:val="20"/>
          <w:color w:val="auto"/>
        </w:rPr>
      </w:pPr>
    </w:p>
    <w:p>
      <w:pPr>
        <w:ind w:right="60" w:firstLine="921"/>
        <w:spacing w:after="0" w:line="301" w:lineRule="auto"/>
        <w:tabs>
          <w:tab w:leader="none" w:pos="1200" w:val="left"/>
        </w:tabs>
        <w:numPr>
          <w:ilvl w:val="1"/>
          <w:numId w:val="66"/>
        </w:numPr>
        <w:rPr>
          <w:rFonts w:ascii="Arial" w:cs="Arial" w:eastAsia="Arial" w:hAnsi="Arial"/>
          <w:sz w:val="15"/>
          <w:szCs w:val="15"/>
          <w:color w:val="auto"/>
        </w:rPr>
      </w:pPr>
      <w:r>
        <w:rPr>
          <w:rFonts w:ascii="Arial" w:cs="Arial" w:eastAsia="Arial" w:hAnsi="Arial"/>
          <w:sz w:val="15"/>
          <w:szCs w:val="15"/>
          <w:color w:val="auto"/>
        </w:rPr>
        <w:t>If at any time (i) the Issuer shall have paid or caused to be paid the principal of and interest on all the Securities of any series Outstanding hereunder and all unmatured Coupons appertaining thereto (other than Securities of such series and Coupons appertaining thereto that have been destroyed, lost or stolen and that have been replaced or paid as provided in Section 2.9) as and when the same shall have become due and payable, or (ii) the Issuer shall have delivered to the Trustee for cancellation all Securities of any series theretofore authenticated and all unmatured Coupons appertaining thereto (other than any Securities of such series and Coupons appertaining thereto that shall have been destroyed, lost or stolen and that shall have been replaced or paid as provided in Section 2.9) or (iii) in the case of any series of Securities where the exact amount (including the currency of payment) of principal of and interest due on which can be determined at the time of making the deposit referred to in clause (b) below, (a) all the Securities of such series and all unmatured Coupons appertaining thereto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in trust the entire amount in (i) cash (other than moneys repaid by the Trustee or any paying agent to the Issuer in accordance with Section 10.4), (ii) in the case of any series of Securities the payments on which may only be made in Dollars, direct obligations of the United States of America, backed by its full faith and credit (“</w:t>
      </w:r>
      <w:r>
        <w:rPr>
          <w:rFonts w:ascii="Arial" w:cs="Arial" w:eastAsia="Arial" w:hAnsi="Arial"/>
          <w:sz w:val="15"/>
          <w:szCs w:val="15"/>
          <w:u w:val="single" w:color="auto"/>
          <w:color w:val="auto"/>
        </w:rPr>
        <w:t>U.S. Government Obligations</w:t>
      </w:r>
      <w:r>
        <w:rPr>
          <w:rFonts w:ascii="Arial" w:cs="Arial" w:eastAsia="Arial" w:hAnsi="Arial"/>
          <w:sz w:val="15"/>
          <w:szCs w:val="15"/>
          <w:color w:val="auto"/>
        </w:rPr>
        <w:t>”), maturing as to principal and interest at such times and in such amounts as will insure the availability of cash sufficient to pay at such maturity or upon such redemption, as the case may be, or</w:t>
      </w:r>
    </w:p>
    <w:p>
      <w:pPr>
        <w:spacing w:after="0" w:line="3" w:lineRule="exact"/>
        <w:rPr>
          <w:rFonts w:ascii="Arial" w:cs="Arial" w:eastAsia="Arial" w:hAnsi="Arial"/>
          <w:sz w:val="15"/>
          <w:szCs w:val="15"/>
          <w:color w:val="auto"/>
        </w:rPr>
      </w:pPr>
    </w:p>
    <w:p>
      <w:pPr>
        <w:ind w:right="80" w:firstLine="8"/>
        <w:spacing w:after="0" w:line="302" w:lineRule="auto"/>
        <w:tabs>
          <w:tab w:leader="none" w:pos="3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combination thereof, sufficient, in the opinion of a nationally recognized firm of independent public accountants expressed in a written certification thereof delivered to the Trustee, to pay (x) the principal and interest on all Securities of such series and Coupons appertaining thereto on each date that such principal or interest is due and payable and (y) any mandatory sinking fund payments on the dates on which such payments are due and payable 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84" w:name="page85"/>
    <w:bookmarkEnd w:id="8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accordance with the terms of the Indenture and the Securities of such series; and if, in any such case, the Issuer shall also pay or cause to be paid all other sums payable hereunder by the Issuer, then this Indenture shall cease to be of further effect with respect to the Securities of such series (except as to (i) rights of registration of transfer and exchange of Securities of such series and of Coupons appertaining thereto pursuant to Section 2.8 and the Issuer’s right of optional redemption, if any, (ii) substitution of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to the extent to be exercised to make such call for redemption within one year, (v) the rights, obligations, duties and immunities of the Trustee hereunder, including those under Section 6.6, (vi) the rights of the Holders of Securities of such series and Coupons appertaining thereto as beneficiaries hereof with respect to the property so deposited with the Trustee payable to all or any of them, and (vii) the obligations of the Issuer under Section 3.2) and the Trustee, on demand of the Issuer accompanied, if the Trustee so requests, by an Officer’s Certificate and an Opinion of Counsel and at the cost and expense of the Issuer, shall execute proper instruments acknowledging such satisfaction of and discharging this Indenture with respect to the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rights of Holders of the Securities and Coupons to receive amounts in respect of principal of and interest on the Securities and Coupons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13" w:lineRule="exact"/>
        <w:rPr>
          <w:sz w:val="20"/>
          <w:szCs w:val="20"/>
          <w:color w:val="auto"/>
        </w:rPr>
      </w:pPr>
    </w:p>
    <w:p>
      <w:pPr>
        <w:ind w:firstLine="921"/>
        <w:spacing w:after="0" w:line="282" w:lineRule="auto"/>
        <w:tabs>
          <w:tab w:leader="none" w:pos="1191"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following provisions shall apply to the Securities of each series unless specifically otherwise provided in a Board Resolution, Officer’s Certificate or indenture supplemental hereto provided pursuant to Section 2.3. In addition to discharge of the Indenture pursuant to the immediately preceding paragraph, in the case of any series of Securities the exact amounts (including the currency of payment) of principal of and interest due on which can be determined at the time of making the deposit referred to in clause (a) below, the Issuer shall be deemed to have paid and discharged the entire indebtedness on all the Securities of such a series and the Coupons appertaining thereto on the date of the deposit referred to in subparagraph (a) below, and the provisions of this Indenture with respect to the Securities of such series and Coupons appertaining thereto shall no longer be in effect (except as to (i) rights of registration of transfer and exchange of Securities of such series and of Coupons appertaining thereto pursuant to Section 2.8 and the Issuer’s right of optional redemption, if any, (ii) substitution of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mandatory sinking fund payments, if any, (iv) any optional redemption rights of such series of Securities to the extent to be exercised to make such call for redemption within one year, (v) the rights, obligations, duties and immunities of the Trustee hereunder, (vi) the rights of the Holders of Securities of such series and Coupons appertaining thereto as beneficiaries hereof with respect to the property so deposited with the Trustee payable to all or any of them and</w:t>
      </w:r>
    </w:p>
    <w:p>
      <w:pPr>
        <w:spacing w:after="0" w:line="5" w:lineRule="exact"/>
        <w:rPr>
          <w:rFonts w:ascii="Arial" w:cs="Arial" w:eastAsia="Arial" w:hAnsi="Arial"/>
          <w:sz w:val="16"/>
          <w:szCs w:val="16"/>
          <w:color w:val="auto"/>
        </w:rPr>
      </w:pPr>
    </w:p>
    <w:p>
      <w:pPr>
        <w:ind w:right="700" w:firstLine="8"/>
        <w:spacing w:after="0" w:line="261" w:lineRule="auto"/>
        <w:tabs>
          <w:tab w:leader="none" w:pos="3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obligations of the Issuer under Section 3.2) and the Trustee, at the expense of the Issuer, shall at the Issuer’s request, execute proper instruments acknowledging the same, if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85" w:name="page86"/>
    <w:bookmarkEnd w:id="85"/>
    <w:p>
      <w:pPr>
        <w:ind w:left="440" w:right="60" w:firstLine="443"/>
        <w:spacing w:after="0" w:line="289" w:lineRule="auto"/>
        <w:tabs>
          <w:tab w:leader="none" w:pos="111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reference to this provision the Issuer has irrevocably deposited or caused to be irrevocably deposited with the Trustee as trust funds in trust, specifically pledged as security for, and dedicated solely to, the benefit of the Holders of the Securities of such series and Coupons appertaining thereto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of a nationally recognized firm of independent public accountants expressed in a written certification thereof delivered to the Trustee, to pay (A) the principal and interest on all Securities of such series and Coupons appertaining thereto on each date that such principal or interest is due and payable and (b) any mandatory sinking fund payments on the dates on which such payments are due and payable in accordance with the terms of the Indenture and the Securities of such series;</w:t>
      </w:r>
    </w:p>
    <w:p>
      <w:pPr>
        <w:spacing w:after="0" w:line="23" w:lineRule="exact"/>
        <w:rPr>
          <w:rFonts w:ascii="Arial" w:cs="Arial" w:eastAsia="Arial" w:hAnsi="Arial"/>
          <w:sz w:val="16"/>
          <w:szCs w:val="16"/>
          <w:color w:val="auto"/>
        </w:rPr>
      </w:pPr>
    </w:p>
    <w:p>
      <w:pPr>
        <w:ind w:left="440" w:right="100" w:firstLine="443"/>
        <w:spacing w:after="0" w:line="325" w:lineRule="auto"/>
        <w:tabs>
          <w:tab w:leader="none" w:pos="11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any agreement or instrument to which the Issuer is a party or by which it is bound (other than a Default or Event of Default under this Indenture resulting from the borrowing of funds to be applied to such deposit);</w:t>
      </w:r>
    </w:p>
    <w:p>
      <w:pPr>
        <w:spacing w:after="0" w:line="1" w:lineRule="exact"/>
        <w:rPr>
          <w:rFonts w:ascii="Arial" w:cs="Arial" w:eastAsia="Arial" w:hAnsi="Arial"/>
          <w:sz w:val="16"/>
          <w:szCs w:val="16"/>
          <w:color w:val="auto"/>
        </w:rPr>
      </w:pPr>
    </w:p>
    <w:p>
      <w:pPr>
        <w:ind w:left="440" w:firstLine="443"/>
        <w:spacing w:after="0" w:line="254" w:lineRule="auto"/>
        <w:tabs>
          <w:tab w:leader="none" w:pos="11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has delivered to the Trustee an Opinion of Counsel based on the fact that (x) the Issuer has received from, or there has been published by, the IRS a ruling or (y) since the date hereof, there has been a change in the applicable United States Federal income tax law, in either case to the effect that, and such opinion shall confirm that, the Holders of the Securities of such series and Coupons appertaining thereto will not recognize income, gain or loss for United States Federal income tax purposes as a result of such deposit, defeasance and discharge and will be subject to United States Federal income tax on the same amount and in the same manner and at the same times, as would have been the case if such deposit, defeasance and discharge had not occurred; and</w:t>
      </w:r>
    </w:p>
    <w:p>
      <w:pPr>
        <w:spacing w:after="0" w:line="49" w:lineRule="exact"/>
        <w:rPr>
          <w:rFonts w:ascii="Arial" w:cs="Arial" w:eastAsia="Arial" w:hAnsi="Arial"/>
          <w:sz w:val="18"/>
          <w:szCs w:val="18"/>
          <w:color w:val="auto"/>
        </w:rPr>
      </w:pPr>
    </w:p>
    <w:p>
      <w:pPr>
        <w:ind w:left="440" w:right="720" w:firstLine="443"/>
        <w:spacing w:after="0" w:line="332" w:lineRule="auto"/>
        <w:tabs>
          <w:tab w:leader="none" w:pos="1127"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Trustee so requests, the Issuer has delivered to the Trustee an Officer’s Certificate and an Opinion of Counsel, each stating that all conditions precedent provided for relating to the defeasance contemplated by this provision have been complied with.</w:t>
      </w:r>
    </w:p>
    <w:p>
      <w:pPr>
        <w:spacing w:after="0" w:line="71" w:lineRule="exact"/>
        <w:rPr>
          <w:rFonts w:ascii="Arial" w:cs="Arial" w:eastAsia="Arial" w:hAnsi="Arial"/>
          <w:sz w:val="16"/>
          <w:szCs w:val="16"/>
          <w:color w:val="auto"/>
        </w:rPr>
      </w:pPr>
    </w:p>
    <w:p>
      <w:pPr>
        <w:ind w:left="-20" w:right="100" w:firstLine="921"/>
        <w:spacing w:after="0" w:line="291" w:lineRule="auto"/>
        <w:tabs>
          <w:tab w:leader="none" w:pos="1168"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Issuer shall be released from its obligations under Sections 3.6 and 9.1 and unless otherwise provided for in the Board Resolution, Officer’s Certificate or Indenture supplemental hereto establishing such series of Securities, from all covenants and other obligations referred to in Section 2.3(19) or 2.3(21) with respect to such series of Securities, and any Coupons appertaining thereto, outstanding on and after the date the conditions set forth below are satisfied (hereinafter,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For this purpose, such covenant defeasance means that, with respect to the Outstanding Securities of such series, the Issuer may omit to comply with and shall have no liability in respect of any term, condition or limitation set forth in such Section, whether directly or indirectly by reason of any reference elsewhere herein to such Section or by reason of any reference in such Section to any other provision herein or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60" w:top="280"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document and such omission to comply shall not constitute an Event of Default under Section 5.1, but the remainder of this Indenture and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Coupons shall be unaffected thereby. The following shall be the conditions to application of this subsection C of this Section 10.1:</w:t>
      </w:r>
    </w:p>
    <w:p>
      <w:pPr>
        <w:spacing w:after="0" w:line="93" w:lineRule="exact"/>
        <w:rPr>
          <w:sz w:val="20"/>
          <w:szCs w:val="20"/>
          <w:color w:val="auto"/>
        </w:rPr>
      </w:pPr>
    </w:p>
    <w:p>
      <w:pPr>
        <w:ind w:left="460" w:right="180" w:firstLine="443"/>
        <w:spacing w:after="0" w:line="312" w:lineRule="auto"/>
        <w:tabs>
          <w:tab w:leader="none" w:pos="113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and coupons appertaining thereto,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of a nationally recognized firm of independent public accountants expressed in a written certification thereof delivered to the Trustee, to pay (A) the principal and interest on all Securities of such series and Coupons appertaining thereof and (B) any mandatory sinking fund payments on the day on which such payments are due and payable in accordance with the terms of the Indenture and the Securities of such series;</w:t>
      </w:r>
    </w:p>
    <w:p>
      <w:pPr>
        <w:spacing w:after="0" w:line="10" w:lineRule="exact"/>
        <w:rPr>
          <w:rFonts w:ascii="Arial" w:cs="Arial" w:eastAsia="Arial" w:hAnsi="Arial"/>
          <w:sz w:val="15"/>
          <w:szCs w:val="15"/>
          <w:color w:val="auto"/>
        </w:rPr>
      </w:pPr>
    </w:p>
    <w:p>
      <w:pPr>
        <w:jc w:val="both"/>
        <w:ind w:left="460" w:right="12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Securities of such series shall have occurred and be continuing on the date of such deposit (other than a Default or Event of Default resulting from the borrowing of funds to be applied to such deposit);</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covenant defeasance shall not cause the Trustee to have a conflicting interest as defined in the Trust Indenture Act and for purposes of the Trust Indenture Act with respect to any securities of the Issuer;</w:t>
      </w:r>
    </w:p>
    <w:p>
      <w:pPr>
        <w:spacing w:after="0" w:line="37"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covenant defeasance shall not result in a breach or violation of, or constitute a default under any agreement or instrument to which the Issuer is a party or by which it is bound (other than a Default or Event of Default under this Indenture resulting from the borrowing of funds to be applied to such deposit);</w:t>
      </w:r>
    </w:p>
    <w:p>
      <w:pPr>
        <w:spacing w:after="0" w:line="45"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Opinion of Counsel to the effect that the Holders of the Securities of such series and Coupons appertaining thereto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 and</w:t>
      </w:r>
    </w:p>
    <w:p>
      <w:pPr>
        <w:spacing w:after="0" w:line="48" w:lineRule="exact"/>
        <w:rPr>
          <w:rFonts w:ascii="Arial" w:cs="Arial" w:eastAsia="Arial" w:hAnsi="Arial"/>
          <w:sz w:val="18"/>
          <w:szCs w:val="18"/>
          <w:color w:val="auto"/>
        </w:rPr>
      </w:pPr>
    </w:p>
    <w:p>
      <w:pPr>
        <w:ind w:left="460" w:right="280" w:firstLine="443"/>
        <w:spacing w:after="0" w:line="332" w:lineRule="auto"/>
        <w:tabs>
          <w:tab w:leader="none" w:pos="1117"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Trustee so requests, 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87" w:name="page88"/>
    <w:bookmarkEnd w:id="87"/>
    <w:p>
      <w:pPr>
        <w:ind w:right="40"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10.2 - APPLICATION BY TRUSTEE OF FUNDS DEPOSITED FOR PAYMENT OF SECURITIES. </w:t>
      </w:r>
      <w:r>
        <w:rPr>
          <w:rFonts w:ascii="Arial" w:cs="Arial" w:eastAsia="Arial" w:hAnsi="Arial"/>
          <w:sz w:val="16"/>
          <w:szCs w:val="16"/>
          <w:color w:val="auto"/>
        </w:rPr>
        <w:t>Subject to Section 10.4, all</w:t>
      </w:r>
      <w:r>
        <w:rPr>
          <w:rFonts w:ascii="Arial" w:cs="Arial" w:eastAsia="Arial" w:hAnsi="Arial"/>
          <w:sz w:val="16"/>
          <w:szCs w:val="16"/>
          <w:b w:val="1"/>
          <w:bCs w:val="1"/>
          <w:color w:val="auto"/>
        </w:rPr>
        <w:t xml:space="preserve"> </w:t>
      </w:r>
      <w:r>
        <w:rPr>
          <w:rFonts w:ascii="Arial" w:cs="Arial" w:eastAsia="Arial" w:hAnsi="Arial"/>
          <w:sz w:val="16"/>
          <w:szCs w:val="16"/>
          <w:color w:val="auto"/>
        </w:rPr>
        <w:t>moneys deposited with the Trustee (or other trustee) pursuant to Section 10.1 shall be held in trust and applied by it to the payment, either directly or through any paying agent (including the Issuer acting as its own paying agent), to the Holders of the particular Securities of such series and of Coupons appertaining thereto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94"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SECTION 10.3 - REPAYMENT OF MONEYS HELD BY PAYING AGENT. </w:t>
      </w:r>
      <w:r>
        <w:rPr>
          <w:rFonts w:ascii="Arial" w:cs="Arial" w:eastAsia="Arial" w:hAnsi="Arial"/>
          <w:sz w:val="18"/>
          <w:szCs w:val="18"/>
          <w:color w:val="auto"/>
        </w:rPr>
        <w:t>In connection with the satisfaction and discharge of this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2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10.4 - RETURN OF MONEYS HELD BY TRUSTEE AND PAYING AGENT UNCLAIMED FOR TWO YEARS. </w:t>
      </w:r>
      <w:r>
        <w:rPr>
          <w:rFonts w:ascii="Arial" w:cs="Arial" w:eastAsia="Arial" w:hAnsi="Arial"/>
          <w:sz w:val="16"/>
          <w:szCs w:val="16"/>
          <w:color w:val="auto"/>
        </w:rPr>
        <w:t>Any moneys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deposited with or paid to the Trustee or any paying agent for the payment of the principal of or interest on any Security of any series and of any Coupons attached thereto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and of any Coupons appertaining thereto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that the Trustee or such paying agent, before being required to make any such repayment with respect to moneys deposited with it for any payment, shall at the expense of the Issuer, give notice to the Securityholders in the manner and to the extent provided in Section 11.4, that such moneys remain and that, after a date specified therein, which shall not be less than thirty days from the date of such mailing or publication, any unclaimed balance of such money then remaining will be repaid to the Issuer.</w:t>
      </w:r>
    </w:p>
    <w:p>
      <w:pPr>
        <w:spacing w:after="0" w:line="105"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b w:val="1"/>
          <w:bCs w:val="1"/>
          <w:color w:val="auto"/>
        </w:rPr>
        <w:t xml:space="preserve">SECTION 10.5 - INDEMNITY FOR U.S. GOVERNMENT OF OBLIGATIONS. </w:t>
      </w:r>
      <w:r>
        <w:rPr>
          <w:rFonts w:ascii="Arial" w:cs="Arial" w:eastAsia="Arial" w:hAnsi="Arial"/>
          <w:sz w:val="18"/>
          <w:szCs w:val="18"/>
          <w:color w:val="auto"/>
        </w:rPr>
        <w:t>The Issuer shall pay and indemnify the Trustee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tax, fee or other charge imposed on or assessed against the U.S. Government Obligations deposited pursuant to this Article X or the principal or interest received in respect of such obligations.</w:t>
      </w:r>
    </w:p>
    <w:p>
      <w:pPr>
        <w:spacing w:after="0" w:line="119"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SECTION 10.6 - EFFECT ON SUBORDINATION PROVISIONS. </w:t>
      </w:r>
      <w:r>
        <w:rPr>
          <w:rFonts w:ascii="Arial" w:cs="Arial" w:eastAsia="Arial" w:hAnsi="Arial"/>
          <w:sz w:val="18"/>
          <w:szCs w:val="18"/>
          <w:color w:val="auto"/>
        </w:rPr>
        <w:t>Unless otherwise expressly established pursuant to Section 2.3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Subordinated Securities of any series, the provisions of Section 11.13 hereof, insofar as they pertain to the Subordinated Securities of such series, and the Subordination Provisions established pursuant to Section 2.3(9) with respect to such series, are hereby expressly made subject to the provisions for satisfaction and discharge and defeasance and covenant defeasance set forth in Section 10.1 hereof and, anything herein to the contrary notwithstanding, upon the effectiveness of such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88" w:name="page89"/>
    <w:bookmarkEnd w:id="8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satisfaction and discharge and defeasance and covenant defeasance pursuant to Section 10.1 with respect to the Securities of such series, such Securities shall thereupon cease to be so subordinated and shall no longer be subject to the provisions of Section 11.13 or the Subordination Provisions established pursuant to Section 2.3(9) with respect to such series and, without limitation to the foregoing, all moneys, U.S. Government Obligations and other securities or property deposited with the Trustee (or other qualifying trustee) in trust in connection with such satisfaction and discharge, defeasance or covenant defeasance, as the case may be, and all proceeds therefrom may be applied to pay the principal of, premium, if any, and interest, if any, on, and mandatory sinking fund payments, if any, with respect to the Securities of such series as and when the same shall become due and payable notwithstanding the provisions of Section 11.13 or such Subordination Provisions.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 PROVISIONS</w:t>
      </w:r>
    </w:p>
    <w:p>
      <w:pPr>
        <w:spacing w:after="0" w:line="158" w:lineRule="exact"/>
        <w:rPr>
          <w:sz w:val="20"/>
          <w:szCs w:val="20"/>
          <w:color w:val="auto"/>
        </w:rPr>
      </w:pPr>
    </w:p>
    <w:p>
      <w:pPr>
        <w:ind w:firstLine="913"/>
        <w:spacing w:after="0" w:line="316" w:lineRule="auto"/>
        <w:rPr>
          <w:sz w:val="20"/>
          <w:szCs w:val="20"/>
          <w:color w:val="auto"/>
        </w:rPr>
      </w:pPr>
      <w:r>
        <w:rPr>
          <w:rFonts w:ascii="Arial" w:cs="Arial" w:eastAsia="Arial" w:hAnsi="Arial"/>
          <w:sz w:val="15"/>
          <w:szCs w:val="15"/>
          <w:b w:val="1"/>
          <w:bCs w:val="1"/>
          <w:color w:val="auto"/>
        </w:rPr>
        <w:t xml:space="preserve">SECTION 11.1 - INCORPORATORS, STOCKHOLDERS, OFFICERS AND DIRECTORS OF ISSUER EXEMPT FROM INDIVIDUAL LIABILITY. </w:t>
      </w:r>
      <w:r>
        <w:rPr>
          <w:rFonts w:ascii="Arial" w:cs="Arial" w:eastAsia="Arial" w:hAnsi="Arial"/>
          <w:sz w:val="15"/>
          <w:szCs w:val="15"/>
          <w:color w:val="auto"/>
        </w:rPr>
        <w:t>No recourse under or upon any obligation, covenant or agreement contained in this Indenture, or in any Security, or because of any indebtedness</w:t>
      </w:r>
      <w:r>
        <w:rPr>
          <w:rFonts w:ascii="Arial" w:cs="Arial" w:eastAsia="Arial" w:hAnsi="Arial"/>
          <w:sz w:val="15"/>
          <w:szCs w:val="15"/>
          <w:b w:val="1"/>
          <w:bCs w:val="1"/>
          <w:color w:val="auto"/>
        </w:rPr>
        <w:t xml:space="preserve"> </w:t>
      </w:r>
      <w:r>
        <w:rPr>
          <w:rFonts w:ascii="Arial" w:cs="Arial" w:eastAsia="Arial" w:hAnsi="Arial"/>
          <w:sz w:val="15"/>
          <w:szCs w:val="15"/>
          <w:color w:val="auto"/>
        </w:rPr>
        <w:t>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and the Coupons, if any, appertaining thereto by the Holders thereof and as part of the consideration for the issue of the Securities and the Coupons appertaining thereto.</w:t>
      </w:r>
    </w:p>
    <w:p>
      <w:pPr>
        <w:spacing w:after="0" w:line="8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 xml:space="preserve">SECTION 11.2 - PROVISIONS OF INDENTURE FOR THE SOLE BENEFIT OF PARTIES AND HOLDERS OF SECURITIES AND COUPONS. </w:t>
      </w:r>
      <w:r>
        <w:rPr>
          <w:rFonts w:ascii="Arial" w:cs="Arial" w:eastAsia="Arial" w:hAnsi="Arial"/>
          <w:sz w:val="18"/>
          <w:szCs w:val="18"/>
          <w:color w:val="auto"/>
        </w:rPr>
        <w:t>Nothing in this Indenture, in the Securities or in the Coupons appertaining thereto, expressed or implied, shall give or be construed to give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firm or corporation, other than the parties thereto and their successors and the Holders of the Securities or Coupons, if any and, in the case of the Subordinated Securities of any series, the holders of Senior Indebtedness with respect to such series, any legal or equitable right, remedy or claim under this Indenture or under any covenant or provision herein contained, all such covenants and provisions being for the sole benefit of the parties hereto and their successors and of the Holders of the Securities or Coupons, if any and, in the case of the Subordinated Securities of any series, the holders of Senior Indebtedness with respect to such series.</w:t>
      </w:r>
    </w:p>
    <w:p>
      <w:pPr>
        <w:spacing w:after="0" w:line="128" w:lineRule="exact"/>
        <w:rPr>
          <w:sz w:val="20"/>
          <w:szCs w:val="20"/>
          <w:color w:val="auto"/>
        </w:rPr>
      </w:pPr>
    </w:p>
    <w:p>
      <w:pPr>
        <w:ind w:right="520" w:firstLine="913"/>
        <w:spacing w:after="0" w:line="339" w:lineRule="auto"/>
        <w:rPr>
          <w:sz w:val="20"/>
          <w:szCs w:val="20"/>
          <w:color w:val="auto"/>
        </w:rPr>
      </w:pPr>
      <w:r>
        <w:rPr>
          <w:rFonts w:ascii="Arial" w:cs="Arial" w:eastAsia="Arial" w:hAnsi="Arial"/>
          <w:sz w:val="16"/>
          <w:szCs w:val="16"/>
          <w:b w:val="1"/>
          <w:bCs w:val="1"/>
          <w:color w:val="auto"/>
        </w:rPr>
        <w:t xml:space="preserve">SECTION 11.3 - SUCCESSORS AND ASSIGNS OF ISSUER BOUND BY INDENTURE. </w:t>
      </w:r>
      <w:r>
        <w:rPr>
          <w:rFonts w:ascii="Arial" w:cs="Arial" w:eastAsia="Arial" w:hAnsi="Arial"/>
          <w:sz w:val="16"/>
          <w:szCs w:val="16"/>
          <w:color w:val="auto"/>
        </w:rPr>
        <w:t>All the covenants, stipulations, promises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this Indenture contained by or in behalf of the Issuer shall bind its successors and assigns, whether so expressed or not.</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89" w:name="page90"/>
    <w:bookmarkEnd w:id="89"/>
    <w:p>
      <w:pPr>
        <w:ind w:firstLine="91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11.4 - NOTICES AND DEMANDS ON ISSUER, TRUSTEE AND HOLDERS OF SECURITIES AND COUPONS. </w:t>
      </w:r>
      <w:r>
        <w:rPr>
          <w:rFonts w:ascii="Arial" w:cs="Arial" w:eastAsia="Arial" w:hAnsi="Arial"/>
          <w:sz w:val="16"/>
          <w:szCs w:val="16"/>
          <w:color w:val="auto"/>
        </w:rPr>
        <w:t>Any notice or</w:t>
      </w:r>
      <w:r>
        <w:rPr>
          <w:rFonts w:ascii="Arial" w:cs="Arial" w:eastAsia="Arial" w:hAnsi="Arial"/>
          <w:sz w:val="16"/>
          <w:szCs w:val="16"/>
          <w:b w:val="1"/>
          <w:bCs w:val="1"/>
          <w:color w:val="auto"/>
        </w:rPr>
        <w:t xml:space="preserve"> </w:t>
      </w:r>
      <w:r>
        <w:rPr>
          <w:rFonts w:ascii="Arial" w:cs="Arial" w:eastAsia="Arial" w:hAnsi="Arial"/>
          <w:sz w:val="16"/>
          <w:szCs w:val="16"/>
          <w:color w:val="auto"/>
        </w:rPr>
        <w:t>demand which by any provision of this Indenture is required or permitted to be given or served by the Trustee or by the Holders of Securities or Coupons, if any, to or on the Issuer may be given or served by being deposited postage prepaid, first-class mail (except as otherwise specifically provided herein) addressed (until another address of the Issuer is filed by the Issuer with the Trustee) to Wynn Resorts, Limited, 3131 Las Vegas Boulevard South, Las Vegas, Nevada 89109, Attention: Marc H. Rubinstein, General Counsel. Any notice, direction, request or demand by the Issuer or any Holder of Securities or Coupons, if any, to or upon the Trustee shall be deemed to have been sufficiently given or served by being deposited postage prepaid, first-class mail (except as otherwise specifically provided herein) addressed (until another address of the Trustee is filed by the Trustee with the Issuer) to U.S. Bank National Association, 60 Livingston Avenue, St. Paul, Minnesota 55107, Attention: Corporate Trust Services.</w:t>
      </w:r>
    </w:p>
    <w:p>
      <w:pPr>
        <w:spacing w:after="0" w:line="105"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Where this Indenture provides for notice to Holders of Registered Securities, such notice shall be sufficiently given (unless otherwise herein expressly provided) if in writing and mailed, first-class mail, postage prepaid, to each Holder entitled thereto, at his last address as it appears in the Security register.</w:t>
      </w:r>
    </w:p>
    <w:p>
      <w:pPr>
        <w:spacing w:after="0" w:line="12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Where this Indenture provides for notice to holders of Unregistered Securities, such notice shall be sufficiently given (unless otherwise expressly provided herein) by giving notice to such Holders (a) by publication of such notice at least once in an Authorized Newspaper in the Borough of Manhattan, The City of New York, and at least once in an Authorized Newspaper in London (and, if required by Section 3.7, once in an Authorized Newspaper in Luxembourg), and (b) by mailing such notice to the Holders of Unregistered Securities who have filed their names and addresses with the Trustee pursuant to Section 313(c)(2) of the Trust Indenture Act at such addresses as were so furnished to the Trustee.</w:t>
      </w:r>
    </w:p>
    <w:p>
      <w:pPr>
        <w:spacing w:after="0" w:line="102"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In any case where notice to such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9"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the given pursuant to any provision of this Indenture, then any manner of giving such notice as shall be reasonably satisfactory to the Trustee shall be deemed to be a sufficient giving of such notice.</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b w:val="1"/>
          <w:bCs w:val="1"/>
          <w:color w:val="auto"/>
        </w:rPr>
        <w:t xml:space="preserve">SECTION 11.5 - OFFICER’S CERTIFICATES AND OPINIONS OF COUNSEL; STATEMENTS TO BE CONTAINED THEREIN. </w:t>
      </w:r>
      <w:r>
        <w:rPr>
          <w:rFonts w:ascii="Arial" w:cs="Arial" w:eastAsia="Arial" w:hAnsi="Arial"/>
          <w:sz w:val="18"/>
          <w:szCs w:val="18"/>
          <w:color w:val="auto"/>
        </w:rPr>
        <w:t>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90" w:name="page91"/>
    <w:bookmarkEnd w:id="90"/>
    <w:p>
      <w:pPr>
        <w:ind w:right="100" w:firstLine="913"/>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w:t>
      </w:r>
    </w:p>
    <w:p>
      <w:pPr>
        <w:spacing w:after="0" w:line="1" w:lineRule="exact"/>
        <w:rPr>
          <w:sz w:val="20"/>
          <w:szCs w:val="20"/>
          <w:color w:val="auto"/>
        </w:rPr>
      </w:pPr>
    </w:p>
    <w:p>
      <w:pPr>
        <w:jc w:val="both"/>
        <w:ind w:right="380" w:firstLine="8"/>
        <w:spacing w:after="0" w:line="255" w:lineRule="auto"/>
        <w:tabs>
          <w:tab w:leader="none" w:pos="2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3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or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0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of or representations with respect to the accounting matters upon which his certificate, statement or opinion may be based as aforesaid are erroneous, or in the exercise of reasonable care should know that the same are erroneous.</w:t>
      </w:r>
    </w:p>
    <w:p>
      <w:pPr>
        <w:spacing w:after="0" w:line="99"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Any certificate or opinion of any independent firm of public accountants filed with and directed to the Trustee shall contain a statement that such firm is independent.</w:t>
      </w:r>
    </w:p>
    <w:p>
      <w:pPr>
        <w:spacing w:after="0" w:line="112"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b w:val="1"/>
          <w:bCs w:val="1"/>
          <w:color w:val="auto"/>
        </w:rPr>
        <w:t xml:space="preserve">SECTION 11.6 - PAYMENTS DUE ON SATURDAYS, SUNDAYS AND HOLIDAYS. </w:t>
      </w:r>
      <w:r>
        <w:rPr>
          <w:rFonts w:ascii="Arial" w:cs="Arial" w:eastAsia="Arial" w:hAnsi="Arial"/>
          <w:sz w:val="16"/>
          <w:szCs w:val="16"/>
          <w:color w:val="auto"/>
        </w:rPr>
        <w:t>If the date of maturity of interest on or principal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any series or any Coupons appertaining thereto or the date fixed for redemption or repayment of any such Security or Coupon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90" w:lineRule="exact"/>
        <w:rPr>
          <w:sz w:val="20"/>
          <w:szCs w:val="20"/>
          <w:color w:val="auto"/>
        </w:rPr>
      </w:pPr>
    </w:p>
    <w:p>
      <w:pPr>
        <w:ind w:right="80" w:firstLine="913"/>
        <w:spacing w:after="0" w:line="310" w:lineRule="auto"/>
        <w:rPr>
          <w:sz w:val="20"/>
          <w:szCs w:val="20"/>
          <w:color w:val="auto"/>
        </w:rPr>
      </w:pPr>
      <w:r>
        <w:rPr>
          <w:rFonts w:ascii="Arial" w:cs="Arial" w:eastAsia="Arial" w:hAnsi="Arial"/>
          <w:sz w:val="16"/>
          <w:szCs w:val="16"/>
          <w:b w:val="1"/>
          <w:bCs w:val="1"/>
          <w:color w:val="auto"/>
        </w:rPr>
        <w:t xml:space="preserve">SECTION 11.7 - CONFLICT OF ANY PROVISION OF INDENTURE WITH TRUST INDENTURE ACT. </w:t>
      </w:r>
      <w:r>
        <w:rPr>
          <w:rFonts w:ascii="Arial" w:cs="Arial" w:eastAsia="Arial" w:hAnsi="Arial"/>
          <w:sz w:val="16"/>
          <w:szCs w:val="16"/>
          <w:color w:val="auto"/>
        </w:rPr>
        <w:t>If and to the extent that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Indenture limits, qualifies or conflicts with duties imposed by, or with another provision (an “</w:t>
      </w:r>
      <w:r>
        <w:rPr>
          <w:rFonts w:ascii="Arial" w:cs="Arial" w:eastAsia="Arial" w:hAnsi="Arial"/>
          <w:sz w:val="16"/>
          <w:szCs w:val="16"/>
          <w:u w:val="single" w:color="auto"/>
          <w:color w:val="auto"/>
        </w:rPr>
        <w:t>incorporated provision</w:t>
      </w:r>
      <w:r>
        <w:rPr>
          <w:rFonts w:ascii="Arial" w:cs="Arial" w:eastAsia="Arial" w:hAnsi="Arial"/>
          <w:sz w:val="16"/>
          <w:szCs w:val="16"/>
          <w:color w:val="auto"/>
        </w:rPr>
        <w:t>”) included in this Indenture by operation of Sections 310 to 318, inclusive, of the Trust Indenture Act, such imposed duties or incorporated provision shall control.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91" w:name="page92"/>
    <w:bookmarkEnd w:id="91"/>
    <w:p>
      <w:pPr>
        <w:ind w:right="4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11.8 - NEW YORK LAW TO GOVERN. THIS INDENTURE AND EACH SECURITY AND COUPON SHALL BE DEEMED TO BE A CONTRACT UNDER THE LAWS OF THE STATE OF NEW YORK, AND FOR ALL PURPOSES SHALL BE GOVERNED BY AND CONSTRUED IN ACCORDANCE WITH THE LAWS OF SUCH STATE INCLUDING, WITHOUT LIMITATION, SECTION 5-1401 OF THE NEW YORK GENERAL OBLIGATIONS LAW.</w:t>
      </w:r>
    </w:p>
    <w:p>
      <w:pPr>
        <w:spacing w:after="0" w:line="123"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b w:val="1"/>
          <w:bCs w:val="1"/>
          <w:color w:val="auto"/>
        </w:rPr>
        <w:t xml:space="preserve">SECTION 11.9 - COUNTERPARTS. </w:t>
      </w:r>
      <w:r>
        <w:rPr>
          <w:rFonts w:ascii="Arial" w:cs="Arial" w:eastAsia="Arial" w:hAnsi="Arial"/>
          <w:sz w:val="18"/>
          <w:szCs w:val="18"/>
          <w:color w:val="auto"/>
        </w:rPr>
        <w:t>This Indenture may be executed in any number of counterparts, each of which shall be an original; but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shall together constitute but one and the same instrument.</w:t>
      </w:r>
    </w:p>
    <w:p>
      <w:pPr>
        <w:spacing w:after="0" w:line="106" w:lineRule="exact"/>
        <w:rPr>
          <w:sz w:val="20"/>
          <w:szCs w:val="20"/>
          <w:color w:val="auto"/>
        </w:rPr>
      </w:pPr>
    </w:p>
    <w:p>
      <w:pPr>
        <w:ind w:right="280" w:firstLine="913"/>
        <w:spacing w:after="0" w:line="275" w:lineRule="auto"/>
        <w:rPr>
          <w:sz w:val="20"/>
          <w:szCs w:val="20"/>
          <w:color w:val="auto"/>
        </w:rPr>
      </w:pPr>
      <w:r>
        <w:rPr>
          <w:rFonts w:ascii="Arial" w:cs="Arial" w:eastAsia="Arial" w:hAnsi="Arial"/>
          <w:sz w:val="18"/>
          <w:szCs w:val="18"/>
          <w:b w:val="1"/>
          <w:bCs w:val="1"/>
          <w:color w:val="auto"/>
        </w:rPr>
        <w:t xml:space="preserve">SECTION 11.10 - EFFECT OF HEADINGS. </w:t>
      </w:r>
      <w:r>
        <w:rPr>
          <w:rFonts w:ascii="Arial" w:cs="Arial" w:eastAsia="Arial" w:hAnsi="Arial"/>
          <w:sz w:val="18"/>
          <w:szCs w:val="18"/>
          <w:color w:val="auto"/>
        </w:rPr>
        <w:t>The Article and Section headings herein and the Table of Contents are for convenience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construction hereof.</w:t>
      </w:r>
    </w:p>
    <w:p>
      <w:pPr>
        <w:spacing w:after="0" w:line="10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SECTION 11.11 - SECURITIES IN A FOREIGN CURRENCY. </w:t>
      </w:r>
      <w:r>
        <w:rPr>
          <w:rFonts w:ascii="Arial" w:cs="Arial" w:eastAsia="Arial" w:hAnsi="Arial"/>
          <w:sz w:val="16"/>
          <w:szCs w:val="16"/>
          <w:color w:val="auto"/>
        </w:rPr>
        <w:t>Unless otherwise specified in an Officer’s Certificate delivered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Foreign Currency, then the principal amount of Securities of such series which shall be deemed to be Outstanding for the purpose of taking such action shall be that amount of Dollars that could be obtained for such amount at the Market Exchange Rate. For purposes of this Section 11.11, Market Exchange Rate shall mean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0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121"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b w:val="1"/>
          <w:bCs w:val="1"/>
          <w:color w:val="auto"/>
        </w:rPr>
        <w:t xml:space="preserve">SECTION 11.12 - JUDGMENT CURRENCY. </w:t>
      </w:r>
      <w:r>
        <w:rPr>
          <w:rFonts w:ascii="Arial" w:cs="Arial" w:eastAsia="Arial" w:hAnsi="Arial"/>
          <w:sz w:val="18"/>
          <w:szCs w:val="18"/>
          <w:color w:val="auto"/>
        </w:rPr>
        <w:t>The Issuer agrees, to the fullest extent that it may effectively do so under applicable law, that (a) if</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obtaining judgment in any court it is necessary to convert the sum due in respect of the principal of or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92" w:name="page93"/>
    <w:bookmarkEnd w:id="9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u w:val="single" w:color="auto"/>
          <w:color w:val="auto"/>
        </w:rPr>
        <w:t>New York Banking Day</w:t>
      </w:r>
      <w:r>
        <w:rPr>
          <w:rFonts w:ascii="Arial" w:cs="Arial" w:eastAsia="Arial" w:hAnsi="Arial"/>
          <w:sz w:val="16"/>
          <w:szCs w:val="16"/>
          <w:color w:val="auto"/>
        </w:rPr>
        <w:t>” means any day except a Saturday, Sunday or a legal holiday in The City of New York or a day on which banking institutions in The City of New York are authorized or required by law or executive order to close.</w:t>
      </w:r>
    </w:p>
    <w:p>
      <w:pPr>
        <w:spacing w:after="0" w:line="101" w:lineRule="exact"/>
        <w:rPr>
          <w:sz w:val="20"/>
          <w:szCs w:val="20"/>
          <w:color w:val="auto"/>
        </w:rPr>
      </w:pPr>
    </w:p>
    <w:p>
      <w:pPr>
        <w:ind w:right="120" w:firstLine="913"/>
        <w:spacing w:after="0" w:line="296" w:lineRule="auto"/>
        <w:rPr>
          <w:sz w:val="20"/>
          <w:szCs w:val="20"/>
          <w:color w:val="auto"/>
        </w:rPr>
      </w:pPr>
      <w:r>
        <w:rPr>
          <w:rFonts w:ascii="Arial" w:cs="Arial" w:eastAsia="Arial" w:hAnsi="Arial"/>
          <w:sz w:val="16"/>
          <w:szCs w:val="16"/>
          <w:b w:val="1"/>
          <w:bCs w:val="1"/>
          <w:color w:val="auto"/>
        </w:rPr>
        <w:t xml:space="preserve">SECTION 11.13 - AGREEMENT TO SUBORDINATE. </w:t>
      </w:r>
      <w:r>
        <w:rPr>
          <w:rFonts w:ascii="Arial" w:cs="Arial" w:eastAsia="Arial" w:hAnsi="Arial"/>
          <w:sz w:val="16"/>
          <w:szCs w:val="16"/>
          <w:color w:val="auto"/>
        </w:rPr>
        <w:t>The Issuer, for itself, its successors and assigns, covenants and agrees, and each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Subordinated Securities of any series by his acceptance thereof, likewise covenants and agrees, that the payment of the principal of (and premium, if any) and interest, if any, on, and mandatory sinking fund payments, if any, in respect of each and all of the Subordinated Securities of such series shall be expressly subordinated, to the extent and in the manner provided in the Subordination Provisions established with respect to the Subordinated Securities of such series pursuant to Section 2.3(9) hereof, in right of payment to the prior payment in full of all Senior Indebtedness with respect to such series.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 AND SINKING FUNDS</w:t>
      </w:r>
    </w:p>
    <w:p>
      <w:pPr>
        <w:spacing w:after="0" w:line="158" w:lineRule="exact"/>
        <w:rPr>
          <w:sz w:val="20"/>
          <w:szCs w:val="20"/>
          <w:color w:val="auto"/>
        </w:rPr>
      </w:pPr>
    </w:p>
    <w:p>
      <w:pPr>
        <w:ind w:right="200" w:firstLine="913"/>
        <w:spacing w:after="0" w:line="262" w:lineRule="auto"/>
        <w:rPr>
          <w:sz w:val="20"/>
          <w:szCs w:val="20"/>
          <w:color w:val="auto"/>
        </w:rPr>
      </w:pPr>
      <w:r>
        <w:rPr>
          <w:rFonts w:ascii="Arial" w:cs="Arial" w:eastAsia="Arial" w:hAnsi="Arial"/>
          <w:sz w:val="18"/>
          <w:szCs w:val="18"/>
          <w:b w:val="1"/>
          <w:bCs w:val="1"/>
          <w:color w:val="auto"/>
        </w:rPr>
        <w:t xml:space="preserve">SECTION 12.1 - APPLICABILITY OF ARTICLE. </w:t>
      </w:r>
      <w:r>
        <w:rPr>
          <w:rFonts w:ascii="Arial" w:cs="Arial" w:eastAsia="Arial" w:hAnsi="Arial"/>
          <w:sz w:val="18"/>
          <w:szCs w:val="18"/>
          <w:color w:val="auto"/>
        </w:rPr>
        <w:t>The provisions of this Article shall be applicable to the Securities of any series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redeemable before their maturity or to any sinking fund for the retirement of Securities of a series except as otherwise specified as contemplated by Section 2.3 for Securities of such series.</w:t>
      </w:r>
    </w:p>
    <w:p>
      <w:pPr>
        <w:spacing w:after="0" w:line="119" w:lineRule="exact"/>
        <w:rPr>
          <w:sz w:val="20"/>
          <w:szCs w:val="20"/>
          <w:color w:val="auto"/>
        </w:rPr>
      </w:pPr>
    </w:p>
    <w:p>
      <w:pPr>
        <w:ind w:right="60" w:firstLine="913"/>
        <w:spacing w:after="0" w:line="301" w:lineRule="auto"/>
        <w:rPr>
          <w:sz w:val="20"/>
          <w:szCs w:val="20"/>
          <w:color w:val="auto"/>
        </w:rPr>
      </w:pPr>
      <w:r>
        <w:rPr>
          <w:rFonts w:ascii="Arial" w:cs="Arial" w:eastAsia="Arial" w:hAnsi="Arial"/>
          <w:sz w:val="16"/>
          <w:szCs w:val="16"/>
          <w:b w:val="1"/>
          <w:bCs w:val="1"/>
          <w:color w:val="auto"/>
        </w:rPr>
        <w:t xml:space="preserve">SECTION 12.2 - NOTICE OF REDEMPTION; PARTIAL REDEMPTIONS. </w:t>
      </w:r>
      <w:r>
        <w:rPr>
          <w:rFonts w:ascii="Arial" w:cs="Arial" w:eastAsia="Arial" w:hAnsi="Arial"/>
          <w:sz w:val="16"/>
          <w:szCs w:val="16"/>
          <w:color w:val="auto"/>
        </w:rPr>
        <w:t>Notice of redemption to the Holders of Registered Securities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Notice of redemption to the Holders of Unregistered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93" w:name="page94"/>
    <w:bookmarkEnd w:id="9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to be redeemed as a whole or in part, who have filed their names and addresses with the Trustee pursuant to Section 313(c)(2) of the Trust Indenture Act shall be given by mailing notice of such redemption, by first class mail, postage prepaid, at least 30 days and not more than 60 prior to the date fixed for redemption, to such Holders at such addresses as were so furnished to the Trustee (and, in the case of any such notice given by the Issuer, the Trustee shall make such information available to the Issuer for such purpose). Notice of redemption to all other Holders of Unregistered Securities shall be provided in the manner and to the extent provided in Section 11.4, in each case, once in each of three successive calendar weeks, the first publication to be not less than 30 nor more than 60 days prior to the date fixed for redemption.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such Security of such series.</w:t>
      </w:r>
    </w:p>
    <w:p>
      <w:pPr>
        <w:spacing w:after="0" w:line="105"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and, in the case of Securities with Coupons attached thereto, of all Coupons appertaining thereto maturing after the date fixed for redemption,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to Holders of Securities of the series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0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at the appropriate redemption price, together with accrued interest to the date fixed for redemption. The Issuer will deliver to the Trustee at least 45 days prior to the date fixed for redemption, or such shorter period as shall be acceptable to the Trustee, an Officer’s Certificate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94" w:name="page95"/>
    <w:bookmarkEnd w:id="94"/>
    <w:p>
      <w:pPr>
        <w:ind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less than all the Securities of a series are to be redeemed, the Trustee shall select, in such manner as it shall deemed appropriate and fair, in its sole discretion,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0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SECTION 12.3 - PAYMENT OF SECURITIES CALLED FOR REDEMPTION. </w:t>
      </w:r>
      <w:r>
        <w:rPr>
          <w:rFonts w:ascii="Arial" w:cs="Arial" w:eastAsia="Arial" w:hAnsi="Arial"/>
          <w:sz w:val="16"/>
          <w:szCs w:val="16"/>
          <w:color w:val="auto"/>
        </w:rPr>
        <w:t>If notice of redemption has been given as above provided,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the unmatured Coupons, if any, appertaining thereto shall be void, and, except as provided in Sections 6.5 and 10.4,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together with all Coupons, if any, appertaining thereto maturing after the date fixed for redemption,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u w:val="single" w:color="auto"/>
          <w:color w:val="auto"/>
        </w:rPr>
        <w:t>provided</w:t>
      </w:r>
      <w:r>
        <w:rPr>
          <w:rFonts w:ascii="Arial" w:cs="Arial" w:eastAsia="Arial" w:hAnsi="Arial"/>
          <w:sz w:val="16"/>
          <w:szCs w:val="16"/>
          <w:color w:val="auto"/>
        </w:rPr>
        <w:t>, that payment of interest becoming due on or prior to the date fixed for redemption shall be payable in the case of Securities with Coupons attached thereto, to the Holders of the Coupons for such interest upon surrender thereof, and in the case of Registered Securities, to the Holder of such Registered Securities registered as such on the relevant record date, subject to the terms and provisions of Section 2.3 and 2.7 hereof.</w:t>
      </w:r>
    </w:p>
    <w:p>
      <w:pPr>
        <w:spacing w:after="0" w:line="11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2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If any Security with Coupons attached thereto is surrendered for redemption and is not accompanied by all appurtenant Coupons maturing after the date fixed for redemption, the surrender of such missing Coupon or Coupons may be waived by the Issuer and the Trustee, if there be furnished to each of them such security or indemnity as they may require to save each of them harmless.</w:t>
      </w:r>
    </w:p>
    <w:p>
      <w:pPr>
        <w:spacing w:after="0" w:line="12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95" w:name="page96"/>
    <w:bookmarkEnd w:id="95"/>
    <w:p>
      <w:pPr>
        <w:ind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12.4 - EXCLUSION OF CERTAIN SECURITIES FROM ELIGIBILITY FOR SELECTION FOR REDEMPTION. </w:t>
      </w:r>
      <w:r>
        <w:rPr>
          <w:rFonts w:ascii="Arial" w:cs="Arial" w:eastAsia="Arial" w:hAnsi="Arial"/>
          <w:sz w:val="18"/>
          <w:szCs w:val="18"/>
          <w:color w:val="auto"/>
        </w:rPr>
        <w:t>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excluded from eligibility for selection for redemption if they are identified by registration and certificate number in an Officer’s Certificate delivered to the Trustee at least 25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25"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SECTION 12.5 - MANDATORY AND OPTIONAL SINKING FUNDS. </w:t>
      </w:r>
      <w:r>
        <w:rPr>
          <w:rFonts w:ascii="Arial" w:cs="Arial" w:eastAsia="Arial" w:hAnsi="Arial"/>
          <w:sz w:val="18"/>
          <w:szCs w:val="18"/>
          <w:color w:val="auto"/>
        </w:rPr>
        <w:t>The minimum amount of any sinking fund payment provided for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Securities of any series is herein referred to as a “</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u w:val="single" w:color="auto"/>
          <w:color w:val="auto"/>
        </w:rPr>
        <w:t>sinking fund payment date</w:t>
      </w:r>
      <w:r>
        <w:rPr>
          <w:rFonts w:ascii="Arial" w:cs="Arial" w:eastAsia="Arial" w:hAnsi="Arial"/>
          <w:sz w:val="18"/>
          <w:szCs w:val="18"/>
          <w:color w:val="auto"/>
        </w:rPr>
        <w: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right="80" w:firstLine="8"/>
        <w:spacing w:after="0" w:line="290" w:lineRule="auto"/>
        <w:tabs>
          <w:tab w:leader="none" w:pos="239"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0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or before the 45th day next preceding each sinking fund payment date for any series, the Issuer will deliver to the Trustee an Officer’s Certificate (which need not contain the statements required by Section 11.5)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96" w:name="page97"/>
    <w:bookmarkEnd w:id="9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or payments therein referred to, if any, on or before the next succeeding sinking fund payment date. Failure of the Issuer, on or before any such 45th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29"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the equivalent thereof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12.2 (and with the effect provided in Section 12.3)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18"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97" w:name="page98"/>
    <w:bookmarkEnd w:id="97"/>
    <w:p>
      <w:pPr>
        <w:ind w:firstLine="913"/>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giving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Five and held for the payment of all such Securities. In case such Event of Default shall have been waived as provided in Section 5.10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parties hereto have caused this Indenture to be duly executed and attested as of the date first written above.</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H. R</w:t>
      </w:r>
      <w:r>
        <w:rPr>
          <w:rFonts w:ascii="Arial" w:cs="Arial" w:eastAsia="Arial" w:hAnsi="Arial"/>
          <w:sz w:val="13"/>
          <w:szCs w:val="13"/>
          <w:color w:val="auto"/>
        </w:rPr>
        <w:t>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H. Rubinstein</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P. L</w:t>
      </w:r>
      <w:r>
        <w:rPr>
          <w:rFonts w:ascii="Arial" w:cs="Arial" w:eastAsia="Arial" w:hAnsi="Arial"/>
          <w:sz w:val="13"/>
          <w:szCs w:val="13"/>
          <w:color w:val="auto"/>
        </w:rPr>
        <w:t>ESLIE</w:t>
      </w:r>
      <w:r>
        <w:rPr>
          <w:rFonts w:ascii="Arial" w:cs="Arial" w:eastAsia="Arial" w:hAnsi="Arial"/>
          <w:sz w:val="16"/>
          <w:szCs w:val="16"/>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80010</wp:posOffset>
            </wp:positionV>
            <wp:extent cx="24872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Frank P. Leslie III</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4.5</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WYNN RESORTS, LIMITED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left="1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-13970</wp:posOffset>
            </wp:positionV>
            <wp:extent cx="10312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31240" cy="8890"/>
                    </a:xfrm>
                    <a:prstGeom prst="rect">
                      <a:avLst/>
                    </a:prstGeom>
                    <a:noFill/>
                  </pic:spPr>
                </pic:pic>
              </a:graphicData>
            </a:graphic>
          </wp:anchor>
        </w:drawing>
      </w:r>
    </w:p>
    <w:p>
      <w:pPr>
        <w:jc w:val="center"/>
        <w:ind w:right="1180"/>
        <w:spacing w:after="0"/>
        <w:rPr>
          <w:sz w:val="20"/>
          <w:szCs w:val="20"/>
          <w:color w:val="auto"/>
        </w:rPr>
      </w:pPr>
      <w:r>
        <w:rPr>
          <w:rFonts w:ascii="Arial" w:cs="Arial" w:eastAsia="Arial" w:hAnsi="Arial"/>
          <w:sz w:val="18"/>
          <w:szCs w:val="18"/>
          <w:color w:val="auto"/>
        </w:rPr>
        <w:t>As Depositary</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HOLDERS OF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188595</wp:posOffset>
            </wp:positionV>
            <wp:extent cx="15347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240"/>
        <w:spacing w:after="0"/>
        <w:tabs>
          <w:tab w:leader="none" w:pos="534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-13970</wp:posOffset>
            </wp:positionV>
            <wp:extent cx="10871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0" w:type="dxa"/>
            <w:vAlign w:val="bottom"/>
          </w:tcPr>
          <w:p>
            <w:pPr>
              <w:ind w:left="336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9"/>
                <w:szCs w:val="19"/>
                <w:color w:val="auto"/>
              </w:rPr>
            </w:pPr>
          </w:p>
        </w:tc>
      </w:tr>
      <w:tr>
        <w:trPr>
          <w:trHeight w:val="365"/>
        </w:trPr>
        <w:tc>
          <w:tcPr>
            <w:tcW w:w="980" w:type="dxa"/>
            <w:vAlign w:val="bottom"/>
          </w:tcPr>
          <w:p>
            <w:pPr>
              <w:spacing w:after="0"/>
              <w:rPr>
                <w:sz w:val="20"/>
                <w:szCs w:val="20"/>
                <w:color w:val="auto"/>
              </w:rPr>
            </w:pPr>
            <w:r>
              <w:rPr>
                <w:rFonts w:ascii="Arial" w:cs="Arial" w:eastAsia="Arial" w:hAnsi="Arial"/>
                <w:sz w:val="18"/>
                <w:szCs w:val="18"/>
                <w:color w:val="auto"/>
              </w:rPr>
              <w:t>ARTICLE I</w:t>
            </w:r>
          </w:p>
        </w:tc>
        <w:tc>
          <w:tcPr>
            <w:tcW w:w="480" w:type="dxa"/>
            <w:vAlign w:val="bottom"/>
          </w:tcPr>
          <w:p>
            <w:pPr>
              <w:spacing w:after="0"/>
              <w:rPr>
                <w:sz w:val="24"/>
                <w:szCs w:val="24"/>
                <w:color w:val="auto"/>
              </w:rPr>
            </w:pPr>
          </w:p>
        </w:tc>
        <w:tc>
          <w:tcPr>
            <w:tcW w:w="96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ARTICLE II</w:t>
            </w:r>
          </w:p>
        </w:tc>
        <w:tc>
          <w:tcPr>
            <w:tcW w:w="480" w:type="dxa"/>
            <w:vAlign w:val="bottom"/>
          </w:tcPr>
          <w:p>
            <w:pPr>
              <w:spacing w:after="0"/>
              <w:rPr>
                <w:sz w:val="24"/>
                <w:szCs w:val="24"/>
                <w:color w:val="auto"/>
              </w:rPr>
            </w:pPr>
          </w:p>
        </w:tc>
        <w:tc>
          <w:tcPr>
            <w:tcW w:w="9600" w:type="dxa"/>
            <w:vAlign w:val="bottom"/>
          </w:tcPr>
          <w:p>
            <w:pPr>
              <w:ind w:left="160"/>
              <w:spacing w:after="0"/>
              <w:rPr>
                <w:sz w:val="20"/>
                <w:szCs w:val="20"/>
                <w:color w:val="auto"/>
              </w:rPr>
            </w:pPr>
            <w:r>
              <w:rPr>
                <w:rFonts w:ascii="Arial" w:cs="Arial" w:eastAsia="Arial" w:hAnsi="Arial"/>
                <w:sz w:val="18"/>
                <w:szCs w:val="18"/>
                <w:color w:val="auto"/>
                <w:w w:val="96"/>
              </w:rPr>
              <w:t>FORM OF RECEIPTS, DEPOSIT OF STOCK, EXECUTION AND DELIVERY, TRANSFER, SURRENDER, REDEMPTION</w:t>
            </w:r>
          </w:p>
        </w:tc>
        <w:tc>
          <w:tcPr>
            <w:tcW w:w="360" w:type="dxa"/>
            <w:vAlign w:val="bottom"/>
          </w:tcPr>
          <w:p>
            <w:pPr>
              <w:spacing w:after="0"/>
              <w:rPr>
                <w:sz w:val="24"/>
                <w:szCs w:val="24"/>
                <w:color w:val="auto"/>
              </w:rPr>
            </w:pPr>
          </w:p>
        </w:tc>
      </w:tr>
      <w:tr>
        <w:trPr>
          <w:trHeight w:val="222"/>
        </w:trPr>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0" w:type="dxa"/>
            <w:vAlign w:val="bottom"/>
          </w:tcPr>
          <w:p>
            <w:pPr>
              <w:ind w:left="160"/>
              <w:spacing w:after="0"/>
              <w:rPr>
                <w:sz w:val="20"/>
                <w:szCs w:val="20"/>
                <w:color w:val="auto"/>
              </w:rPr>
            </w:pPr>
            <w:r>
              <w:rPr>
                <w:rFonts w:ascii="Arial" w:cs="Arial" w:eastAsia="Arial" w:hAnsi="Arial"/>
                <w:sz w:val="18"/>
                <w:szCs w:val="18"/>
                <w:color w:val="auto"/>
              </w:rPr>
              <w:t>AND CONVERSION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9600" w:type="dxa"/>
            <w:vAlign w:val="bottom"/>
          </w:tcPr>
          <w:p>
            <w:pPr>
              <w:ind w:left="380"/>
              <w:spacing w:after="0"/>
              <w:rPr>
                <w:sz w:val="20"/>
                <w:szCs w:val="20"/>
                <w:color w:val="auto"/>
              </w:rPr>
            </w:pPr>
            <w:r>
              <w:rPr>
                <w:rFonts w:ascii="Arial" w:cs="Arial" w:eastAsia="Arial" w:hAnsi="Arial"/>
                <w:sz w:val="18"/>
                <w:szCs w:val="18"/>
                <w:color w:val="auto"/>
              </w:rPr>
              <w:t>Form and Transfer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2.2</w:t>
            </w:r>
          </w:p>
        </w:tc>
        <w:tc>
          <w:tcPr>
            <w:tcW w:w="9600" w:type="dxa"/>
            <w:vAlign w:val="bottom"/>
          </w:tcPr>
          <w:p>
            <w:pPr>
              <w:ind w:left="380"/>
              <w:spacing w:after="0"/>
              <w:rPr>
                <w:sz w:val="20"/>
                <w:szCs w:val="20"/>
                <w:color w:val="auto"/>
              </w:rPr>
            </w:pPr>
            <w:r>
              <w:rPr>
                <w:rFonts w:ascii="Arial" w:cs="Arial" w:eastAsia="Arial" w:hAnsi="Arial"/>
                <w:sz w:val="18"/>
                <w:szCs w:val="18"/>
                <w:color w:val="auto"/>
              </w:rPr>
              <w:t>Temporary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2.3</w:t>
            </w:r>
          </w:p>
        </w:tc>
        <w:tc>
          <w:tcPr>
            <w:tcW w:w="9600" w:type="dxa"/>
            <w:vAlign w:val="bottom"/>
          </w:tcPr>
          <w:p>
            <w:pPr>
              <w:ind w:left="380"/>
              <w:spacing w:after="0"/>
              <w:rPr>
                <w:sz w:val="20"/>
                <w:szCs w:val="20"/>
                <w:color w:val="auto"/>
              </w:rPr>
            </w:pPr>
            <w:r>
              <w:rPr>
                <w:rFonts w:ascii="Arial" w:cs="Arial" w:eastAsia="Arial" w:hAnsi="Arial"/>
                <w:sz w:val="18"/>
                <w:szCs w:val="18"/>
                <w:color w:val="auto"/>
              </w:rPr>
              <w:t>Deposit of Stock; Execution and Delivery of Receipts in Respect Thereof</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2.4</w:t>
            </w:r>
          </w:p>
        </w:tc>
        <w:tc>
          <w:tcPr>
            <w:tcW w:w="9600" w:type="dxa"/>
            <w:vAlign w:val="bottom"/>
          </w:tcPr>
          <w:p>
            <w:pPr>
              <w:ind w:left="380"/>
              <w:spacing w:after="0"/>
              <w:rPr>
                <w:sz w:val="20"/>
                <w:szCs w:val="20"/>
                <w:color w:val="auto"/>
              </w:rPr>
            </w:pPr>
            <w:r>
              <w:rPr>
                <w:rFonts w:ascii="Arial" w:cs="Arial" w:eastAsia="Arial" w:hAnsi="Arial"/>
                <w:sz w:val="18"/>
                <w:szCs w:val="18"/>
                <w:color w:val="auto"/>
              </w:rPr>
              <w:t>Redemption and Conversion of Stock</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2.5</w:t>
            </w:r>
          </w:p>
        </w:tc>
        <w:tc>
          <w:tcPr>
            <w:tcW w:w="9600" w:type="dxa"/>
            <w:vAlign w:val="bottom"/>
          </w:tcPr>
          <w:p>
            <w:pPr>
              <w:ind w:left="380"/>
              <w:spacing w:after="0"/>
              <w:rPr>
                <w:sz w:val="20"/>
                <w:szCs w:val="20"/>
                <w:color w:val="auto"/>
              </w:rPr>
            </w:pPr>
            <w:r>
              <w:rPr>
                <w:rFonts w:ascii="Arial" w:cs="Arial" w:eastAsia="Arial" w:hAnsi="Arial"/>
                <w:sz w:val="18"/>
                <w:szCs w:val="18"/>
                <w:color w:val="auto"/>
              </w:rPr>
              <w:t>Register of Transfer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2.6</w:t>
            </w:r>
          </w:p>
        </w:tc>
        <w:tc>
          <w:tcPr>
            <w:tcW w:w="9600" w:type="dxa"/>
            <w:vAlign w:val="bottom"/>
          </w:tcPr>
          <w:p>
            <w:pPr>
              <w:ind w:left="380"/>
              <w:spacing w:after="0"/>
              <w:rPr>
                <w:sz w:val="20"/>
                <w:szCs w:val="20"/>
                <w:color w:val="auto"/>
              </w:rPr>
            </w:pPr>
            <w:r>
              <w:rPr>
                <w:rFonts w:ascii="Arial" w:cs="Arial" w:eastAsia="Arial" w:hAnsi="Arial"/>
                <w:sz w:val="18"/>
                <w:szCs w:val="18"/>
                <w:color w:val="auto"/>
              </w:rPr>
              <w:t>Combination and Split-ups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2.7</w:t>
            </w:r>
          </w:p>
        </w:tc>
        <w:tc>
          <w:tcPr>
            <w:tcW w:w="9600" w:type="dxa"/>
            <w:vAlign w:val="bottom"/>
          </w:tcPr>
          <w:p>
            <w:pPr>
              <w:ind w:left="380"/>
              <w:spacing w:after="0"/>
              <w:rPr>
                <w:sz w:val="20"/>
                <w:szCs w:val="20"/>
                <w:color w:val="auto"/>
              </w:rPr>
            </w:pPr>
            <w:r>
              <w:rPr>
                <w:rFonts w:ascii="Arial" w:cs="Arial" w:eastAsia="Arial" w:hAnsi="Arial"/>
                <w:sz w:val="18"/>
                <w:szCs w:val="18"/>
                <w:color w:val="auto"/>
              </w:rPr>
              <w:t>Surrender of Receipts and Withdrawal of Stock</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2.8</w:t>
            </w:r>
          </w:p>
        </w:tc>
        <w:tc>
          <w:tcPr>
            <w:tcW w:w="9600" w:type="dxa"/>
            <w:vAlign w:val="bottom"/>
          </w:tcPr>
          <w:p>
            <w:pPr>
              <w:ind w:left="380"/>
              <w:spacing w:after="0"/>
              <w:rPr>
                <w:sz w:val="20"/>
                <w:szCs w:val="20"/>
                <w:color w:val="auto"/>
              </w:rPr>
            </w:pPr>
            <w:r>
              <w:rPr>
                <w:rFonts w:ascii="Arial" w:cs="Arial" w:eastAsia="Arial" w:hAnsi="Arial"/>
                <w:sz w:val="18"/>
                <w:szCs w:val="18"/>
                <w:color w:val="auto"/>
                <w:w w:val="90"/>
              </w:rPr>
              <w:t>Limitations on Execution and Delivery, Transfer, Split-up, Combination, Surrender and Exchange of Receipts and Withdrawal or</w:t>
            </w:r>
          </w:p>
        </w:tc>
        <w:tc>
          <w:tcPr>
            <w:tcW w:w="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0" w:type="dxa"/>
            <w:vAlign w:val="bottom"/>
          </w:tcPr>
          <w:p>
            <w:pPr>
              <w:ind w:left="380"/>
              <w:spacing w:after="0"/>
              <w:rPr>
                <w:sz w:val="20"/>
                <w:szCs w:val="20"/>
                <w:color w:val="auto"/>
              </w:rPr>
            </w:pPr>
            <w:r>
              <w:rPr>
                <w:rFonts w:ascii="Arial" w:cs="Arial" w:eastAsia="Arial" w:hAnsi="Arial"/>
                <w:sz w:val="18"/>
                <w:szCs w:val="18"/>
                <w:color w:val="auto"/>
              </w:rPr>
              <w:t>Deposit of Stock</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2.9</w:t>
            </w:r>
          </w:p>
        </w:tc>
        <w:tc>
          <w:tcPr>
            <w:tcW w:w="9600" w:type="dxa"/>
            <w:vAlign w:val="bottom"/>
          </w:tcPr>
          <w:p>
            <w:pPr>
              <w:ind w:left="380"/>
              <w:spacing w:after="0"/>
              <w:rPr>
                <w:sz w:val="20"/>
                <w:szCs w:val="20"/>
                <w:color w:val="auto"/>
              </w:rPr>
            </w:pPr>
            <w:r>
              <w:rPr>
                <w:rFonts w:ascii="Arial" w:cs="Arial" w:eastAsia="Arial" w:hAnsi="Arial"/>
                <w:sz w:val="18"/>
                <w:szCs w:val="18"/>
                <w:color w:val="auto"/>
              </w:rPr>
              <w:t>Lost Receipts, etc.</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2.10</w:t>
            </w:r>
          </w:p>
        </w:tc>
        <w:tc>
          <w:tcPr>
            <w:tcW w:w="9600" w:type="dxa"/>
            <w:vAlign w:val="bottom"/>
          </w:tcPr>
          <w:p>
            <w:pPr>
              <w:ind w:left="380"/>
              <w:spacing w:after="0"/>
              <w:rPr>
                <w:sz w:val="20"/>
                <w:szCs w:val="20"/>
                <w:color w:val="auto"/>
              </w:rPr>
            </w:pPr>
            <w:r>
              <w:rPr>
                <w:rFonts w:ascii="Arial" w:cs="Arial" w:eastAsia="Arial" w:hAnsi="Arial"/>
                <w:sz w:val="18"/>
                <w:szCs w:val="18"/>
                <w:color w:val="auto"/>
              </w:rPr>
              <w:t>Cancellation and Destruction of Surrendered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w w:val="97"/>
              </w:rPr>
              <w:t>ARTICLE III</w:t>
            </w:r>
          </w:p>
        </w:tc>
        <w:tc>
          <w:tcPr>
            <w:tcW w:w="480" w:type="dxa"/>
            <w:vAlign w:val="bottom"/>
          </w:tcPr>
          <w:p>
            <w:pPr>
              <w:spacing w:after="0"/>
              <w:rPr>
                <w:sz w:val="24"/>
                <w:szCs w:val="24"/>
                <w:color w:val="auto"/>
              </w:rPr>
            </w:pPr>
          </w:p>
        </w:tc>
        <w:tc>
          <w:tcPr>
            <w:tcW w:w="9600" w:type="dxa"/>
            <w:vAlign w:val="bottom"/>
          </w:tcPr>
          <w:p>
            <w:pPr>
              <w:ind w:left="160"/>
              <w:spacing w:after="0"/>
              <w:rPr>
                <w:sz w:val="20"/>
                <w:szCs w:val="20"/>
                <w:color w:val="auto"/>
              </w:rPr>
            </w:pPr>
            <w:r>
              <w:rPr>
                <w:rFonts w:ascii="Arial" w:cs="Arial" w:eastAsia="Arial" w:hAnsi="Arial"/>
                <w:sz w:val="18"/>
                <w:szCs w:val="18"/>
                <w:color w:val="auto"/>
              </w:rPr>
              <w:t>CERTAIN OBLIGATIONS OF HOLDERS OF RECEIPTS AND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3.1</w:t>
            </w:r>
          </w:p>
        </w:tc>
        <w:tc>
          <w:tcPr>
            <w:tcW w:w="9600" w:type="dxa"/>
            <w:vAlign w:val="bottom"/>
          </w:tcPr>
          <w:p>
            <w:pPr>
              <w:ind w:left="380"/>
              <w:spacing w:after="0"/>
              <w:rPr>
                <w:sz w:val="20"/>
                <w:szCs w:val="20"/>
                <w:color w:val="auto"/>
              </w:rPr>
            </w:pPr>
            <w:r>
              <w:rPr>
                <w:rFonts w:ascii="Arial" w:cs="Arial" w:eastAsia="Arial" w:hAnsi="Arial"/>
                <w:sz w:val="18"/>
                <w:szCs w:val="18"/>
                <w:color w:val="auto"/>
              </w:rPr>
              <w:t>Filing Proofs, Certificates and Other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9600" w:type="dxa"/>
            <w:vAlign w:val="bottom"/>
          </w:tcPr>
          <w:p>
            <w:pPr>
              <w:ind w:left="380"/>
              <w:spacing w:after="0"/>
              <w:rPr>
                <w:sz w:val="20"/>
                <w:szCs w:val="20"/>
                <w:color w:val="auto"/>
              </w:rPr>
            </w:pPr>
            <w:r>
              <w:rPr>
                <w:rFonts w:ascii="Arial" w:cs="Arial" w:eastAsia="Arial" w:hAnsi="Arial"/>
                <w:sz w:val="18"/>
                <w:szCs w:val="18"/>
                <w:color w:val="auto"/>
              </w:rPr>
              <w:t>Payment of Taxes or Other Governmental Charges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3.3</w:t>
            </w:r>
          </w:p>
        </w:tc>
        <w:tc>
          <w:tcPr>
            <w:tcW w:w="9600" w:type="dxa"/>
            <w:vAlign w:val="bottom"/>
          </w:tcPr>
          <w:p>
            <w:pPr>
              <w:ind w:left="380"/>
              <w:spacing w:after="0"/>
              <w:rPr>
                <w:sz w:val="20"/>
                <w:szCs w:val="20"/>
                <w:color w:val="auto"/>
              </w:rPr>
            </w:pPr>
            <w:r>
              <w:rPr>
                <w:rFonts w:ascii="Arial" w:cs="Arial" w:eastAsia="Arial" w:hAnsi="Arial"/>
                <w:sz w:val="18"/>
                <w:szCs w:val="18"/>
                <w:color w:val="auto"/>
              </w:rPr>
              <w:t>Withholding</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3.4</w:t>
            </w:r>
          </w:p>
        </w:tc>
        <w:tc>
          <w:tcPr>
            <w:tcW w:w="9600" w:type="dxa"/>
            <w:vAlign w:val="bottom"/>
          </w:tcPr>
          <w:p>
            <w:pPr>
              <w:ind w:left="380"/>
              <w:spacing w:after="0"/>
              <w:rPr>
                <w:sz w:val="20"/>
                <w:szCs w:val="20"/>
                <w:color w:val="auto"/>
              </w:rPr>
            </w:pPr>
            <w:r>
              <w:rPr>
                <w:rFonts w:ascii="Arial" w:cs="Arial" w:eastAsia="Arial" w:hAnsi="Arial"/>
                <w:sz w:val="18"/>
                <w:szCs w:val="18"/>
                <w:color w:val="auto"/>
              </w:rPr>
              <w:t>Representations and Warranties as to Stock</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w w:val="95"/>
              </w:rPr>
              <w:t>ARTICLE IV</w:t>
            </w:r>
          </w:p>
        </w:tc>
        <w:tc>
          <w:tcPr>
            <w:tcW w:w="480" w:type="dxa"/>
            <w:vAlign w:val="bottom"/>
          </w:tcPr>
          <w:p>
            <w:pPr>
              <w:spacing w:after="0"/>
              <w:rPr>
                <w:sz w:val="24"/>
                <w:szCs w:val="24"/>
                <w:color w:val="auto"/>
              </w:rPr>
            </w:pPr>
          </w:p>
        </w:tc>
        <w:tc>
          <w:tcPr>
            <w:tcW w:w="9600" w:type="dxa"/>
            <w:vAlign w:val="bottom"/>
          </w:tcPr>
          <w:p>
            <w:pPr>
              <w:ind w:left="160"/>
              <w:spacing w:after="0"/>
              <w:rPr>
                <w:sz w:val="20"/>
                <w:szCs w:val="20"/>
                <w:color w:val="auto"/>
              </w:rPr>
            </w:pPr>
            <w:r>
              <w:rPr>
                <w:rFonts w:ascii="Arial" w:cs="Arial" w:eastAsia="Arial" w:hAnsi="Arial"/>
                <w:sz w:val="18"/>
                <w:szCs w:val="18"/>
                <w:color w:val="auto"/>
              </w:rPr>
              <w:t>THE STOCK, NOTICES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4.1</w:t>
            </w:r>
          </w:p>
        </w:tc>
        <w:tc>
          <w:tcPr>
            <w:tcW w:w="9600" w:type="dxa"/>
            <w:vAlign w:val="bottom"/>
          </w:tcPr>
          <w:p>
            <w:pPr>
              <w:ind w:left="380"/>
              <w:spacing w:after="0"/>
              <w:rPr>
                <w:sz w:val="20"/>
                <w:szCs w:val="20"/>
                <w:color w:val="auto"/>
              </w:rPr>
            </w:pPr>
            <w:r>
              <w:rPr>
                <w:rFonts w:ascii="Arial" w:cs="Arial" w:eastAsia="Arial" w:hAnsi="Arial"/>
                <w:sz w:val="18"/>
                <w:szCs w:val="18"/>
                <w:color w:val="auto"/>
              </w:rPr>
              <w:t>Cash Distributions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4.2</w:t>
            </w:r>
          </w:p>
        </w:tc>
        <w:tc>
          <w:tcPr>
            <w:tcW w:w="9600" w:type="dxa"/>
            <w:vAlign w:val="bottom"/>
          </w:tcPr>
          <w:p>
            <w:pPr>
              <w:ind w:left="380"/>
              <w:spacing w:after="0"/>
              <w:rPr>
                <w:sz w:val="20"/>
                <w:szCs w:val="20"/>
                <w:color w:val="auto"/>
              </w:rPr>
            </w:pPr>
            <w:r>
              <w:rPr>
                <w:rFonts w:ascii="Arial" w:cs="Arial" w:eastAsia="Arial" w:hAnsi="Arial"/>
                <w:sz w:val="18"/>
                <w:szCs w:val="18"/>
                <w:color w:val="auto"/>
              </w:rPr>
              <w:t>Distributions Other Than Cash</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4.3</w:t>
            </w:r>
          </w:p>
        </w:tc>
        <w:tc>
          <w:tcPr>
            <w:tcW w:w="9600" w:type="dxa"/>
            <w:vAlign w:val="bottom"/>
          </w:tcPr>
          <w:p>
            <w:pPr>
              <w:ind w:left="380"/>
              <w:spacing w:after="0"/>
              <w:rPr>
                <w:sz w:val="20"/>
                <w:szCs w:val="20"/>
                <w:color w:val="auto"/>
              </w:rPr>
            </w:pPr>
            <w:r>
              <w:rPr>
                <w:rFonts w:ascii="Arial" w:cs="Arial" w:eastAsia="Arial" w:hAnsi="Arial"/>
                <w:sz w:val="18"/>
                <w:szCs w:val="18"/>
                <w:color w:val="auto"/>
              </w:rPr>
              <w:t>Subscription Rights, Preferences or Privileges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4.4</w:t>
            </w:r>
          </w:p>
        </w:tc>
        <w:tc>
          <w:tcPr>
            <w:tcW w:w="9600" w:type="dxa"/>
            <w:vAlign w:val="bottom"/>
          </w:tcPr>
          <w:p>
            <w:pPr>
              <w:ind w:left="380"/>
              <w:spacing w:after="0"/>
              <w:rPr>
                <w:sz w:val="20"/>
                <w:szCs w:val="20"/>
                <w:color w:val="auto"/>
              </w:rPr>
            </w:pPr>
            <w:r>
              <w:rPr>
                <w:rFonts w:ascii="Arial" w:cs="Arial" w:eastAsia="Arial" w:hAnsi="Arial"/>
                <w:sz w:val="18"/>
                <w:szCs w:val="18"/>
                <w:color w:val="auto"/>
              </w:rPr>
              <w:t>Notice of Dividends, Fixing of Record Date for Holders of Receipts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4.5</w:t>
            </w:r>
          </w:p>
        </w:tc>
        <w:tc>
          <w:tcPr>
            <w:tcW w:w="9600" w:type="dxa"/>
            <w:vAlign w:val="bottom"/>
          </w:tcPr>
          <w:p>
            <w:pPr>
              <w:ind w:left="380"/>
              <w:spacing w:after="0"/>
              <w:rPr>
                <w:sz w:val="20"/>
                <w:szCs w:val="20"/>
                <w:color w:val="auto"/>
              </w:rPr>
            </w:pPr>
            <w:r>
              <w:rPr>
                <w:rFonts w:ascii="Arial" w:cs="Arial" w:eastAsia="Arial" w:hAnsi="Arial"/>
                <w:sz w:val="18"/>
                <w:szCs w:val="18"/>
                <w:color w:val="auto"/>
              </w:rPr>
              <w:t>Voting Rights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4.6</w:t>
            </w:r>
          </w:p>
        </w:tc>
        <w:tc>
          <w:tcPr>
            <w:tcW w:w="9600" w:type="dxa"/>
            <w:vAlign w:val="bottom"/>
          </w:tcPr>
          <w:p>
            <w:pPr>
              <w:ind w:left="380"/>
              <w:spacing w:after="0"/>
              <w:rPr>
                <w:sz w:val="20"/>
                <w:szCs w:val="20"/>
                <w:color w:val="auto"/>
              </w:rPr>
            </w:pPr>
            <w:r>
              <w:rPr>
                <w:rFonts w:ascii="Arial" w:cs="Arial" w:eastAsia="Arial" w:hAnsi="Arial"/>
                <w:sz w:val="18"/>
                <w:szCs w:val="18"/>
                <w:color w:val="auto"/>
              </w:rPr>
              <w:t>Changes Affecting Stock and Reclassifications, Recapitalizations, etc.</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4.7</w:t>
            </w:r>
          </w:p>
        </w:tc>
        <w:tc>
          <w:tcPr>
            <w:tcW w:w="9600" w:type="dxa"/>
            <w:vAlign w:val="bottom"/>
          </w:tcPr>
          <w:p>
            <w:pPr>
              <w:ind w:left="380"/>
              <w:spacing w:after="0"/>
              <w:rPr>
                <w:sz w:val="20"/>
                <w:szCs w:val="20"/>
                <w:color w:val="auto"/>
              </w:rPr>
            </w:pPr>
            <w:r>
              <w:rPr>
                <w:rFonts w:ascii="Arial" w:cs="Arial" w:eastAsia="Arial" w:hAnsi="Arial"/>
                <w:sz w:val="18"/>
                <w:szCs w:val="18"/>
                <w:color w:val="auto"/>
              </w:rPr>
              <w:t>Reports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480" w:type="dxa"/>
            <w:vAlign w:val="bottom"/>
          </w:tcPr>
          <w:p>
            <w:pPr>
              <w:ind w:left="40"/>
              <w:spacing w:after="0"/>
              <w:rPr>
                <w:sz w:val="20"/>
                <w:szCs w:val="20"/>
                <w:color w:val="auto"/>
              </w:rPr>
            </w:pPr>
            <w:r>
              <w:rPr>
                <w:rFonts w:ascii="Arial" w:cs="Arial" w:eastAsia="Arial" w:hAnsi="Arial"/>
                <w:sz w:val="18"/>
                <w:szCs w:val="18"/>
                <w:color w:val="auto"/>
              </w:rPr>
              <w:t>4.8</w:t>
            </w:r>
          </w:p>
        </w:tc>
        <w:tc>
          <w:tcPr>
            <w:tcW w:w="9600" w:type="dxa"/>
            <w:vAlign w:val="bottom"/>
          </w:tcPr>
          <w:p>
            <w:pPr>
              <w:ind w:left="380"/>
              <w:spacing w:after="0"/>
              <w:rPr>
                <w:sz w:val="20"/>
                <w:szCs w:val="20"/>
                <w:color w:val="auto"/>
              </w:rPr>
            </w:pPr>
            <w:r>
              <w:rPr>
                <w:rFonts w:ascii="Arial" w:cs="Arial" w:eastAsia="Arial" w:hAnsi="Arial"/>
                <w:sz w:val="18"/>
                <w:szCs w:val="18"/>
                <w:color w:val="auto"/>
              </w:rPr>
              <w:t>Lists of Receipt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2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auto"/>
              </w:rPr>
              <w:t>ARTICLE V</w:t>
            </w:r>
          </w:p>
        </w:tc>
        <w:tc>
          <w:tcPr>
            <w:tcW w:w="8940" w:type="dxa"/>
            <w:vAlign w:val="bottom"/>
          </w:tcPr>
          <w:p>
            <w:pPr>
              <w:ind w:left="260"/>
              <w:spacing w:after="0"/>
              <w:rPr>
                <w:sz w:val="20"/>
                <w:szCs w:val="20"/>
                <w:color w:val="auto"/>
              </w:rPr>
            </w:pPr>
            <w:r>
              <w:rPr>
                <w:rFonts w:ascii="Arial" w:cs="Arial" w:eastAsia="Arial" w:hAnsi="Arial"/>
                <w:sz w:val="18"/>
                <w:szCs w:val="18"/>
                <w:color w:val="auto"/>
              </w:rPr>
              <w:t>THE DEPOSITARY, THE DEPOSITARY’S AGENTS, THE REGISTRAR AND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48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8940" w:type="dxa"/>
            <w:vAlign w:val="bottom"/>
          </w:tcPr>
          <w:p>
            <w:pPr>
              <w:ind w:left="480"/>
              <w:spacing w:after="0"/>
              <w:rPr>
                <w:sz w:val="20"/>
                <w:szCs w:val="20"/>
                <w:color w:val="auto"/>
              </w:rPr>
            </w:pPr>
            <w:r>
              <w:rPr>
                <w:rFonts w:ascii="Arial" w:cs="Arial" w:eastAsia="Arial" w:hAnsi="Arial"/>
                <w:sz w:val="18"/>
                <w:szCs w:val="18"/>
                <w:color w:val="auto"/>
              </w:rPr>
              <w:t>Maintenance of Offices, Agencies, Transfer Books by the Depositary; the Registrar</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8940" w:type="dxa"/>
            <w:vAlign w:val="bottom"/>
          </w:tcPr>
          <w:p>
            <w:pPr>
              <w:ind w:left="480"/>
              <w:spacing w:after="0"/>
              <w:rPr>
                <w:sz w:val="20"/>
                <w:szCs w:val="20"/>
                <w:color w:val="auto"/>
              </w:rPr>
            </w:pPr>
            <w:r>
              <w:rPr>
                <w:rFonts w:ascii="Arial" w:cs="Arial" w:eastAsia="Arial" w:hAnsi="Arial"/>
                <w:sz w:val="18"/>
                <w:szCs w:val="18"/>
                <w:color w:val="auto"/>
                <w:w w:val="96"/>
              </w:rPr>
              <w:t>Prevention or Delay in Performance by the Depositary, the Depositary’s Agents, the Registrar or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8940" w:type="dxa"/>
            <w:vAlign w:val="bottom"/>
          </w:tcPr>
          <w:p>
            <w:pPr>
              <w:ind w:left="480"/>
              <w:spacing w:after="0"/>
              <w:rPr>
                <w:sz w:val="20"/>
                <w:szCs w:val="20"/>
                <w:color w:val="auto"/>
              </w:rPr>
            </w:pPr>
            <w:r>
              <w:rPr>
                <w:rFonts w:ascii="Arial" w:cs="Arial" w:eastAsia="Arial" w:hAnsi="Arial"/>
                <w:sz w:val="18"/>
                <w:szCs w:val="18"/>
                <w:color w:val="auto"/>
              </w:rPr>
              <w:t>Obligations of the Depositary, the Depositary’s Agents, the Registrar and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8940" w:type="dxa"/>
            <w:vAlign w:val="bottom"/>
          </w:tcPr>
          <w:p>
            <w:pPr>
              <w:ind w:left="48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8940" w:type="dxa"/>
            <w:vAlign w:val="bottom"/>
          </w:tcPr>
          <w:p>
            <w:pPr>
              <w:ind w:left="480"/>
              <w:spacing w:after="0"/>
              <w:rPr>
                <w:sz w:val="20"/>
                <w:szCs w:val="20"/>
                <w:color w:val="auto"/>
              </w:rPr>
            </w:pPr>
            <w:r>
              <w:rPr>
                <w:rFonts w:ascii="Arial" w:cs="Arial" w:eastAsia="Arial" w:hAnsi="Arial"/>
                <w:sz w:val="18"/>
                <w:szCs w:val="18"/>
                <w:color w:val="auto"/>
              </w:rPr>
              <w:t>Corporate Notices and Reports</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8940" w:type="dxa"/>
            <w:vAlign w:val="bottom"/>
          </w:tcPr>
          <w:p>
            <w:pPr>
              <w:ind w:left="480"/>
              <w:spacing w:after="0"/>
              <w:rPr>
                <w:sz w:val="20"/>
                <w:szCs w:val="20"/>
                <w:color w:val="auto"/>
              </w:rPr>
            </w:pPr>
            <w:r>
              <w:rPr>
                <w:rFonts w:ascii="Arial" w:cs="Arial" w:eastAsia="Arial" w:hAnsi="Arial"/>
                <w:sz w:val="18"/>
                <w:szCs w:val="18"/>
                <w:color w:val="auto"/>
              </w:rPr>
              <w:t>Deposit of Stock by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8940" w:type="dxa"/>
            <w:vAlign w:val="bottom"/>
          </w:tcPr>
          <w:p>
            <w:pPr>
              <w:ind w:left="480"/>
              <w:spacing w:after="0"/>
              <w:rPr>
                <w:sz w:val="20"/>
                <w:szCs w:val="20"/>
                <w:color w:val="auto"/>
              </w:rPr>
            </w:pPr>
            <w:r>
              <w:rPr>
                <w:rFonts w:ascii="Arial" w:cs="Arial" w:eastAsia="Arial" w:hAnsi="Arial"/>
                <w:sz w:val="18"/>
                <w:szCs w:val="18"/>
                <w:color w:val="auto"/>
              </w:rPr>
              <w:t>Indemnification by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48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8940" w:type="dxa"/>
            <w:vAlign w:val="bottom"/>
          </w:tcPr>
          <w:p>
            <w:pPr>
              <w:ind w:left="480"/>
              <w:spacing w:after="0"/>
              <w:rPr>
                <w:sz w:val="20"/>
                <w:szCs w:val="20"/>
                <w:color w:val="auto"/>
              </w:rPr>
            </w:pPr>
            <w:r>
              <w:rPr>
                <w:rFonts w:ascii="Arial" w:cs="Arial" w:eastAsia="Arial" w:hAnsi="Arial"/>
                <w:sz w:val="18"/>
                <w:szCs w:val="18"/>
                <w:color w:val="auto"/>
              </w:rPr>
              <w:t>Fees, Charges and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VI</w:t>
            </w:r>
          </w:p>
        </w:tc>
        <w:tc>
          <w:tcPr>
            <w:tcW w:w="8940" w:type="dxa"/>
            <w:vAlign w:val="bottom"/>
          </w:tcPr>
          <w:p>
            <w:pPr>
              <w:ind w:left="260"/>
              <w:spacing w:after="0"/>
              <w:rPr>
                <w:sz w:val="20"/>
                <w:szCs w:val="20"/>
                <w:color w:val="auto"/>
              </w:rPr>
            </w:pPr>
            <w:r>
              <w:rPr>
                <w:rFonts w:ascii="Arial" w:cs="Arial" w:eastAsia="Arial" w:hAnsi="Arial"/>
                <w:sz w:val="18"/>
                <w:szCs w:val="18"/>
                <w:color w:val="auto"/>
              </w:rPr>
              <w:t>AMENDMENT AND TERMINATION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48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8940" w:type="dxa"/>
            <w:vAlign w:val="bottom"/>
          </w:tcPr>
          <w:p>
            <w:pPr>
              <w:ind w:left="480"/>
              <w:spacing w:after="0"/>
              <w:rPr>
                <w:sz w:val="20"/>
                <w:szCs w:val="20"/>
                <w:color w:val="auto"/>
              </w:rPr>
            </w:pPr>
            <w:r>
              <w:rPr>
                <w:rFonts w:ascii="Arial" w:cs="Arial" w:eastAsia="Arial" w:hAnsi="Arial"/>
                <w:sz w:val="18"/>
                <w:szCs w:val="18"/>
                <w:color w:val="auto"/>
              </w:rPr>
              <w:t>Amendment</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48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8940" w:type="dxa"/>
            <w:vAlign w:val="bottom"/>
          </w:tcPr>
          <w:p>
            <w:pPr>
              <w:ind w:left="480"/>
              <w:spacing w:after="0"/>
              <w:rPr>
                <w:sz w:val="20"/>
                <w:szCs w:val="20"/>
                <w:color w:val="auto"/>
              </w:rPr>
            </w:pPr>
            <w:r>
              <w:rPr>
                <w:rFonts w:ascii="Arial" w:cs="Arial" w:eastAsia="Arial" w:hAnsi="Arial"/>
                <w:sz w:val="18"/>
                <w:szCs w:val="18"/>
                <w:color w:val="auto"/>
              </w:rPr>
              <w:t>Termination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VII</w:t>
            </w:r>
          </w:p>
        </w:tc>
        <w:tc>
          <w:tcPr>
            <w:tcW w:w="894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48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894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8940" w:type="dxa"/>
            <w:vAlign w:val="bottom"/>
          </w:tcPr>
          <w:p>
            <w:pPr>
              <w:ind w:left="480"/>
              <w:spacing w:after="0"/>
              <w:rPr>
                <w:sz w:val="20"/>
                <w:szCs w:val="20"/>
                <w:color w:val="auto"/>
              </w:rPr>
            </w:pPr>
            <w:r>
              <w:rPr>
                <w:rFonts w:ascii="Arial" w:cs="Arial" w:eastAsia="Arial" w:hAnsi="Arial"/>
                <w:sz w:val="18"/>
                <w:szCs w:val="18"/>
                <w:color w:val="auto"/>
              </w:rPr>
              <w:t>Exclusive Benefits of Parties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8940" w:type="dxa"/>
            <w:vAlign w:val="bottom"/>
          </w:tcPr>
          <w:p>
            <w:pPr>
              <w:ind w:left="480"/>
              <w:spacing w:after="0"/>
              <w:rPr>
                <w:sz w:val="20"/>
                <w:szCs w:val="20"/>
                <w:color w:val="auto"/>
              </w:rPr>
            </w:pPr>
            <w:r>
              <w:rPr>
                <w:rFonts w:ascii="Arial" w:cs="Arial" w:eastAsia="Arial" w:hAnsi="Arial"/>
                <w:sz w:val="18"/>
                <w:szCs w:val="18"/>
                <w:color w:val="auto"/>
              </w:rPr>
              <w:t>Invalidity of Provisions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8940" w:type="dxa"/>
            <w:vAlign w:val="bottom"/>
          </w:tcPr>
          <w:p>
            <w:pPr>
              <w:ind w:left="480"/>
              <w:spacing w:after="0"/>
              <w:rPr>
                <w:sz w:val="20"/>
                <w:szCs w:val="20"/>
                <w:color w:val="auto"/>
              </w:rPr>
            </w:pPr>
            <w:r>
              <w:rPr>
                <w:rFonts w:ascii="Arial" w:cs="Arial" w:eastAsia="Arial" w:hAnsi="Arial"/>
                <w:sz w:val="18"/>
                <w:szCs w:val="18"/>
                <w:color w:val="auto"/>
              </w:rPr>
              <w:t>Notices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7.5</w:t>
            </w:r>
          </w:p>
        </w:tc>
        <w:tc>
          <w:tcPr>
            <w:tcW w:w="8940" w:type="dxa"/>
            <w:vAlign w:val="bottom"/>
          </w:tcPr>
          <w:p>
            <w:pPr>
              <w:ind w:left="480"/>
              <w:spacing w:after="0"/>
              <w:rPr>
                <w:sz w:val="20"/>
                <w:szCs w:val="20"/>
                <w:color w:val="auto"/>
              </w:rPr>
            </w:pPr>
            <w:r>
              <w:rPr>
                <w:rFonts w:ascii="Arial" w:cs="Arial" w:eastAsia="Arial" w:hAnsi="Arial"/>
                <w:sz w:val="18"/>
                <w:szCs w:val="18"/>
                <w:color w:val="auto"/>
              </w:rPr>
              <w:t>Depositary’s Agents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7.6</w:t>
            </w:r>
          </w:p>
        </w:tc>
        <w:tc>
          <w:tcPr>
            <w:tcW w:w="8940" w:type="dxa"/>
            <w:vAlign w:val="bottom"/>
          </w:tcPr>
          <w:p>
            <w:pPr>
              <w:ind w:left="480"/>
              <w:spacing w:after="0"/>
              <w:rPr>
                <w:sz w:val="20"/>
                <w:szCs w:val="20"/>
                <w:color w:val="auto"/>
              </w:rPr>
            </w:pPr>
            <w:r>
              <w:rPr>
                <w:rFonts w:ascii="Arial" w:cs="Arial" w:eastAsia="Arial" w:hAnsi="Arial"/>
                <w:sz w:val="18"/>
                <w:szCs w:val="18"/>
                <w:color w:val="auto"/>
              </w:rPr>
              <w:t>Holders of Receipts Are Parties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80" w:type="dxa"/>
            <w:vAlign w:val="bottom"/>
          </w:tcPr>
          <w:p>
            <w:pPr>
              <w:ind w:left="440"/>
              <w:spacing w:after="0"/>
              <w:rPr>
                <w:sz w:val="20"/>
                <w:szCs w:val="20"/>
                <w:color w:val="auto"/>
              </w:rPr>
            </w:pPr>
            <w:r>
              <w:rPr>
                <w:rFonts w:ascii="Arial" w:cs="Arial" w:eastAsia="Arial" w:hAnsi="Arial"/>
                <w:sz w:val="18"/>
                <w:szCs w:val="18"/>
                <w:color w:val="auto"/>
              </w:rPr>
              <w:t>Section 7.7</w:t>
            </w:r>
          </w:p>
        </w:tc>
        <w:tc>
          <w:tcPr>
            <w:tcW w:w="894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480" w:type="dxa"/>
            <w:vAlign w:val="bottom"/>
          </w:tcPr>
          <w:p>
            <w:pPr>
              <w:ind w:left="440"/>
              <w:spacing w:after="0"/>
              <w:rPr>
                <w:sz w:val="20"/>
                <w:szCs w:val="20"/>
                <w:color w:val="auto"/>
              </w:rPr>
            </w:pPr>
            <w:r>
              <w:rPr>
                <w:rFonts w:ascii="Arial" w:cs="Arial" w:eastAsia="Arial" w:hAnsi="Arial"/>
                <w:sz w:val="18"/>
                <w:szCs w:val="18"/>
                <w:color w:val="auto"/>
              </w:rPr>
              <w:t>Section 7.8</w:t>
            </w:r>
          </w:p>
        </w:tc>
        <w:tc>
          <w:tcPr>
            <w:tcW w:w="8940" w:type="dxa"/>
            <w:vAlign w:val="bottom"/>
          </w:tcPr>
          <w:p>
            <w:pPr>
              <w:ind w:left="480"/>
              <w:spacing w:after="0"/>
              <w:rPr>
                <w:sz w:val="20"/>
                <w:szCs w:val="20"/>
                <w:color w:val="auto"/>
              </w:rPr>
            </w:pPr>
            <w:r>
              <w:rPr>
                <w:rFonts w:ascii="Arial" w:cs="Arial" w:eastAsia="Arial" w:hAnsi="Arial"/>
                <w:sz w:val="18"/>
                <w:szCs w:val="18"/>
                <w:color w:val="auto"/>
              </w:rPr>
              <w:t>Headings</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EXHIBIT A</w:t>
            </w:r>
          </w:p>
        </w:tc>
        <w:tc>
          <w:tcPr>
            <w:tcW w:w="8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65"/>
        </w:trPr>
        <w:tc>
          <w:tcPr>
            <w:tcW w:w="1480" w:type="dxa"/>
            <w:vAlign w:val="bottom"/>
          </w:tcPr>
          <w:p>
            <w:pPr>
              <w:spacing w:after="0"/>
              <w:rPr>
                <w:sz w:val="24"/>
                <w:szCs w:val="24"/>
                <w:color w:val="auto"/>
              </w:rPr>
            </w:pPr>
          </w:p>
        </w:tc>
        <w:tc>
          <w:tcPr>
            <w:tcW w:w="8940" w:type="dxa"/>
            <w:vAlign w:val="bottom"/>
          </w:tcPr>
          <w:p>
            <w:pPr>
              <w:ind w:left="4180"/>
              <w:spacing w:after="0"/>
              <w:rPr>
                <w:sz w:val="20"/>
                <w:szCs w:val="20"/>
                <w:color w:val="auto"/>
              </w:rPr>
            </w:pPr>
            <w:r>
              <w:rPr>
                <w:rFonts w:ascii="Arial" w:cs="Arial" w:eastAsia="Arial" w:hAnsi="Arial"/>
                <w:sz w:val="18"/>
                <w:szCs w:val="18"/>
                <w:color w:val="auto"/>
              </w:rPr>
              <w:t>ii</w:t>
            </w: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1" w:name="page102"/>
    <w:bookmarkEnd w:id="101"/>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 AGREEMENT</w:t>
      </w:r>
    </w:p>
    <w:p>
      <w:pPr>
        <w:sectPr>
          <w:pgSz w:w="11900" w:h="16838" w:orient="portrait"/>
          <w:cols w:equalWidth="0" w:num="1">
            <w:col w:w="11380"/>
          </w:cols>
          <w:pgMar w:left="240" w:top="280" w:right="279" w:bottom="1440" w:gutter="0" w:footer="0" w:header="0"/>
        </w:sectPr>
      </w:pPr>
    </w:p>
    <w:p>
      <w:pPr>
        <w:spacing w:after="0" w:line="181" w:lineRule="exact"/>
        <w:rPr>
          <w:sz w:val="20"/>
          <w:szCs w:val="20"/>
          <w:color w:val="auto"/>
        </w:rPr>
      </w:pPr>
    </w:p>
    <w:p>
      <w:pPr>
        <w:ind w:left="920"/>
        <w:spacing w:after="0"/>
        <w:tabs>
          <w:tab w:leader="none" w:pos="4900" w:val="left"/>
          <w:tab w:leader="none" w:pos="5340" w:val="left"/>
        </w:tabs>
        <w:rPr>
          <w:sz w:val="20"/>
          <w:szCs w:val="20"/>
          <w:color w:val="auto"/>
        </w:rPr>
      </w:pPr>
      <w:r>
        <w:rPr>
          <w:rFonts w:ascii="Arial" w:cs="Arial" w:eastAsia="Arial" w:hAnsi="Arial"/>
          <w:sz w:val="18"/>
          <w:szCs w:val="18"/>
          <w:color w:val="auto"/>
        </w:rPr>
        <w:t>DEPOSIT AGREEMENT,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among Wynn Resorts, Limited, a Nevada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-13970</wp:posOffset>
            </wp:positionV>
            <wp:extent cx="1087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14605</wp:posOffset>
            </wp:positionV>
            <wp:extent cx="1247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9800" w:space="720"/>
            <w:col w:w="860"/>
          </w:cols>
          <w:pgMar w:left="240" w:top="280" w:right="279" w:bottom="1440" w:gutter="0" w:footer="0" w:header="0"/>
          <w:type w:val="continuous"/>
        </w:sectPr>
      </w:pPr>
    </w:p>
    <w:p>
      <w:pPr>
        <w:spacing w:after="0"/>
        <w:rPr>
          <w:sz w:val="20"/>
          <w:szCs w:val="20"/>
          <w:color w:val="auto"/>
        </w:rPr>
      </w:pPr>
      <w:r>
        <w:rPr>
          <w:rFonts w:ascii="Arial" w:cs="Arial" w:eastAsia="Arial" w:hAnsi="Arial"/>
          <w:sz w:val="18"/>
          <w:szCs w:val="18"/>
          <w:color w:val="auto"/>
        </w:rPr>
        <w:t>banking corporation, as Depositary, and all holders from time to time of Receipts issued hereunder.</w:t>
      </w:r>
    </w:p>
    <w:p>
      <w:pPr>
        <w:spacing w:after="0" w:line="1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WHEREAS, the Company desires to provide as hereinafter set forth in this Deposit Agreement, for the deposit of shares of Stock with the Depositary, as agent for the beneficial owners of the Stock, for the purposes set forth in this Deposit Agreement and for the issuance hereunder of the Receipts evidencing Depositary Shares representing an interest in the Stock so deposited; and</w:t>
      </w:r>
    </w:p>
    <w:p>
      <w:pPr>
        <w:spacing w:after="0" w:line="127"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WHEREAS, the Receipts are to be substantially in the form annexed as Exhibit A to this Deposit Agreement, with appropriate insertions, modifications and omissions, as hereinafter provided in this Deposit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contained herein, it is agreed by and among the parties hereto as follows: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definitions shall apply to the respective terms (in the singular and plural forms of such terms) used in this Deposit Agreement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Receipts:</w:t>
      </w:r>
    </w:p>
    <w:p>
      <w:pPr>
        <w:spacing w:after="0" w:line="7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shall mean the Second Amended and Restated Articles of Incorporation, as amended and restated from time to time, of the Company.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shall mean the Certificate of Designation establishing and setting forth the rights, preferences, privileges and limitations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Stock.</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Company’s common stock, par value $.01 per share.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Wynn Resorts, Limited, a Nevada corporation, and its successors.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3"/>
          </w:tcPr>
          <w:p>
            <w:pPr>
              <w:ind w:left="920"/>
              <w:spacing w:after="0"/>
              <w:rPr>
                <w:sz w:val="20"/>
                <w:szCs w:val="20"/>
                <w:color w:val="auto"/>
              </w:rPr>
            </w:pPr>
            <w:r>
              <w:rPr>
                <w:rFonts w:ascii="Arial" w:cs="Arial" w:eastAsia="Arial" w:hAnsi="Arial"/>
                <w:sz w:val="18"/>
                <w:szCs w:val="18"/>
                <w:color w:val="auto"/>
                <w:w w:val="91"/>
              </w:rPr>
              <w:t>“Corporate Office” shall mean the office of the Depositary in</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3960" w:type="dxa"/>
            <w:vAlign w:val="bottom"/>
            <w:gridSpan w:val="3"/>
          </w:tcPr>
          <w:p>
            <w:pPr>
              <w:jc w:val="right"/>
              <w:spacing w:after="0"/>
              <w:rPr>
                <w:sz w:val="20"/>
                <w:szCs w:val="20"/>
                <w:color w:val="auto"/>
              </w:rPr>
            </w:pPr>
            <w:r>
              <w:rPr>
                <w:rFonts w:ascii="Arial" w:cs="Arial" w:eastAsia="Arial" w:hAnsi="Arial"/>
                <w:sz w:val="18"/>
                <w:szCs w:val="18"/>
                <w:color w:val="auto"/>
                <w:w w:val="89"/>
              </w:rPr>
              <w:t>at which at any particular time its business in respect of</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800" w:type="dxa"/>
            <w:vAlign w:val="bottom"/>
            <w:gridSpan w:val="7"/>
          </w:tcPr>
          <w:p>
            <w:pPr>
              <w:spacing w:after="0" w:line="196" w:lineRule="exact"/>
              <w:rPr>
                <w:sz w:val="20"/>
                <w:szCs w:val="20"/>
                <w:color w:val="auto"/>
              </w:rPr>
            </w:pPr>
            <w:r>
              <w:rPr>
                <w:rFonts w:ascii="Arial" w:cs="Arial" w:eastAsia="Arial" w:hAnsi="Arial"/>
                <w:sz w:val="18"/>
                <w:szCs w:val="18"/>
                <w:color w:val="auto"/>
                <w:w w:val="88"/>
              </w:rPr>
              <w:t>matters governed by this Deposit Agreement shall be administered, which at the date of this Deposit Agreement is located at</w:t>
            </w:r>
          </w:p>
        </w:tc>
        <w:tc>
          <w:tcPr>
            <w:tcW w:w="1220" w:type="dxa"/>
            <w:vAlign w:val="bottom"/>
            <w:tcBorders>
              <w:bottom w:val="single" w:sz="8" w:color="auto"/>
            </w:tcBorders>
          </w:tcPr>
          <w:p>
            <w:pPr>
              <w:spacing w:after="0"/>
              <w:rPr>
                <w:sz w:val="17"/>
                <w:szCs w:val="17"/>
                <w:color w:val="auto"/>
              </w:rPr>
            </w:pPr>
          </w:p>
        </w:tc>
        <w:tc>
          <w:tcPr>
            <w:tcW w:w="1040" w:type="dxa"/>
            <w:vAlign w:val="bottom"/>
          </w:tcPr>
          <w:p>
            <w:pPr>
              <w:jc w:val="right"/>
              <w:ind w:right="892"/>
              <w:spacing w:after="0" w:line="196" w:lineRule="exact"/>
              <w:rPr>
                <w:sz w:val="20"/>
                <w:szCs w:val="20"/>
                <w:color w:val="auto"/>
              </w:rPr>
            </w:pPr>
            <w:r>
              <w:rPr>
                <w:rFonts w:ascii="Arial" w:cs="Arial" w:eastAsia="Arial" w:hAnsi="Arial"/>
                <w:sz w:val="18"/>
                <w:szCs w:val="18"/>
                <w:color w:val="auto"/>
                <w:w w:val="78"/>
              </w:rPr>
              <w:t>.</w:t>
            </w: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agreement, as the same may be amended, modified or supplemented from time to time.</w:t>
      </w:r>
    </w:p>
    <w:p>
      <w:pPr>
        <w:sectPr>
          <w:pgSz w:w="11900" w:h="16838" w:orient="portrait"/>
          <w:cols w:equalWidth="0" w:num="1">
            <w:col w:w="11380"/>
          </w:cols>
          <w:pgMar w:left="240" w:top="280" w:right="279" w:bottom="1440" w:gutter="0" w:footer="0" w:header="0"/>
          <w:type w:val="continuous"/>
        </w:sectPr>
      </w:pPr>
    </w:p>
    <w:bookmarkStart w:id="102" w:name="page103"/>
    <w:bookmarkEnd w:id="102"/>
    <w:p>
      <w:pPr>
        <w:ind w:left="920"/>
        <w:spacing w:after="0"/>
        <w:tabs>
          <w:tab w:leader="none" w:pos="4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w:t>
      </w:r>
      <w:r>
        <w:rPr>
          <w:sz w:val="20"/>
          <w:szCs w:val="20"/>
          <w:color w:val="auto"/>
        </w:rPr>
        <w:tab/>
      </w:r>
      <w:r>
        <w:rPr>
          <w:rFonts w:ascii="Arial" w:cs="Arial" w:eastAsia="Arial" w:hAnsi="Arial"/>
          <w:sz w:val="15"/>
          <w:szCs w:val="15"/>
          <w:color w:val="auto"/>
        </w:rPr>
        <w:t>, as Depositary hereunder, and any successor as Depositary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-13970</wp:posOffset>
            </wp:positionV>
            <wp:extent cx="11150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Depositary Share</w:t>
      </w:r>
      <w:r>
        <w:rPr>
          <w:rFonts w:ascii="Arial" w:cs="Arial" w:eastAsia="Arial" w:hAnsi="Arial"/>
          <w:sz w:val="16"/>
          <w:szCs w:val="16"/>
          <w:color w:val="auto"/>
        </w:rPr>
        <w:t>” shall mean the rights evidenced by the Receipts executed and delivered hereunder, including the interests in Stock granted to</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holders of Receipts pursuant to the terms and conditions of the Deposit Agreement. Each Depositary Share shall represent an interest in of a share of Stock deposited with the Depositary hereunder and the same proportionate interest in any and all other property received by the Depositary in respect of such share of Stock and held under this Deposit Agreement. Subject to the terms of this Deposit Agreement, each record holder of a Receipt evidencing a Depositary Share or Shares is entitled, proportionately, to all the rights, preferences and privileges of the Stock represented by such Depositary Share or Shares, including the dividend, voting and liquidation rights contained in the Certificate of Designation, and to the benefits of all obligations and duties of the Company in respect of the Stock under the Certificate of Designation and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6073140</wp:posOffset>
            </wp:positionH>
            <wp:positionV relativeFrom="paragraph">
              <wp:posOffset>-733425</wp:posOffset>
            </wp:positionV>
            <wp:extent cx="557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Depositary’s Agent</w:t>
      </w:r>
      <w:r>
        <w:rPr>
          <w:rFonts w:ascii="Arial" w:cs="Arial" w:eastAsia="Arial" w:hAnsi="Arial"/>
          <w:sz w:val="18"/>
          <w:szCs w:val="18"/>
          <w:color w:val="auto"/>
        </w:rPr>
        <w:t>” shall mean an agent appointed by the Depositary as provided, and for the purposes specified, in Section 7.5.</w:t>
      </w:r>
    </w:p>
    <w:p>
      <w:pPr>
        <w:spacing w:after="0" w:line="158"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York Office</w:t>
      </w:r>
      <w:r>
        <w:rPr>
          <w:rFonts w:ascii="Arial" w:cs="Arial" w:eastAsia="Arial" w:hAnsi="Arial"/>
          <w:sz w:val="16"/>
          <w:szCs w:val="16"/>
          <w:color w:val="auto"/>
        </w:rPr>
        <w:t>” shall mean the facility maintained by the Depositary in the Borough of Manhattan, The City of New York, for accepting, executing and delivering Receipts and other instruments prior to processing such instruments at the Corporate Office, which facility at the date of this Deposit</w:t>
      </w:r>
    </w:p>
    <w:p>
      <w:pPr>
        <w:spacing w:after="0"/>
        <w:tabs>
          <w:tab w:leader="none" w:pos="2920" w:val="left"/>
        </w:tabs>
        <w:rPr>
          <w:sz w:val="20"/>
          <w:szCs w:val="20"/>
          <w:color w:val="auto"/>
        </w:rPr>
      </w:pPr>
      <w:r>
        <w:rPr>
          <w:rFonts w:ascii="Arial" w:cs="Arial" w:eastAsia="Arial" w:hAnsi="Arial"/>
          <w:sz w:val="18"/>
          <w:szCs w:val="18"/>
          <w:color w:val="auto"/>
        </w:rPr>
        <w:t>Agreement is 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-17780</wp:posOffset>
            </wp:positionV>
            <wp:extent cx="7804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Receipt</w:t>
      </w:r>
      <w:r>
        <w:rPr>
          <w:rFonts w:ascii="Arial" w:cs="Arial" w:eastAsia="Arial" w:hAnsi="Arial"/>
          <w:sz w:val="16"/>
          <w:szCs w:val="16"/>
          <w:color w:val="auto"/>
        </w:rPr>
        <w:t>” shall mean a Depositary Receipt executed and delivered hereunder, in substantially the form of Exhibit A hereto, evidencing a Depositary Share or Depositary Shares, as the same may be amended from time to time in accordance with the provisions hereof.</w:t>
      </w:r>
    </w:p>
    <w:p>
      <w:pPr>
        <w:spacing w:after="0" w:line="7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holder</w:t>
      </w:r>
      <w:r>
        <w:rPr>
          <w:rFonts w:ascii="Arial" w:cs="Arial" w:eastAsia="Arial" w:hAnsi="Arial"/>
          <w:sz w:val="18"/>
          <w:szCs w:val="18"/>
          <w:color w:val="auto"/>
        </w:rPr>
        <w:t>” or “</w:t>
      </w:r>
      <w:r>
        <w:rPr>
          <w:rFonts w:ascii="Arial" w:cs="Arial" w:eastAsia="Arial" w:hAnsi="Arial"/>
          <w:sz w:val="18"/>
          <w:szCs w:val="18"/>
          <w:u w:val="single" w:color="auto"/>
          <w:color w:val="auto"/>
        </w:rPr>
        <w:t>holder</w:t>
      </w:r>
      <w:r>
        <w:rPr>
          <w:rFonts w:ascii="Arial" w:cs="Arial" w:eastAsia="Arial" w:hAnsi="Arial"/>
          <w:sz w:val="18"/>
          <w:szCs w:val="18"/>
          <w:color w:val="auto"/>
        </w:rPr>
        <w:t>” as applied to a Receipt shall mean the person in whose name a Receipt is registered on the books maintained by or on behalf of the Depositary for such purpose.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any bank or trust company appointed to register ownership and transfers of Receipts as herein provided.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58" w:lineRule="exact"/>
        <w:rPr>
          <w:sz w:val="20"/>
          <w:szCs w:val="20"/>
          <w:color w:val="auto"/>
        </w:rPr>
      </w:pPr>
    </w:p>
    <w:p>
      <w:pPr>
        <w:ind w:left="920"/>
        <w:spacing w:after="0"/>
        <w:tabs>
          <w:tab w:leader="none" w:pos="50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shall mean shares of the Company’s</w:t>
      </w:r>
      <w:r>
        <w:rPr>
          <w:sz w:val="20"/>
          <w:szCs w:val="20"/>
          <w:color w:val="auto"/>
        </w:rPr>
        <w:tab/>
      </w:r>
      <w:r>
        <w:rPr>
          <w:rFonts w:ascii="Arial" w:cs="Arial" w:eastAsia="Arial" w:hAnsi="Arial"/>
          <w:sz w:val="15"/>
          <w:szCs w:val="15"/>
          <w:color w:val="auto"/>
        </w:rPr>
        <w:t>Series Preferred Stock, par value $.01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-13970</wp:posOffset>
            </wp:positionV>
            <wp:extent cx="5575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3" w:name="page104"/>
    <w:bookmarkEnd w:id="103"/>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FORM OF RECEIPTS, DEPOSIT OF STOCK,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EXECUTION AND DELIVERY, TRANSFER, SURRENDER,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CONVERSION OF RECEIPTS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and Transfer of Receipts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Receipts shall be engraved, typewritten, printed or lithographed and shall be substantially in the form set forth in Exhibit A annexed to this Deposit Agreement, with appropriate insertions, modifications and omissions, as hereinafter provided. Receipts shall be executed by the Depositary by the manual signature of a duly authorized signatory of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signature may be a facsimile if a Registrar (other than the Depositary) shall have countersigned the Receipts by manual signature of a duly authorized signatory of the Registrar. No Receipt shall be entitled to any benefits under this Deposit Agreement or be valid or obligatory for any purpose unless it shall have been executed as provided in the preceding sentence. The Depositary shall record on its books each Receipt executed as provided above and delivered as hereinafter provided. Receipts bearing the facsimile signature of anyone who was at any time a duly authorized officer of the Depositary shall bind the Depositary, notwithstanding that such officer has ceased to hold such office prior to the delivery of such Receipts.</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Receipts may be issued in denominations of any number of whole Depositary Shares. All Receipts shall be dated the date of their execution.</w:t>
      </w:r>
    </w:p>
    <w:p>
      <w:pPr>
        <w:spacing w:after="0" w:line="18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Receipts may be endorsed with or have incorporated in the text thereof such legends or recitals or changes not inconsistent with the provisions of this Deposit Agreement as may be required by the Depositary or required to comply with any applicable law or regulation or with the rules and regulations of any securities exchange upon which the Stock, the Depositary Shares or the Receipts may be listed or to conform with any usage with respect thereto, or to indicate any special limitations or restrictions to which any particular Receipts are subject by reason of the date of issuance of the Stock or otherwise.</w:t>
      </w:r>
    </w:p>
    <w:p>
      <w:pPr>
        <w:spacing w:after="0" w:line="99"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 xml:space="preserve">Title to any Receipt (and to the Depositary Shares evidenced by such Receipt) that is properly endorsed or accompanied by a properly executed instrument of transfer shall be transferable by delivery with the same effect as in the case of a negotiable instrument;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transfer of a Receipt shall be registered on the books of the Depositary as provided in Section 2.5, the Depositary may, notwithstanding any notice to the contrary, treat the record holder thereof at such time as the absolute owner thereof for the purpose of determining the person entitled to distributions of dividends or other distributions or to any notice provided for in this Deposit Agreement and for all other purposes.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4" w:name="page105"/>
    <w:bookmarkEnd w:id="10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2.2 </w:t>
      </w:r>
      <w:r>
        <w:rPr>
          <w:rFonts w:ascii="Arial" w:cs="Arial" w:eastAsia="Arial" w:hAnsi="Arial"/>
          <w:sz w:val="18"/>
          <w:szCs w:val="18"/>
          <w:u w:val="single" w:color="auto"/>
          <w:color w:val="auto"/>
        </w:rPr>
        <w:t>Temporary Receipts</w:t>
      </w:r>
      <w:r>
        <w:rPr>
          <w:rFonts w:ascii="Arial" w:cs="Arial" w:eastAsia="Arial" w:hAnsi="Arial"/>
          <w:sz w:val="18"/>
          <w:szCs w:val="18"/>
          <w:color w:val="auto"/>
        </w:rPr>
        <w:t>.</w:t>
      </w:r>
    </w:p>
    <w:p>
      <w:pPr>
        <w:spacing w:after="0" w:line="158"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Pending the preparation of definitive Receipts, the Depositary may, upon written order of the Company, issue temporary Receipts substantially identical to (and entitling the holders thereof to all the rights pertaining to) the definitive Receipts but not in definitive form. Definitive Receipts will be prepared thereafter without unreasonable delay, and such temporary Receipts will be exchangeable for definitive Receipts at the Company’s expense.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Deposit of Stock; Execution and Delivery of Receipts in Respect Thereof</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54" w:lineRule="auto"/>
        <w:rPr>
          <w:sz w:val="20"/>
          <w:szCs w:val="20"/>
          <w:color w:val="auto"/>
        </w:rPr>
      </w:pPr>
      <w:r>
        <w:rPr>
          <w:rFonts w:ascii="Arial" w:cs="Arial" w:eastAsia="Arial" w:hAnsi="Arial"/>
          <w:sz w:val="18"/>
          <w:szCs w:val="18"/>
          <w:color w:val="auto"/>
        </w:rPr>
        <w:t>Subject to the terms and conditions of this Deposit Agreement, the Company or any holder of Stock may deposit such Stock under this Deposit Agreement by delivery to the Depositary of a certificate or certificates for the Stock to be deposited, properly endorsed or accompanied, if required by the Depositary, by a properly executed instrument of transfer in form satisfactory to the Depositary, together with (a) all such certifications as may be required by the Depositary in accordance with the provisions of this Deposit Agreement and (b) a written order of the Company or such holder, as the case may be, directing the Depositary to execute and deliver to or upon the written order of the person or persons stated in such order a Receipt or Receipts for the number of Depositary Shares representing such deposited Stock.</w:t>
      </w:r>
    </w:p>
    <w:p>
      <w:pPr>
        <w:spacing w:after="0" w:line="13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Upon receipt by the Depositary of a certificate or certificates for Stock to be deposited hereunder, together with the other documents specified above, the Depositary shall, as soon as transfer and registration can be accomplished, present such certificate or certificates to the registrar and transfer agent of the Stock for transfer and registration in the name of the Depositary or its nominee of the Stock being deposited. Deposited Stock shall be held by the Depositary in an account to be established by the Depositary at the Corporate Office.</w:t>
      </w:r>
    </w:p>
    <w:p>
      <w:pPr>
        <w:spacing w:after="0" w:line="13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Upon receipt by the Depositary of a certificate or certificates for Stock to be deposited hereunder, together with the other documents specified above, the Depositary, subject to the terms and conditions of this Deposit Agreement, shall execute and deliver, to or upon the order of the person or persons named in the written order delivered to the Depositary referred to in the first paragraph of this Section 2.3, a Receipt or Receipts for the number of whole Depositary Shares representing the Stock so deposited and registered in such name or names as may be requested by such person or persons. The Depositary shall execute and deliver such Receipt or Receipts at the New York Office, except that, at the request, risk and expense of any person requesting such delivery and for the account of such person, such delivery may be made at such other place as may be designated by such person. In each case, delivery will be made only upon payment by such person to the Depositary of all taxes and other governmental charges and any fees payable in connection with such deposit and the transfer of the deposited Stock.</w:t>
      </w:r>
    </w:p>
    <w:p>
      <w:pPr>
        <w:spacing w:after="0" w:line="10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Company shall deliver to the Depositary from time to time such quantities of Receipts as the Depositary may request to enable the Depositary to perform its obligations under this Deposit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5" w:name="page106"/>
    <w:bookmarkEnd w:id="10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Redemption and Conversion of Stock</w:t>
      </w:r>
      <w:r>
        <w:rPr>
          <w:rFonts w:ascii="Arial" w:cs="Arial" w:eastAsia="Arial" w:hAnsi="Arial"/>
          <w:sz w:val="18"/>
          <w:szCs w:val="18"/>
          <w:color w:val="auto"/>
        </w:rPr>
        <w:t>.</w:t>
      </w:r>
      <w:r>
        <w:rPr>
          <w:rFonts w:ascii="Arial" w:cs="Arial" w:eastAsia="Arial" w:hAnsi="Arial"/>
          <w:sz w:val="22"/>
          <w:szCs w:val="22"/>
          <w:color w:val="auto"/>
          <w:vertAlign w:val="superscript"/>
        </w:rPr>
        <w:t>1</w:t>
      </w:r>
    </w:p>
    <w:p>
      <w:pPr>
        <w:spacing w:after="0" w:line="112"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Whenever the Company shall elect to redeem or be required to convert shares of Stock into shares of Common Stock in accordance with the Certificate of Designation, it shall (unless otherwise agreed in writing with the Depositary) give the Depositary in its capacity as Depositary not less than 5 business days’ prior notice of the proposed date of the mailing of a notice of redemption or conversion of Stock and the simultaneous redemption or conversion of the Depositary Shares representing the Stock to be redeemed or converted and of the number of such shares of Stock held by the Depositary to be redeemed or converted. The Depositary shall, as directed by the Company in writing, mail, first class postage prepaid, notice of the redemption or conversion of Stock and the proposed simultaneous redemption or conversion of the Depositary Shares representing the Stock to be redeemed or converted, not less than 30 and not more than 60 days prior to the date fixed for redemption or conversion of such Stock and Depositary Shares, to the record holders of the Receipts evidencing the Depositary Shares to be so redeemed or converted, at the addresses of such holders as the same appear on the records of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effectiveness of a Merger or Consolidation (as defined in the Certificate of Designation) makes it impracticable to provide at least 30 days’ notice, the Depositary shall provide such notice as soon as practicable prior to such effectiveness. Any such notice shall also be published in the same manner as notices of redemption or conversion of Stock are required to be published pursuant to the Certificate of Designation. Notwithstanding the foregoing, neither failure to mail or publish any such notice to one or more such holders nor any defect in any notice shall affect the sufficiency of the proceedings for redemption or conversion. The Company shall provide the Depositary with such notice, and each such notice shall state: (i) the redemption or conversion date; (ii) the number of Depositary Shares to be redeemed or converted; (iii) if fewer than all the Depositary Shares held by any holder are to be redeemed, the number of such Depositary Shares held by such holder to be so redeemed; (iv) in the case of a call for redemption, the call price payable upon redemption and the Current Market Price (as defined in the Certificate of Designation) to be used to calculate the number of shares of Common Stock deliverable upon redemption; (v) whether the Company is exercising any option to deliver shares of Common Stock in lieu of any cash consideration pursuant to the Certificate of Designation and the Current Market Price to be used to calculate the number of such shares; (vi) the place or places where Receipts evidencing Depositary Shares to be redeemed or converted are to be surrendered for redemption or conversion; (vii) whether the Company is depositing with a bank or trust company on or before the redemption or conversion date, the shares of Common Stock and cash, if any, payable by the Company and the proposed date of such deposit; (viii) the amount of accrued and unpaid dividends payable per share of Stock to be redeemed or converted to and including such redemption or conversion date, as the case may be; and (ix) that dividends in respect of the Stock represented by the Depositary Shares to be redeemed or converted will cease to accrue on such redemption or conversion date (unless the Company shall default in delivering shares of Common Stock and cash, if any, at the time and place specified in such notice). On the date of any such redemption or conversion,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46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0" w:lineRule="exact"/>
        <w:rPr>
          <w:sz w:val="20"/>
          <w:szCs w:val="20"/>
          <w:color w:val="auto"/>
        </w:rPr>
      </w:pPr>
    </w:p>
    <w:p>
      <w:pPr>
        <w:ind w:left="5680" w:right="4000" w:hanging="5672"/>
        <w:spacing w:after="0" w:line="387" w:lineRule="auto"/>
        <w:tabs>
          <w:tab w:leader="none" w:pos="464"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This section to be modified to discuss specific redemption or conversion terms of the Stock, if any. 5</w:t>
      </w:r>
    </w:p>
    <w:p>
      <w:pPr>
        <w:sectPr>
          <w:pgSz w:w="11900" w:h="16838" w:orient="portrait"/>
          <w:cols w:equalWidth="0" w:num="1">
            <w:col w:w="11400"/>
          </w:cols>
          <w:pgMar w:left="240" w:top="280" w:right="259" w:bottom="1440" w:gutter="0" w:footer="0" w:header="0"/>
        </w:sectPr>
      </w:pPr>
    </w:p>
    <w:bookmarkStart w:id="106" w:name="page107"/>
    <w:bookmarkEnd w:id="10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Depositary shall surrender the certificate or certificates held by the Depositary evidencing the number of shares of Stock to be redeemed or converted in the manner specified in the notice of redemption or conversion of Stock provided by the Company pursuant to the Certificate of Designation. The Depositary shall, thereafter, redeem or convert the number of Depositary Shares representing such redeemed or converted Stock upon the surrender of Receipts evidencing such Depositary Shares in the manner provided in the notice sent to record holders of Receipts;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Depositary shall have received, upon surrendering such certificate or certificates as aforesaid, a sufficient number of shares of Common Stock to convert or redeem such number of Depositary Shares (including, in the event that the Company elects pursuant to the Certificate of Designation to exercise any option to deliver shares of Common Stock in lieu of any cash consideration payable on the Effective Date (as defined in the Certificate of Designation) of any Merger or Consolidation, a number of shares of Common Stock equal to such cash consideration (as determined in the manner set forth in the Certificate of Designation)), plus any accrued and unpaid dividends payable with respect thereto to and including the date of any such redemption or conversion and any other cash consideration payable on the Effective Date of a Merger or Consolidation (other than any dividends or other cash consideration payable on the Effective Date of a Merger or Consolidation that the Company has elected to pay in shares of Common Stock pursuant to the Certificate of Designation) as instructed and calculated by the Company. In case fewer than all the outstanding Depositary Shares are to be redeemed, the Depositary Shares to be redeemed shall be selected by the Depositary by lot or on a pro rata basis.</w:t>
      </w:r>
    </w:p>
    <w:p>
      <w:pPr>
        <w:spacing w:after="0" w:line="111"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Notice having been mailed by the Depositary as aforesaid, from and after the redemption or conversion date (unless the Company shall have failed to redeem or convert the shares of Stock to be redeemed or converted by it upon the surrender of the certificate or certificates therefor by the Depositary as described in the preceding paragraph), the Depositary Shares called for redemption or subject to conversion shall be deemed no longer to be outstanding and all rights of the holders of Receipts evidencing such Depositary Shares (except the right to receive the shares of Common Stock and cash, if any, payable upon redemption or conversion upon surrender of such Receipts) shall, to the extent of such Depositary Shares, cease and terminate. Upon surrender in accordance with said notice of the Receipts evidencing such Depositary Shares (properly endorsed or assigned for transfer, if the Depositary shall so require), such Depositary Shares shall be</w:t>
      </w:r>
    </w:p>
    <w:tbl>
      <w:tblPr>
        <w:tblLayout w:type="fixed"/>
        <w:tblInd w:w="0" w:type="dxa"/>
        <w:tblCellMar>
          <w:top w:w="0" w:type="dxa"/>
          <w:left w:w="0" w:type="dxa"/>
          <w:bottom w:w="0" w:type="dxa"/>
          <w:right w:w="0" w:type="dxa"/>
        </w:tblCellMar>
      </w:tblPr>
      <w:tr>
        <w:trPr>
          <w:trHeight w:val="178"/>
        </w:trPr>
        <w:tc>
          <w:tcPr>
            <w:tcW w:w="5240" w:type="dxa"/>
            <w:vAlign w:val="bottom"/>
            <w:gridSpan w:val="3"/>
          </w:tcPr>
          <w:p>
            <w:pPr>
              <w:spacing w:after="0" w:line="178" w:lineRule="exact"/>
              <w:rPr>
                <w:sz w:val="20"/>
                <w:szCs w:val="20"/>
                <w:color w:val="auto"/>
              </w:rPr>
            </w:pPr>
            <w:r>
              <w:rPr>
                <w:rFonts w:ascii="Arial" w:cs="Arial" w:eastAsia="Arial" w:hAnsi="Arial"/>
                <w:sz w:val="18"/>
                <w:szCs w:val="18"/>
                <w:color w:val="auto"/>
                <w:w w:val="87"/>
              </w:rPr>
              <w:t>converted into or redeemed for shares of Common Stock at a rate equal to</w:t>
            </w:r>
          </w:p>
        </w:tc>
        <w:tc>
          <w:tcPr>
            <w:tcW w:w="880" w:type="dxa"/>
            <w:vAlign w:val="bottom"/>
            <w:tcBorders>
              <w:bottom w:val="single" w:sz="8" w:color="auto"/>
            </w:tcBorders>
          </w:tcPr>
          <w:p>
            <w:pPr>
              <w:spacing w:after="0"/>
              <w:rPr>
                <w:sz w:val="15"/>
                <w:szCs w:val="15"/>
                <w:color w:val="auto"/>
              </w:rPr>
            </w:pPr>
          </w:p>
        </w:tc>
        <w:tc>
          <w:tcPr>
            <w:tcW w:w="4940" w:type="dxa"/>
            <w:vAlign w:val="bottom"/>
          </w:tcPr>
          <w:p>
            <w:pPr>
              <w:ind w:left="40"/>
              <w:spacing w:after="0" w:line="178" w:lineRule="exact"/>
              <w:rPr>
                <w:sz w:val="20"/>
                <w:szCs w:val="20"/>
                <w:color w:val="auto"/>
              </w:rPr>
            </w:pPr>
            <w:r>
              <w:rPr>
                <w:rFonts w:ascii="Arial" w:cs="Arial" w:eastAsia="Arial" w:hAnsi="Arial"/>
                <w:sz w:val="18"/>
                <w:szCs w:val="18"/>
                <w:color w:val="auto"/>
                <w:w w:val="88"/>
              </w:rPr>
              <w:t>of the number of shares of Common Stock delivered, and the holders</w:t>
            </w:r>
          </w:p>
        </w:tc>
      </w:tr>
      <w:tr>
        <w:trPr>
          <w:trHeight w:val="196"/>
        </w:trPr>
        <w:tc>
          <w:tcPr>
            <w:tcW w:w="1880" w:type="dxa"/>
            <w:vAlign w:val="bottom"/>
          </w:tcPr>
          <w:p>
            <w:pPr>
              <w:spacing w:after="0" w:line="196" w:lineRule="exact"/>
              <w:rPr>
                <w:sz w:val="20"/>
                <w:szCs w:val="20"/>
                <w:color w:val="auto"/>
              </w:rPr>
            </w:pPr>
            <w:r>
              <w:rPr>
                <w:rFonts w:ascii="Arial" w:cs="Arial" w:eastAsia="Arial" w:hAnsi="Arial"/>
                <w:sz w:val="18"/>
                <w:szCs w:val="18"/>
                <w:color w:val="auto"/>
                <w:w w:val="90"/>
              </w:rPr>
              <w:t>thereof shall be entitled to</w:t>
            </w:r>
          </w:p>
        </w:tc>
        <w:tc>
          <w:tcPr>
            <w:tcW w:w="880" w:type="dxa"/>
            <w:vAlign w:val="bottom"/>
            <w:tcBorders>
              <w:bottom w:val="single" w:sz="8" w:color="auto"/>
            </w:tcBorders>
          </w:tcPr>
          <w:p>
            <w:pPr>
              <w:spacing w:after="0"/>
              <w:rPr>
                <w:sz w:val="17"/>
                <w:szCs w:val="17"/>
                <w:color w:val="auto"/>
              </w:rPr>
            </w:pPr>
          </w:p>
        </w:tc>
        <w:tc>
          <w:tcPr>
            <w:tcW w:w="83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8"/>
              </w:rPr>
              <w:t>of the cash, if any, payable, in respect of the shares of Stock pursuant to the Certificate of Designation. The foregoing</w:t>
            </w:r>
          </w:p>
        </w:tc>
      </w:tr>
      <w:tr>
        <w:trPr>
          <w:trHeight w:val="235"/>
        </w:trPr>
        <w:tc>
          <w:tcPr>
            <w:tcW w:w="6120" w:type="dxa"/>
            <w:vAlign w:val="bottom"/>
            <w:gridSpan w:val="4"/>
          </w:tcPr>
          <w:p>
            <w:pPr>
              <w:spacing w:after="0"/>
              <w:rPr>
                <w:sz w:val="20"/>
                <w:szCs w:val="20"/>
                <w:color w:val="auto"/>
              </w:rPr>
            </w:pPr>
            <w:r>
              <w:rPr>
                <w:rFonts w:ascii="Arial" w:cs="Arial" w:eastAsia="Arial" w:hAnsi="Arial"/>
                <w:sz w:val="18"/>
                <w:szCs w:val="18"/>
                <w:color w:val="auto"/>
                <w:w w:val="91"/>
              </w:rPr>
              <w:t>shall be subject further to the terms and conditions of the Certificate of Designation.</w:t>
            </w:r>
          </w:p>
        </w:tc>
        <w:tc>
          <w:tcPr>
            <w:tcW w:w="4940" w:type="dxa"/>
            <w:vAlign w:val="bottom"/>
          </w:tcPr>
          <w:p>
            <w:pPr>
              <w:spacing w:after="0"/>
              <w:rPr>
                <w:sz w:val="20"/>
                <w:szCs w:val="20"/>
                <w:color w:val="auto"/>
              </w:rPr>
            </w:pPr>
          </w:p>
        </w:tc>
      </w:tr>
    </w:tbl>
    <w:p>
      <w:pPr>
        <w:spacing w:after="0" w:line="14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If fewer than all of the Depositary Shares evidenced by a Receipt are called for redemption, the Depositary will deliver to the holder of such Receipt upon its surrender to the Depositary, together with the shares of Common Stock and all accrued and unpaid dividends to and including the date fixed for redemption payable in respect of the Depositary Shares called for redemption, a new Receipt evidencing the Depositary Shares evidenced by such prior Receipt and not called for redemption.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7" w:name="page108"/>
    <w:bookmarkEnd w:id="107"/>
    <w:p>
      <w:pPr>
        <w:ind w:right="6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Depositary Shares are converted into or redeemed for shares of Common Stock and all of such shares of Common Stock cannot be distributed to the record holders of Receipts converted or called for redemption without creating fractional interests in such shares, the Depositary may, with the consent of the Company, adopt such method as it deems equitable and practicable for the purpose of effecting such distribution, including the sale (at public or private sale) of such shares of Common Stock at such place or places and upon such terms as it may deem proper, and the net proceeds of any such sale shall, subject to Sections 3.1 and 3.2, be distributed or made available for distribution to such record holders that would otherwise receive fractional interests in such shares of Common Stock.</w:t>
      </w:r>
    </w:p>
    <w:p>
      <w:pPr>
        <w:spacing w:after="0" w:line="13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Depositary shall not be required (a) to issue, transfer or exchange any Receipts for a period beginning at the opening of business 15 days next preceding any selection of Depositary Shares and Stock to be redeemed and ending at the close of business on the day of the mailing of notice of redemption of Depositary Shares or (b) to transfer or exchange for another Receipt any Receipt evidencing Depositary Shares called or being called for redemption, in whole or in part, or subject to conversion except as provided in the second preceding paragraph of this Section 2.4.</w:t>
      </w:r>
    </w:p>
    <w:p>
      <w:pPr>
        <w:spacing w:after="0" w:line="99"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Any funds deposited by the Company with the Depositary for any Depositary Shares that are not claimed after a period of two years from the date such funds are so deposited will be returned to the Company.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Register of Transfer of Receipts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Subject to the terms and conditions of this Deposit Agreement, the Depositary shall register on its books from time to time transfers of Receipts upon any surrender thereof at the Corporate Office, the New York Office or such other office as the Depositary may designate for such purpose, by the record holder in person or by a duly authorized attorney, properly endorsed or accompanied by a properly executed instrument of transfer, together with evidence of the payment of any transfer taxes as may be required by law. Upon such surrender, the Depositary shall execute a new Receipt or Receipts and deliver the same to or upon the order of the person entitled thereto evidencing the same aggregate number of Depositary Shares evidenced by the Receipt or Receipts surrendered.</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Combination and Split-ups of Receipts</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Upon surrender of a Receipt or Receipts at the Corporate Office, the New York Office or such other office as the Depositary may designate for the purpose of effecting a split-up or combination of Receipts, subject to the terms and conditions of this Deposit Agreement, the Depositary shall execute and deliver a new Receipt or Receipts in the authorized denominations requested evidencing the same aggregate number of Depositary Shares evidenced by the Receipt or Receipts surrendered;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shall not issue any Receipt evidencing a fractional Depositary Share.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8" w:name="page109"/>
    <w:bookmarkEnd w:id="10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2.7 </w:t>
      </w:r>
      <w:r>
        <w:rPr>
          <w:rFonts w:ascii="Arial" w:cs="Arial" w:eastAsia="Arial" w:hAnsi="Arial"/>
          <w:sz w:val="18"/>
          <w:szCs w:val="18"/>
          <w:u w:val="single" w:color="auto"/>
          <w:color w:val="auto"/>
        </w:rPr>
        <w:t>Surrender of Receipts and Withdrawal of Stock.</w:t>
      </w:r>
      <w:r>
        <w:rPr>
          <w:rFonts w:ascii="Arial" w:cs="Arial" w:eastAsia="Arial" w:hAnsi="Arial"/>
          <w:sz w:val="22"/>
          <w:szCs w:val="22"/>
          <w:color w:val="auto"/>
          <w:vertAlign w:val="superscript"/>
        </w:rPr>
        <w:t>2</w:t>
      </w:r>
    </w:p>
    <w:p>
      <w:pPr>
        <w:spacing w:after="0" w:line="11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Any holder of a Receipt or Receipts may withdraw any or all of the Stock (but only in whole shares of Stock) represented by the Depositary Shares evidenced by such Receipts (unless the related Depositary Shares have previously been called for redemption) and all money and other property, if any, represented by such Depositary Shares by surrendering such Receipt or Receipts at the Corporate Office, the New York Office or at such other office as the Depositary may designate for such withdrawals. After such surrender, without unreasonable delay, the Depositary shall deliver to such holder, or to the person or persons designated by such holder as hereinafter provided, the whole number of shares of Stock and all such money and other property, if any, represented by the Depositary Shares evidenced by the Receipt or Receipts so surrendered for withdrawal. If the Receipt or Receipts delivered by the holder to the Depositary in connection with such withdrawal shall evidence a number of Depositary Shares in excess of the number of whole Depositary Shares representing the whole number of shares of Stock to be withdrawn, the Depositary shall at the same time, in addition to such whole number of shares of Stock and such money and other property, if any, to be withdrawn, deliver to such holder, or (subject to Section 2.5) upon his order, a new Receipt or Receipts evidencing such excess number of whole Depositary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shall not issue any Receipt evidencing a fractional Depositary Share. Delivery of the Stock and such money and other property being withdrawn may be made by the delivery of such certificates, documents of title and other instruments as the Depositary may deem appropriate, which, if required by the Depositary, shall be properly endorsed or accompanied by proper instruments of transfer.</w:t>
      </w:r>
    </w:p>
    <w:p>
      <w:pPr>
        <w:spacing w:after="0" w:line="1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If the Stock and the money and other property being withdrawn are to be delivered to a person or persons other than the record holder of the Receipt or Receipts being surrendered for withdrawal of Stock, such holder shall execute and deliver to the Depositary a written order so directing the Depositary and the Depositary may require that the Receipt or Receipts surrendered by such holder for withdrawal of such shares of Stock be properly endorsed in blank or accompanied by a properly executed instrument of transfer in blank and that the signature on such instrument of transfer be guaranteed by an eligible guarantor institution (banks, stockbrokers, savings and loan associations and credit unions with membership in an approved signature guarantee medallion program) pursuant to Rule 17Ad-15 of the Securities Exchange Act of 1934, as amended.</w:t>
      </w:r>
    </w:p>
    <w:p>
      <w:pPr>
        <w:spacing w:after="0" w:line="107"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Depositary shall deliver the Stock and the money and other property, if any, represented by the Depositary Shares evidenced by Receipts surrendered for withdrawal, without unreasonable delay, at the office at which such Receipts were surrendered, except that, at the request, risk and expense of the holder surrendering such Receipt or Receipts and for the account of the holder thereof, such delivery may be made, without unreasonable delay, at such other place as may be designated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46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1" w:lineRule="exact"/>
        <w:rPr>
          <w:sz w:val="20"/>
          <w:szCs w:val="20"/>
          <w:color w:val="auto"/>
        </w:rPr>
      </w:pPr>
    </w:p>
    <w:p>
      <w:pPr>
        <w:ind w:left="5680" w:right="4440" w:hanging="5672"/>
        <w:spacing w:after="0" w:line="387" w:lineRule="auto"/>
        <w:tabs>
          <w:tab w:leader="none" w:pos="464"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This section to be modified to reflect any restrictions on withdrawal of underlying securities. 8</w:t>
      </w:r>
    </w:p>
    <w:p>
      <w:pPr>
        <w:sectPr>
          <w:pgSz w:w="11900" w:h="16838" w:orient="portrait"/>
          <w:cols w:equalWidth="0" w:num="1">
            <w:col w:w="11400"/>
          </w:cols>
          <w:pgMar w:left="240" w:top="280" w:right="259" w:bottom="1440" w:gutter="0" w:footer="0" w:header="0"/>
        </w:sectPr>
      </w:pPr>
    </w:p>
    <w:bookmarkStart w:id="109" w:name="page110"/>
    <w:bookmarkEnd w:id="10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2.8 </w:t>
      </w:r>
      <w:r>
        <w:rPr>
          <w:rFonts w:ascii="Arial" w:cs="Arial" w:eastAsia="Arial" w:hAnsi="Arial"/>
          <w:sz w:val="16"/>
          <w:szCs w:val="16"/>
          <w:u w:val="single" w:color="auto"/>
          <w:color w:val="auto"/>
        </w:rPr>
        <w:t>Limitations on Execution and Delivery, Transfer, Split-up, Combination, Surrender and Exchange of Receipts and Withdrawal or Deposit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 Stock</w:t>
      </w:r>
      <w:r>
        <w:rPr>
          <w:rFonts w:ascii="Arial" w:cs="Arial" w:eastAsia="Arial" w:hAnsi="Arial"/>
          <w:sz w:val="18"/>
          <w:szCs w:val="18"/>
          <w:color w:val="auto"/>
        </w:rPr>
        <w:t>.</w:t>
      </w:r>
    </w:p>
    <w:p>
      <w:pPr>
        <w:spacing w:after="0" w:line="151"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As a condition precedent to the execution and delivery, registration of transfer, split-up, combination, surrender or exchange of any Receipt, the delivery of any distribution thereon or the withdrawal or deposit of Stock, the Depositary, any of the Depositary’s Agents or the Company may require any or all of the following: (a) payment to it of a sum sufficient for the payment (or, in the event that the Depositary or the Company shall have made such payment, the reimbursement to it) of any tax or other governmental charge with respect thereto (including any such tax or charge with respect to the Stock being deposited or withdrawn or with respect to the Common Stock or other securities or property of the Company being issued upon conversion or redemption); (b) production of proof satisfactory to it as to the identity and genuineness of any signature; and (c) compliance with such reasonable regulations, if any, as the Depositary or the Company may establish not inconsistent with the provisions of this Deposit Agreement.</w:t>
      </w:r>
    </w:p>
    <w:p>
      <w:pPr>
        <w:spacing w:after="0" w:line="105" w:lineRule="exact"/>
        <w:rPr>
          <w:sz w:val="20"/>
          <w:szCs w:val="20"/>
          <w:color w:val="auto"/>
        </w:rPr>
      </w:pPr>
    </w:p>
    <w:p>
      <w:pPr>
        <w:ind w:firstLine="913"/>
        <w:spacing w:after="0" w:line="302" w:lineRule="auto"/>
        <w:rPr>
          <w:sz w:val="20"/>
          <w:szCs w:val="20"/>
          <w:color w:val="auto"/>
        </w:rPr>
      </w:pPr>
      <w:r>
        <w:rPr>
          <w:rFonts w:ascii="Arial" w:cs="Arial" w:eastAsia="Arial" w:hAnsi="Arial"/>
          <w:sz w:val="15"/>
          <w:szCs w:val="15"/>
          <w:color w:val="auto"/>
        </w:rPr>
        <w:t>The deposit of Stock may be refused, the delivery of Receipts against Stock or the registration of transfer, split-up, combination, surrender or exchange of outstanding Receipts and the withdrawal of deposited Stock may be suspended (a) during any period when the register of shareholders of the Company is closed, (b) if any such action is deemed necessary or advisable by the Depositary, any of the Depositary’s Agents or the Company at any time or from time to time because of any requirement of law or of any government or governmental body or commission, or under any provision of this Deposit Agreement, or</w:t>
      </w:r>
    </w:p>
    <w:p>
      <w:pPr>
        <w:spacing w:after="0" w:line="3" w:lineRule="exact"/>
        <w:rPr>
          <w:sz w:val="20"/>
          <w:szCs w:val="20"/>
          <w:color w:val="auto"/>
        </w:rPr>
      </w:pPr>
    </w:p>
    <w:p>
      <w:pPr>
        <w:ind w:right="140" w:firstLine="8"/>
        <w:spacing w:after="0" w:line="255" w:lineRule="auto"/>
        <w:tabs>
          <w:tab w:leader="none" w:pos="2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the approval of the Company, for any other reason. Without limitation of the foregoing, the Depositary shall not knowingly accept for deposit under this Deposit Agreement any shares of Stock that are required to be registered under the Securities Act unless a registration statement under the Securities Act is in effect as to such shares of Stock.</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Lost Receipts, etc</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302" w:lineRule="auto"/>
        <w:rPr>
          <w:sz w:val="20"/>
          <w:szCs w:val="20"/>
          <w:color w:val="auto"/>
        </w:rPr>
      </w:pPr>
      <w:r>
        <w:rPr>
          <w:rFonts w:ascii="Arial" w:cs="Arial" w:eastAsia="Arial" w:hAnsi="Arial"/>
          <w:sz w:val="15"/>
          <w:szCs w:val="15"/>
          <w:color w:val="auto"/>
        </w:rPr>
        <w:t xml:space="preserve">In case any Receipt shall be mutilated, destroyed, lost or stolen, the Depositary shall execute and deliver a Receipt of like form and tenor in exchange and substitution for such mutilated, destroyed, lost or stolen Receipt or in lieu of and in substitution for such destroyed, lost or stolen Receipt unless the Depositary has notice that such Receipt has been acquired by a bona fide purchaser;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holder thereof provides the Depositary with (a) evidence satisfactory to the Depositary of such destruction, loss or theft of such Receipt, of the authenticity thereof and of his ownership thereof, (b) reasonable indemnification satisfactory to the Depositary or the payment of any charges incurred by the Depositary in obtaining insurance in lieu of such indemnification and</w:t>
      </w:r>
    </w:p>
    <w:p>
      <w:pPr>
        <w:spacing w:after="0" w:line="2" w:lineRule="exact"/>
        <w:rPr>
          <w:sz w:val="20"/>
          <w:szCs w:val="20"/>
          <w:color w:val="auto"/>
        </w:rPr>
      </w:pPr>
    </w:p>
    <w:p>
      <w:pPr>
        <w:ind w:left="920" w:right="2080" w:hanging="912"/>
        <w:spacing w:after="0" w:line="419" w:lineRule="auto"/>
        <w:tabs>
          <w:tab w:leader="none" w:pos="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payment of any expense (including fees, charges and expenses of the Depositary) in connection with such execution and delivery. Section 2.10 </w:t>
      </w:r>
      <w:r>
        <w:rPr>
          <w:rFonts w:ascii="Arial" w:cs="Arial" w:eastAsia="Arial" w:hAnsi="Arial"/>
          <w:sz w:val="18"/>
          <w:szCs w:val="18"/>
          <w:u w:val="single" w:color="auto"/>
          <w:color w:val="auto"/>
        </w:rPr>
        <w:t>Cancellation and Destruction of Surrendered Receipts</w:t>
      </w:r>
      <w:r>
        <w:rPr>
          <w:rFonts w:ascii="Arial" w:cs="Arial" w:eastAsia="Arial" w:hAnsi="Arial"/>
          <w:sz w:val="18"/>
          <w:szCs w:val="18"/>
          <w:color w:val="auto"/>
        </w:rPr>
        <w:t>.</w:t>
      </w:r>
    </w:p>
    <w:p>
      <w:pPr>
        <w:ind w:right="40" w:firstLine="913"/>
        <w:spacing w:after="0" w:line="268" w:lineRule="auto"/>
        <w:rPr>
          <w:sz w:val="20"/>
          <w:szCs w:val="20"/>
          <w:color w:val="auto"/>
        </w:rPr>
      </w:pPr>
      <w:r>
        <w:rPr>
          <w:rFonts w:ascii="Arial" w:cs="Arial" w:eastAsia="Arial" w:hAnsi="Arial"/>
          <w:sz w:val="18"/>
          <w:szCs w:val="18"/>
          <w:color w:val="auto"/>
        </w:rPr>
        <w:t>All Receipts surrendered to the Depositary or any Depositary’s Agent shall be cancelled by the Depositary. Except as prohibited by applicable law or regulation, the Depositary is authorized to destroy such Receipts so cancelled.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0" w:name="page111"/>
    <w:bookmarkEnd w:id="110"/>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CERTAIN OBLIGATIONS OF HOLDERS</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OF RECEIPTS AND THE COMPANY</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Filing Proofs, Certificates and Other Information</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Any person presenting Stock for deposit or any holder of a Receipt may be required from time to time to file such proof of residence or other information, to execute such certificates and to make such representations and warranties as the Depositary or the Company may reasonably deem necessary or proper or otherwise reasonably request. The Depositary or the Company may withhold or delay the delivery of any Receipt, the registration of transfer, redemption, conversion or exchange of any Receipt, the withdrawal of the Stock represented by the Depositary Shares evidenced by any Receipt or the distribution of any dividend or other distribution or the sale of any rights or the proceeds thereof until such proof or other information is filed, such certificates are executed or such representations and warranties are made.</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Payment of Taxes or Other Governmental Charges</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If any tax or other governmental charge shall become payable by or on behalf of the Depositary with respect to (a) any Receipt, (b) the Depositary Shares evidenced by such Receipt, (c) the Stock (or fractional interest therein) or other property represented by such Depositary Shares, or (d) any transaction referred to in Section 4.6, such tax (including transfer, issuance or acquisition taxes, if any) or governmental charge shall be payable by the holder of such Receipt, who shall pay the amount thereof to the Depositary. Until such payment is made, registration of transfer of any Receipt or any split-up or combination thereof or any withdrawal of the Stock or money or other property, if any, represented by the Depositary Shares evidenced by such Receipt may be refused, any dividend or other distribution may be withheld and any part or all of the Stock or other property (including Common Stock received in connection with a conversion or redemption of Stock) represented by the Depositary Shares evidenced by such Receipt may be sold for the account of the holder thereof (after attempting by reasonable means to notify such holder prior to such sale). Any dividend or other distribution so withheld and the proceeds of any such sale may be applied to any payment of such tax or other governmental charge, the holder of such Receipt remaining liable for any deficiency.</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58" w:lineRule="exact"/>
        <w:rPr>
          <w:sz w:val="20"/>
          <w:szCs w:val="20"/>
          <w:color w:val="auto"/>
        </w:rPr>
      </w:pPr>
    </w:p>
    <w:p>
      <w:pPr>
        <w:jc w:val="both"/>
        <w:ind w:right="60" w:firstLine="913"/>
        <w:spacing w:after="0" w:line="298" w:lineRule="auto"/>
        <w:rPr>
          <w:sz w:val="20"/>
          <w:szCs w:val="20"/>
          <w:color w:val="auto"/>
        </w:rPr>
      </w:pPr>
      <w:r>
        <w:rPr>
          <w:rFonts w:ascii="Arial" w:cs="Arial" w:eastAsia="Arial" w:hAnsi="Arial"/>
          <w:sz w:val="16"/>
          <w:szCs w:val="16"/>
          <w:color w:val="auto"/>
        </w:rPr>
        <w:t>The Depositary shall act as the tax withholding agent for any payments, distributions and exchanges made with respect to the Depositary Shares and Receipts, and the Stock, Common Stock or other securities or assets represented thereby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The Depositary shall be responsible with respect to the Securities for the timely (a) collection and deposit of any required withholding or backup withholding tax, and (b) filing of any information returns or other documents with federal (and other applicable) taxing authorities.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11" w:name="page112"/>
    <w:bookmarkEnd w:id="1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3.4 </w:t>
      </w:r>
      <w:r>
        <w:rPr>
          <w:rFonts w:ascii="Arial" w:cs="Arial" w:eastAsia="Arial" w:hAnsi="Arial"/>
          <w:sz w:val="18"/>
          <w:szCs w:val="18"/>
          <w:u w:val="single" w:color="auto"/>
          <w:color w:val="auto"/>
        </w:rPr>
        <w:t>Representations and Warranties as to Stock</w:t>
      </w:r>
      <w:r>
        <w:rPr>
          <w:rFonts w:ascii="Arial" w:cs="Arial" w:eastAsia="Arial" w:hAnsi="Arial"/>
          <w:sz w:val="18"/>
          <w:szCs w:val="18"/>
          <w:color w:val="auto"/>
        </w:rPr>
        <w:t>.</w:t>
      </w:r>
    </w:p>
    <w:p>
      <w:pPr>
        <w:spacing w:after="0" w:line="158" w:lineRule="exact"/>
        <w:rPr>
          <w:sz w:val="20"/>
          <w:szCs w:val="20"/>
          <w:color w:val="auto"/>
        </w:rPr>
      </w:pPr>
    </w:p>
    <w:p>
      <w:pPr>
        <w:ind w:right="140" w:firstLine="913"/>
        <w:spacing w:after="0" w:line="335" w:lineRule="auto"/>
        <w:rPr>
          <w:sz w:val="20"/>
          <w:szCs w:val="20"/>
          <w:color w:val="auto"/>
        </w:rPr>
      </w:pPr>
      <w:r>
        <w:rPr>
          <w:rFonts w:ascii="Arial" w:cs="Arial" w:eastAsia="Arial" w:hAnsi="Arial"/>
          <w:sz w:val="15"/>
          <w:szCs w:val="15"/>
          <w:color w:val="auto"/>
        </w:rPr>
        <w:t>In the case of the initial deposit of the Stock, the Company and, in the case of subsequent deposits thereof, each person so depositing Stock under this Deposit Agreement shall be deemed thereby to represent and warrant that such Stock and each certificate therefor are valid and that the person making such deposit is duly authorized to do so. Such representations and warranties shall survive the deposit of the Stock and the issuance of Receipts therefor.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STOCK, NOTICES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Cash Distributions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Whenever the Depositary shall receive any cash dividend or other cash distribution on the Stock, the Depositary shall, subject to Sections 3.1 and 3.2, distribute to record holders of Receipts on the record date fixed pursuant to Section 4.4 such amounts of such sum as are, as nearly as practicable, in proportion to the respective numbers of Depositary Shares evidenced by the Receipts held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case the Company or the Depositary shall be required by law to withhold and does withhold from any cash dividend or other cash distribution in respect of the Stock an amount on account of taxes or as otherwise required by law, regulation or court process, the amount made available for distribution or distributed in respect of Depositary Shares shall be reduced accordingly. The Depositary shall distribute or make available for distribution, as the case may be, only such amount, however, as can be distributed without attributing to any owner of Depositary Shares a fraction of one cent and any balance not so distributable shall be held by the Depositary (without liability for interest thereon) and shall be added to and be treated as part of the next sum received by the Depositary for distribution to record holders of Receipts then outstanding.</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Distributions Other Than Cash</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Whenever the Depositary shall receive any distribution other than cash, rights, preferences or privileges upon the Stock, the Depositary shall, subject to Sections 3.1 and 3.2, distribute to record holders of Receipts on the record date fixed pursuant to Section 4.4 such amounts of the securities or property received by it as are, as nearly as practicable, in proportion to the respective numbers of Depositary Shares evidenced by the Receipts held by such holders, in any manner that the Depositary and the Company may deem equitable and practicable for accomplishing such distribution. If, in the opinion of the Depositary after consultation with the Company, such distribution cannot be made proportionately among such record holders, or if for any other reason (including any tax withholding or securities law requirement), the Depositary deems, after consultation with the Company, such distribution not to be feasible, the Depositary may, with the approval of the Company, adopt such method as it deems equitable and practicable for the purpose of effecting such distribution, including the sale (at public or private sale) of the securities or property thus received, or any part thereof, at such place or places and upon such terms as it may deem proper. The net proceeds of any such sale shall, subject to Sections 3.1 and 3.2, be distributed or made available for distribution, as the case may be, by the Depositary to record holders of Receipts as provided by Section 4.1 in the case of a distribution received in cash.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2" w:name="page113"/>
    <w:bookmarkEnd w:id="11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4.3 </w:t>
      </w:r>
      <w:r>
        <w:rPr>
          <w:rFonts w:ascii="Arial" w:cs="Arial" w:eastAsia="Arial" w:hAnsi="Arial"/>
          <w:sz w:val="18"/>
          <w:szCs w:val="18"/>
          <w:u w:val="single" w:color="auto"/>
          <w:color w:val="auto"/>
        </w:rPr>
        <w:t>Subscription Rights, Preferences or Privileges</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If the Company shall at any time offer or cause to be offered to the persons in whose names Stock is registered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Company shall instruct (including by the issue to such record holders of warrants representing such rights, preferences or privileges);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if at the time of issue or offer of any such rights, preferences or privileges the Company determines and instructs the Depositary that it is not lawful or feasible to make such rights, preferences or privileges available to some or all holders of Receipts (by the issue of warrants or otherwise) or (b) if and to the extent instructed by holders of Receipts who do not desire to exercise such rights, preferences or privileges, the Depositary shall then, in each case, and if applicable laws or the terms of such rights, preferences or privileges so permit, sell such rights, preferences or privileges of such holders at public or private sale, at such place or places and upon such terms as it may deem proper. The net proceeds of any such sale shall be distributed by the Depositary to the record holders of Receipts entitled thereto as provided by Section 4.1 in the case of a distribution received in cash.</w:t>
      </w:r>
    </w:p>
    <w:p>
      <w:pPr>
        <w:spacing w:after="0" w:line="109"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If registration under the Securities Act of the securities to which any rights, preferences or privileges relate is required in order for holders of Receipts to be offered or sold such securities, the Company shall promptly file a registration statement pursuant to the Securities Act with respect to such securities and use its reasonable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such registration statement shall have become effective or unless the offering and sale of such securities to such holders are exempt from registration under the provisions of the Securities Act.</w:t>
      </w:r>
    </w:p>
    <w:p>
      <w:pPr>
        <w:spacing w:after="0" w:line="134"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If any other action under the law of any jurisdiction or any governmental or administrative authorization, consent or permit is required in order for such rights, preferences or privileges to be made available to holders of Receipts, the Company agrees with the Depositary that the Company will use its reasonable best efforts to take such action or obtain such authorization, consent or permit sufficiently in advance of the expiration of such rights, preferences or privileges to enable such holders to exercise such rights, preferences or privileges.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13" w:name="page114"/>
    <w:bookmarkEnd w:id="1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4.4 </w:t>
      </w:r>
      <w:r>
        <w:rPr>
          <w:rFonts w:ascii="Arial" w:cs="Arial" w:eastAsia="Arial" w:hAnsi="Arial"/>
          <w:sz w:val="18"/>
          <w:szCs w:val="18"/>
          <w:u w:val="single" w:color="auto"/>
          <w:color w:val="auto"/>
        </w:rPr>
        <w:t>Notice of Dividends, Fixing of Record Date for Holders of Receipts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Whenever (a) any cash dividend or other cash distribution shall become payable, or any distribution other than cash shall be made, or any rights, preferences or privileges shall at any time be offered, with respect to the Stock, or (b) the Depositary shall receive notice of any meeting at which holders of Stock are entitled to vote or of which holders of Stock are entitled to notice or of the mandatory conversion of, or any election on the part of the Company to call for the redemption of, any shares of Stock, the Depositary shall in each such instance fix a record date (which shall be the same date as the record date fixed by the Company with respect to the Stock) for the determination of the holders of Receipts (i) who shall be entitled to receive such dividend, distribution, rights, preferences or privileges or the net proceeds of the sale thereof, or (ii) who shall be entitled to give instructions for the exercise of voting rights at any such meeting or to receive notice of such meeting or of such conversion or redemption.</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Upon receipt of notice of any meeting at which the holders of Stock are entitled to vote, the Depositary shall, as soon as practicable thereafter, mail to the record holders of Receipts a notice, which shall be provided by the Company and which shall contain (a) such information as is contained in such notice of meeting, (b) a statement that the holders of Receipts at the close of business on a specified record date fixed pursuant to Section 4.4 will be entitled, subject to any applicable provision of law, the Articles of Incorporation or the Certificate of Designation, to instruct the Depositary as to the exercise of the voting rights pertaining to the Stock represented by their respective Depositary Shares and (c) a brief statement as to the manner in which such instructions may be given. Upon the written request of a holder of a Receipt on such record date, the Depositary shall use its reasonable best efforts to vote or cause to be voted the Stock represented by the Depositary Shares evidenced by such Receipt in accordance with the instructions set forth in such request. The Company hereby agrees to take all reasonable action that may be deemed necessary by the Depositary in order to enable the Depositary to vote such Stock or cause such Stock to be voted. In the absence of specific instructions from the holder of a Receipt, the Depositary will abstain from voting to the extent of the Stock represented by the Depositary Shares evidenced by such Receipt.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Changes Affecting Stock and Reclassifications, Recapitalizations, etc</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Upon any split-up, consolidation or any other reclassification of Stock, or upon any recapitalization, reorganization, merger, amalgamation or consolidation affecting the Company or to which it is a party (other than a Merger or Consolidation) or sale of all or substantially all of the Company’s assets, the Depositary shall treat any shares of stock or other securities or property (including cash) that shall be received by the Depositary in exchange for or upon conversion of or in respect of the Stock as new deposited property under this Deposit Agreement, and Receipts then outstanding shall thenceforth represent the proportionate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4" w:name="page115"/>
    <w:bookmarkEnd w:id="11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holders thereof in the new deposited property so received in exchange for or upon conversion or in respect of such Stock. In any such case the Depositary may, in its discretion, with the approval of the Company, execute and deliver additional Receipts, or may call for the surrender of all outstanding Receipts to be exchanged for new Receipts specifically describing such new deposited property.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Depositary shall make available for inspection by holders of Receipts at the Corporate Office, the New York Office and at such other places as it may from time to time deem advisable during normal business hours any reports and communications received from the Company that are received by the Depositary as the holder of Stock.</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Lists of Receipt Holders</w:t>
      </w:r>
      <w:r>
        <w:rPr>
          <w:rFonts w:ascii="Arial" w:cs="Arial" w:eastAsia="Arial" w:hAnsi="Arial"/>
          <w:sz w:val="18"/>
          <w:szCs w:val="18"/>
          <w:color w:val="auto"/>
        </w:rPr>
        <w:t>.</w:t>
      </w:r>
    </w:p>
    <w:p>
      <w:pPr>
        <w:spacing w:after="0" w:line="158"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Promptly upon request from time to time by the Company, the Depositary shall furnish to it a list, as of a recent date, of the names, addresses and holdings of Depositary Shares of all persons in whose names Receipts are registered on the books of the Depositary. At the expense of the Company, the Company shall have the right to inspect transfer and registration records of the Depositary, any Depositary’s Agent or the Registrar, take copies thereof and require the Depositary, any Depositary’s Agent or the Registrar to supply copies of such portions of such records as the Company may request.</w:t>
      </w:r>
    </w:p>
    <w:p>
      <w:pPr>
        <w:spacing w:after="0" w:line="9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DEPOSITARY, THE DEPOSITARY’S AGENTS,</w:t>
      </w:r>
    </w:p>
    <w:p>
      <w:pPr>
        <w:spacing w:after="0" w:line="1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REGISTRAR AND THE COMPANY</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Maintenance of Offices, Agencies, Transfer Books by the Depositary; the Registrar</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Upon execution of this Deposit Agreement in accordance with its terms, the Depositary shall maintain (a) at the New York Office facilities for the execution and delivery, registration, registration of transfer, surrender and exchange, split-up, combination, redemption and conversion of Receipts and deposit and withdrawal of Stock and (b) at the Corporate Office and at the offices of the Depositary’s Agents, if any, facilities for the delivery, registration, registration of transfer, surrender and exchange, split-up, combination, conversion and redemption of Receipts and deposit and withdrawal of Stock, all in accordance with the provisions of this Deposit Agreement.</w:t>
      </w:r>
    </w:p>
    <w:p>
      <w:pPr>
        <w:spacing w:after="0" w:line="129" w:lineRule="exact"/>
        <w:rPr>
          <w:sz w:val="20"/>
          <w:szCs w:val="20"/>
          <w:color w:val="auto"/>
        </w:rPr>
      </w:pPr>
    </w:p>
    <w:p>
      <w:pPr>
        <w:ind w:right="260" w:firstLine="913"/>
        <w:spacing w:after="0" w:line="335" w:lineRule="auto"/>
        <w:rPr>
          <w:sz w:val="20"/>
          <w:szCs w:val="20"/>
          <w:color w:val="auto"/>
        </w:rPr>
      </w:pPr>
      <w:r>
        <w:rPr>
          <w:rFonts w:ascii="Arial" w:cs="Arial" w:eastAsia="Arial" w:hAnsi="Arial"/>
          <w:sz w:val="15"/>
          <w:szCs w:val="15"/>
          <w:color w:val="auto"/>
        </w:rPr>
        <w:t>The Depositary shall keep books at the Corporate Office for the registration and transfer of Receipts, which books at all reasonable times shall be open for inspection by the record holders of Receipts; provided that any such holder requesting to exercise such right shall certify to the Depositary that such inspection shall be for a proper purpose reasonably related to such person’s interest as an owner of Depositary Shares. The Depositary shall consult with the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15" w:name="page116"/>
    <w:bookmarkEnd w:id="115"/>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upon receipt of any request for inspection. The Depositary may close such books, at any time or from time to time, when deemed expedient by it in connection with the performance of its duties hereunder.</w:t>
      </w:r>
    </w:p>
    <w:p>
      <w:pPr>
        <w:spacing w:after="0" w:line="11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If the Receipts or the Depositary Shares evidenced thereby or the Stock represented by such Depositary Shares shall be listed on one or more stock exchanges, the Depositary shall, with the approval of the Company, appoint a Registrar for registry of such Receipts or Depositary Shares in accordance with the requirements of such exchange or exchanges. Such Registrar (which may be the Depositary if so permitted by the requirements of such exchange or exchanges) may be removed and a substitute registrar appointed by the Depositary upon the request or with the approval of the Company. In addition, if the Receipts, such Depositary Shares or such Stock are listed on one or more stock exchanges, the Depositary will, at the request of the Company, arrange such facilities for the delivery, registration, registration of transfer, surrender and exchange, split-up, combination, redemption or conversion of such Receipts, such Depositary Shares or such Stock as may be required by law or applicable stock exchange regulations.</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Prevention or Delay in Performance by the Depositary, the Depositary’s Agents, the Registrar or the Company</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Neither the Depositary nor any Depositary’s Agent nor the Registrar nor the Company shall incur any liability to any holder of any Receipt, if by reason of any provision of any present or future law or regulation thereunder of the United States of America or of any other governmental authority or, in the case of the Depositary, the Registrar or any Depositary’s Agent, by reason of any provision, present or future, of the Articles of Incorporation or the Certificate of Designation or, in the case of the Company, the Depositary, the Registrar or any Depositary’s Agent, by reason of any act of God or war or other circumstances beyond the control of the relevant party, the Depositary, any Depositary’s Agent, the Registrar or the Company shall be prevented, delayed or forbidden from, or subjected to any penalty on account of, doing or performing any act or thing that the terms of this Deposit Agreement provide shall be done or performed; nor shall the Depositary, any Depositary’s Agent, the Registrar or the Company incur any liability to any holder of a Receipt (a) by reason of any nonperformance or delay, caused as aforesaid, in the performance of any act or thing that the terms of this Deposit Agreement provide shall or may be done or performed, or (b) by reason of any exercise of, or failure to exercise, any discretion provided for in this Deposit Agreement except, in the case of the Depositary, any Depositary’s Agent or the Registrar, if any such exercise or failure to exercise discretion is caused by its negligence, bad faith or willful misconduct.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Obligations of the Depositary, the Depositary’s Agents, the Registrar and the Company</w:t>
      </w:r>
      <w:r>
        <w:rPr>
          <w:rFonts w:ascii="Arial" w:cs="Arial" w:eastAsia="Arial" w:hAnsi="Arial"/>
          <w:sz w:val="18"/>
          <w:szCs w:val="18"/>
          <w:color w:val="auto"/>
        </w:rPr>
        <w:t>.</w:t>
      </w:r>
    </w:p>
    <w:p>
      <w:pPr>
        <w:spacing w:after="0" w:line="15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Company assumes no obligation and shall be subject to no liability under this Deposit Agreement or the Receipts to holders or other persons, except to perform in good faith such obligations as are specifically set forth and undertaken by it to perform in this Deposit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16" w:name="page117"/>
    <w:bookmarkEnd w:id="116"/>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Each of the Depositary, the Depositary’s Agents and the Registrar assumes no obligation and shall be subject to no liability under this Deposit Agreement or the Receipts to holders or other persons, except to perform such obligations as are specifically set forth and undertaken by it to perform in this Deposit Agreement without negligence or bad faith.</w:t>
      </w:r>
    </w:p>
    <w:p>
      <w:pPr>
        <w:spacing w:after="0" w:line="12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Neither the Depositary nor any Depositary’s Agent nor the Registrar nor the Company shall be under any obligation to appear in, prosecute or defend any action, suit or other proceeding with respect to Stock, Depositary Shares, Receipts or Common Stock that in its opinion may involve it in expense or liability, unless indemnity satisfactory to it against all expense and liability be furnished as often as may be required.</w:t>
      </w:r>
    </w:p>
    <w:p>
      <w:pPr>
        <w:spacing w:after="0" w:line="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Neither the Depositary nor any Depositary’s Agent nor the Registrar nor the Company shall be liable for any action or any failure to act by it in reliance upon the advice of or information from legal counsel, accountants, any person presenting Stock for deposit, any holder of a Receipt or any other person believed by it in good faith to be competent to give such advice or information. The Depositary, any Depositary’s Agent, the Registrar and the Company may each rely and shall each be protected in acting upon any written notice, request, direction or other document believed by it to be genuine and to have been signed or presented by the proper party or parties.</w:t>
      </w:r>
    </w:p>
    <w:p>
      <w:pPr>
        <w:spacing w:after="0" w:line="129"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The Depositary, the Registrar and any Depositary’s Agent may own and deal in any class of securities of the Company and its affiliates and in Receipts or Depositary Shares. The Depositary may also act as transfer agent or registrar of any of the securities of the Company and its affiliates.</w:t>
      </w:r>
    </w:p>
    <w:p>
      <w:pPr>
        <w:spacing w:after="0" w:line="7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It is intended that neither the Depositary nor any Depositary’s Agent nor any Registrar shall be deemed to be an “issuer” of the Stock, the Depositary Shares, the Receipts or the Common Stock issued upon conversion or redemption of the Stock under the federal securities laws or applicable state securities laws, it being expressly understood and agreed that the Depositary and any Depositary’s Agent are acting only in a ministerial capacity as Depositary for the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Depositary agrees to comply with all information reporting and withholding requirements applicable to it under law or this Deposit Agreement in its capacity as Depositary.</w:t>
      </w:r>
    </w:p>
    <w:p>
      <w:pPr>
        <w:spacing w:after="0" w:line="129"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Neither the Depositary (or its officers, directors, employees or agents) nor any Depositary’s Agent nor any Registrar makes any representation or has any responsibility as to the validity of the Registration Statement pursuant to which the Depositary Shares are registered under the Securities Act, the Stock, the Depositary Shares or any instruments referred to therein or herein, or as to the correctness of any statement made therein or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is responsible for its representations in this Deposit Agreement and its countersignatures on any Receipts.</w:t>
      </w:r>
    </w:p>
    <w:p>
      <w:pPr>
        <w:spacing w:after="0" w:line="99"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Depositary assumes no responsibility for the correctness of the description that appears in the Receipts, which can be taken as a statement of the Company summarizing certain provisions of this Deposit Agreement. Notwithstanding any other provision herein or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17" w:name="page118"/>
    <w:bookmarkEnd w:id="117"/>
    <w:p>
      <w:pPr>
        <w:ind w:right="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Receipts, the Depositary makes no warranties or representations as to the validity, genuineness or sufficiency of any Stock at any time deposited with the Depositary hereunder or of the Depositary Shares, as to the validity or sufficiency of this Deposit Agreement, as to the value of the Depositary Shares or as to any right, title or interest of the record holders of Receipts in and to the Depositary Shares except that the Depositary hereby represents and warrants as follows: (a)</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Depositary has been duly organized and is validly existing and in good standing under the laws of the State of , with full power, authority and legal right under such law to execute, deliver and carry out the terms of this Deposit Agreement; (b) this Deposit Agreement has been duly authorized, executed and delivered by the Depositary; and (c) this Deposit Agreement constitutes a valid and binding obligation of the Depositary, enforceable against the Depositary in accordance with its terms, except as enforcement thereof may be limited by bankruptcy, insolvency, reorganization or other similar laws affecting enforcement of creditors’ rights generally and except as enforcement thereof is subject to general principles of equity (regardless of whether enforcement is considered in a proceeding in equity or at law). The Depositary shall not be accountable for the use or application by the Company of the Depositary Shares or the Receipts or the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-852805</wp:posOffset>
            </wp:positionV>
            <wp:extent cx="557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 Appointment of Successor Depositary</w:t>
      </w:r>
      <w:r>
        <w:rPr>
          <w:rFonts w:ascii="Arial" w:cs="Arial" w:eastAsia="Arial" w:hAnsi="Arial"/>
          <w:sz w:val="18"/>
          <w:szCs w:val="18"/>
          <w:color w:val="auto"/>
        </w:rPr>
        <w:t>.</w:t>
      </w:r>
    </w:p>
    <w:p>
      <w:pPr>
        <w:spacing w:after="0" w:line="158" w:lineRule="exact"/>
        <w:rPr>
          <w:sz w:val="20"/>
          <w:szCs w:val="20"/>
          <w:color w:val="auto"/>
        </w:rPr>
      </w:pPr>
    </w:p>
    <w:p>
      <w:pPr>
        <w:jc w:val="both"/>
        <w:ind w:right="640" w:firstLine="913"/>
        <w:spacing w:after="0" w:line="370" w:lineRule="auto"/>
        <w:rPr>
          <w:sz w:val="20"/>
          <w:szCs w:val="20"/>
          <w:color w:val="auto"/>
        </w:rPr>
      </w:pPr>
      <w:r>
        <w:rPr>
          <w:rFonts w:ascii="Arial" w:cs="Arial" w:eastAsia="Arial" w:hAnsi="Arial"/>
          <w:sz w:val="15"/>
          <w:szCs w:val="15"/>
          <w:color w:val="auto"/>
        </w:rPr>
        <w:t>The Depositary may at any time resign as Depositary hereunder by written notice via registered mail of its election to do so delivered to the Company, such resignation to take effect upon the appointment of a successor depositary and its acceptance of such appointment as hereinafter provided.</w:t>
      </w:r>
    </w:p>
    <w:p>
      <w:pPr>
        <w:spacing w:after="0" w:line="49"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Depositary may at any time be removed by the Company by written notice of such removal delivered to the Depositary, such removal to take effect upon the appointment of a successor depositary and its acceptance of such appointment as hereinafter provided.</w:t>
      </w:r>
    </w:p>
    <w:p>
      <w:pPr>
        <w:spacing w:after="0" w:line="72" w:lineRule="exact"/>
        <w:rPr>
          <w:sz w:val="20"/>
          <w:szCs w:val="20"/>
          <w:color w:val="auto"/>
        </w:rPr>
      </w:pPr>
    </w:p>
    <w:p>
      <w:pPr>
        <w:ind w:right="20" w:firstLine="913"/>
        <w:spacing w:after="0" w:line="308" w:lineRule="auto"/>
        <w:rPr>
          <w:sz w:val="20"/>
          <w:szCs w:val="20"/>
          <w:color w:val="auto"/>
        </w:rPr>
      </w:pPr>
      <w:r>
        <w:rPr>
          <w:rFonts w:ascii="Arial" w:cs="Arial" w:eastAsia="Arial" w:hAnsi="Arial"/>
          <w:sz w:val="15"/>
          <w:szCs w:val="15"/>
          <w:color w:val="auto"/>
        </w:rPr>
        <w:t>In case at any time the Depositary acting hereunder shall resign or be removed, the Company shall, within 60 days after the delivery of the notice of resignation or removal, as the case may be, appoint a successor depositary, which shall be a bank or trust company, or an affiliate of a bank or trust company, having its principal office in the United States of America and having a combined capital and surplus of at least $50,000,000. If a successor depositary shall not have been appointed in 60 days, the resigning or removed Depositary may petition a court of competent jurisdiction to appoint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promptly execute and deliver an instrument transferring to such successor all rights and powers of such predecessor hereunder, shall duly assign, transfer and deliver all rights, title and interest in the Stock and any moneys or property held hereunder to such successor and shall deliver to such successor a list of the record holders of all outstanding Receipts. Any successor depositary shall promptly mail notice of its appointment to the record holders of Receipts.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18" w:name="page119"/>
    <w:bookmarkEnd w:id="118"/>
    <w:p>
      <w:pPr>
        <w:jc w:val="both"/>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corporation into or with which the Depositary may be merged, consolidated or converted shall be the successor of such Depositary without the execution or filing of any document or any further act. Such successor depositary may execute the Receipts either in the name of the predecessor depositary or in the name of the successor depositary.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Corporate Notices and Reports</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The Company agrees that it will deliver to the Depositary, and the Depositary will, promptly after receipt thereof, transmit to the record holders of Receipts, in each case at the address recorded in the Depositary’s books, copies of all notices and reports (including financial statements) required by law, by the rules of any national securities exchange upon which the Stock, the Depositary Shares or the Receipts are listed or by the Articles of Incorporation and the Certificate of Designation to be furnished by the Company to holders of Stock. Such transmission will be at the Company’s expense and the Company will provide the Depositary with such number of copies of such documents as the Depositary may reasonably request. In addition, the Depositary will transmit to the record holders of Receipts at the Company’s expense such other documents as may be requested by the Company.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Deposit of Stock by the Company</w:t>
      </w:r>
      <w:r>
        <w:rPr>
          <w:rFonts w:ascii="Arial" w:cs="Arial" w:eastAsia="Arial" w:hAnsi="Arial"/>
          <w:sz w:val="18"/>
          <w:szCs w:val="18"/>
          <w:color w:val="auto"/>
        </w:rPr>
        <w:t>.</w:t>
      </w:r>
    </w:p>
    <w:p>
      <w:pPr>
        <w:spacing w:after="0" w:line="158"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Company agrees with the Depositary that neither the Company nor any company controlled by the Company will at any time deposit any Stock if such Stock is required to be registered under the provisions of the Securities Act and no registration statement is at such time in effect as to such Stock.</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agrees to indemnify the Depositary, any Depositary’s Agent and any Registrar against, and hold each of them harmless from, any liability, costs and expenses (including reasonable fees and expenses of counsel) that may arise out of or in connection with its acting as Depositary, Depositary’s Agent or Registrar, respectively, under this Deposit Agreement and the Receipts, except for any liability arising out of negligence, bad faith or willful misconduct on the part of any such person or persons.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Fees, Charges and Expenses</w:t>
      </w:r>
      <w:r>
        <w:rPr>
          <w:rFonts w:ascii="Arial" w:cs="Arial" w:eastAsia="Arial" w:hAnsi="Arial"/>
          <w:sz w:val="18"/>
          <w:szCs w:val="18"/>
          <w:color w:val="auto"/>
        </w:rPr>
        <w:t>.</w:t>
      </w:r>
    </w:p>
    <w:p>
      <w:pPr>
        <w:spacing w:after="0" w:line="158"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No fees, charges and expenses of the Depositary or any Depositary’s Agent hereunder or of any Registrar shall be payable by any person other than the Company, except for any taxes and other governmental charges and except as provided in this Deposit Agreement. If, at the request of a holder of a Receipt, the Depositary incurs fees, charges or expenses for which it is not otherwise liable hereunder, such holder or other person will be liable for such fees, charges and expenses. All other fees, charges and expenses of the Depositary and any Depositary’s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19" w:name="page120"/>
    <w:bookmarkEnd w:id="11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hereunder and of any Registrar (including, in each case, reasonable fees and expenses of counsel) incident to the performance of their respective obligations hereunder will be paid from time to time upon consultation and agreement between the Depositary and the Company as to the amount and nature of such fees, charges and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AND TERMINATION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The form of the Receipts and any provision of this Deposit Agreement may at any time and from time to time be amended by agreement between the Company and the Depositary in any respect that they may deem necessary or desirable. Any amendment that shall impose or increase any fees, taxes or charges payable by holders of Receipts (other than taxes and other governmental charges, fees and other expenses payable by holders pursuant to the terms hereof or of the Receipts), or that otherwise prejudices any substantial existing right of holders of Receipts, shall not become effective as to outstanding Receipts until the expiration of 30 days after notice of such amendment shall have been mailed to the record holders of outstanding Receipts. Every holder of an outstanding Receipt at the time any such amendment becomes effective shall be deemed, by continuing to hold such Receipt, to consent and agree to such amendment and to be bound by this Deposit Agreement as amended thereby. In no event shall any amendment impair the right, subject to the provisions of Sections 2.4, 2.7 and 2.8 and Article III, of any owner of any Depositary Shares to surrender the Receipt evidencing such Depositary Shares with instructions to the Depositary to deliver to the holder the Stock and all money and other property, if any, represented thereby, except in order to comply with mandatory provisions of applicable law.</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Whenever so directed by the Company, the Depositary will terminate this Deposit Agreement by mailing notice of such termination to the record holders of all Receipts then outstanding at least 30 days prior to the date fixed in such notice for such termination. The Depositary may likewise terminate this Deposit Agreement if at any time 90 days shall have expired after the Depositary shall have delivered to the Company a written notice of its election to resign and a successor depositary shall not have been appointed and accepted its appointment as provided in Section 5.4. In either case, on a date not less than 90 days after such notice, the Depositary shall deliver or make available for delivery to holders of Receipts, upon surrender of such Receipts evidencing Depositary Shares, such number of whole or fractional shares of the Stock as are represented by the Depositary Shares.</w:t>
      </w:r>
    </w:p>
    <w:p>
      <w:pPr>
        <w:spacing w:after="0" w:line="10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This Deposit Agreement shall automatically terminate after all outstanding Depositary Shares have been redeemed or there has been a final distribution in respect of the Stock in connection with any liquidation, dissolution or winding up of the Company and such distribution has been distributed to the holders of the Receipts.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20" w:name="page121"/>
    <w:bookmarkEnd w:id="12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Receipts shall remain outstanding after the date of termination of this Deposit Agreement, the Depositary thereafter shall discontinue the transfer of Receipts, shall suspend the distribution of dividends to the holders thereof and shall not give any further notices (other than notice of such termination) or perform any further acts under this Deposit Agreement, except as provided below and that the Depositary shall continue to collect dividends and other distributions pertaining to Stock, shall sell rights, preferences or privileges as provided in this Deposit Agreement and shall continue to deliver the Stock and any money and other property represented by Receipts, without liability for interest thereon, upon surrender thereof by the holders thereof. At any time after the expiration of two years from the date of termination, the Depositary may sell Stock then held hereunder at public or private sale, at such places and upon such terms as it deems proper and may thereafter hold in a segregated account the net proceeds of any such sale, together with any money and other property held by it hereunder, without liability for interest, for the benefit, pro rata in accordance with their holdings, of the holders of Receipts that have not heretofore been surrendered. After making such sale, the Depositary shall be discharged from all obligations under this Deposit Agreement except to account for such net proceeds and money and other property. Upon the termination of this Deposit Agreement, the Company shall be discharged from all obligations under this Deposit Agreement except for its obligations to the Depositary, any Depositary’s Agent and any Registrar under Sections 5.7 and 5.8.</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This Deposit Agreement may be executed by the Company and the Depositary in separate counterparts, each of which counterparts, when so executed and delivered, shall be deemed an original, but all such counterparts taken together shall constitute one and the same instrument. Delivery of an executed counterpart of a signature page to this Deposit Agreement by facsimile shall be effective as delivery of a manually executed counterpart of this Deposit Agreement. Copies of this Deposit Agreement shall be filed with the Depositary and the Depositary’s Agents and shall be open to inspection during business hours at the Corporate Office and the New York Office and the respective offices of the Depositary’s Agents, if any, by any holder of a Receipt.</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Exclusive Benefits of Parties</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This Deposit Agreement is for the exclusive benefit of the parties hereto, and their respective successors hereunder, and shall not be deemed to give any legal or equitable right, remedy or claim to any other person whatsoever.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21" w:name="page122"/>
    <w:bookmarkEnd w:id="1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 </w:t>
      </w:r>
      <w:r>
        <w:rPr>
          <w:rFonts w:ascii="Arial" w:cs="Arial" w:eastAsia="Arial" w:hAnsi="Arial"/>
          <w:sz w:val="18"/>
          <w:szCs w:val="18"/>
          <w:u w:val="single" w:color="auto"/>
          <w:color w:val="auto"/>
        </w:rPr>
        <w:t>Invalidity of Provisions</w:t>
      </w:r>
      <w:r>
        <w:rPr>
          <w:rFonts w:ascii="Arial" w:cs="Arial" w:eastAsia="Arial" w:hAnsi="Arial"/>
          <w:sz w:val="18"/>
          <w:szCs w:val="18"/>
          <w:color w:val="auto"/>
        </w:rPr>
        <w:t>.</w:t>
      </w:r>
    </w:p>
    <w:p>
      <w:pPr>
        <w:spacing w:after="0" w:line="158" w:lineRule="exact"/>
        <w:rPr>
          <w:sz w:val="20"/>
          <w:szCs w:val="20"/>
          <w:color w:val="auto"/>
        </w:rPr>
      </w:pPr>
    </w:p>
    <w:p>
      <w:pPr>
        <w:ind w:right="680" w:firstLine="913"/>
        <w:spacing w:after="0" w:line="259" w:lineRule="auto"/>
        <w:rPr>
          <w:sz w:val="20"/>
          <w:szCs w:val="20"/>
          <w:color w:val="auto"/>
        </w:rPr>
      </w:pPr>
      <w:r>
        <w:rPr>
          <w:rFonts w:ascii="Arial" w:cs="Arial" w:eastAsia="Arial" w:hAnsi="Arial"/>
          <w:sz w:val="18"/>
          <w:szCs w:val="18"/>
          <w:color w:val="auto"/>
        </w:rPr>
        <w:t>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58" w:lineRule="exact"/>
        <w:rPr>
          <w:sz w:val="20"/>
          <w:szCs w:val="20"/>
          <w:color w:val="auto"/>
        </w:rPr>
      </w:pPr>
    </w:p>
    <w:p>
      <w:pPr>
        <w:ind w:right="80" w:firstLine="913"/>
        <w:spacing w:after="0" w:line="335" w:lineRule="auto"/>
        <w:rPr>
          <w:sz w:val="20"/>
          <w:szCs w:val="20"/>
          <w:color w:val="auto"/>
        </w:rPr>
      </w:pPr>
      <w:r>
        <w:rPr>
          <w:rFonts w:ascii="Arial" w:cs="Arial" w:eastAsia="Arial" w:hAnsi="Arial"/>
          <w:sz w:val="15"/>
          <w:szCs w:val="15"/>
          <w:color w:val="auto"/>
        </w:rPr>
        <w:t>Any notices to be given to the Company hereunder or under the Receipts shall be in writing and shall be deemed to have been duly given if personally delivered or sent by mail, or by telegram or facsimile confirmed by letter, addressed to the Company at 3131 Las Vegas Boulevard South, Las Vegas, Nevada 89109, Attention: Marc H. Rubinstein, General Counsel, or at any other place to which the Company may have transferred its principal executive office.</w:t>
      </w:r>
    </w:p>
    <w:p>
      <w:pPr>
        <w:spacing w:after="0" w:line="75" w:lineRule="exact"/>
        <w:rPr>
          <w:sz w:val="20"/>
          <w:szCs w:val="20"/>
          <w:color w:val="auto"/>
        </w:rPr>
      </w:pPr>
    </w:p>
    <w:p>
      <w:pPr>
        <w:ind w:right="580" w:firstLine="913"/>
        <w:spacing w:after="0" w:line="332" w:lineRule="auto"/>
        <w:rPr>
          <w:sz w:val="20"/>
          <w:szCs w:val="20"/>
          <w:color w:val="auto"/>
        </w:rPr>
      </w:pPr>
      <w:r>
        <w:rPr>
          <w:rFonts w:ascii="Arial" w:cs="Arial" w:eastAsia="Arial" w:hAnsi="Arial"/>
          <w:sz w:val="16"/>
          <w:szCs w:val="16"/>
          <w:color w:val="auto"/>
        </w:rPr>
        <w:t>Any notices to be given to the Depositary hereunder or under the Receipts shall be in writing and shall be deemed to have been duly given if personally delivered or sent by mail, or by telegram or facsimile confirmed by letter, addressed to the Depositary at the Corporate Office.</w:t>
      </w:r>
    </w:p>
    <w:p>
      <w:pPr>
        <w:spacing w:after="0" w:line="7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Any notices given to any record holder of a Receipt hereunder or under the Receipts shall be in writing and shall be deemed to have been duly given if personally delivered or sent by mail, or by telegram or facsimile confirmed by letter, addressed to such record holder at the address of such record holder as it appears on the books of the Depositary or, if such holder shall have filed with the Depositary a written request that notices intended for such holder be mailed to some other address, at the address designated in such request.</w:t>
      </w:r>
    </w:p>
    <w:p>
      <w:pPr>
        <w:spacing w:after="0" w:line="13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Delivery of a notice sent by mail, or by telegram or facsimile shall be deemed to be effected at the time when a duly addressed letter containing the same (or a duly addressed letter confirming an earlier notice in the case of a telegram or facsimile message) is deposited for mailing by first class mail, postage prepaid, in a post office letter box. The Depositary or the Company may, however, act upon any telegram or facsimile message received by it from the other or from any holder of a Receipt, notwithstanding that such telegram or facsimile message shall not subsequently be confirmed by letter as aforesaid.</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Depositary’s Agents</w:t>
      </w:r>
      <w:r>
        <w:rPr>
          <w:rFonts w:ascii="Arial" w:cs="Arial" w:eastAsia="Arial" w:hAnsi="Arial"/>
          <w:sz w:val="18"/>
          <w:szCs w:val="18"/>
          <w:color w:val="auto"/>
        </w:rPr>
        <w:t>.</w:t>
      </w:r>
    </w:p>
    <w:p>
      <w:pPr>
        <w:spacing w:after="0" w:line="15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Depositary may, with the approval of the Company which approval shall not be unreasonably withheld, from time to time appoint one or more Depositary’s Agents to act in any respect for the Depositary for the purposes of this Deposit Agreement and may vary or terminate the appointment of such Depositary’s Agents.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Holders of Receipts Are Parties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that holders of Receipts have not executed and delivered this Deposit Agreement or any counterpart thereof, the holders of Receipts from time to time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22" w:name="page123"/>
    <w:bookmarkEnd w:id="12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to be parties to this Deposit Agreement and shall be bound by all of the terms and conditions, and be entitled to all of the benefits, hereof and of the Receipts by acceptance of delivery of Receipts.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58" w:lineRule="exact"/>
        <w:rPr>
          <w:sz w:val="20"/>
          <w:szCs w:val="20"/>
          <w:color w:val="auto"/>
        </w:rPr>
      </w:pPr>
    </w:p>
    <w:p>
      <w:pPr>
        <w:ind w:right="300" w:firstLine="913"/>
        <w:spacing w:after="0" w:line="370" w:lineRule="auto"/>
        <w:rPr>
          <w:sz w:val="20"/>
          <w:szCs w:val="20"/>
          <w:color w:val="auto"/>
        </w:rPr>
      </w:pPr>
      <w:r>
        <w:rPr>
          <w:rFonts w:ascii="Arial" w:cs="Arial" w:eastAsia="Arial" w:hAnsi="Arial"/>
          <w:sz w:val="15"/>
          <w:szCs w:val="15"/>
          <w:color w:val="auto"/>
        </w:rPr>
        <w:t>This Deposit Agreement and the Receipts and all rights hereunder and thereunder and provisions hereof and thereof shall be governed by, and construed in accordance with, the law of the State of New York, including, without limitation, Section 5-1401 of the New York General Obligations Law.</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headings of articles and sections in this Deposit Agreement and in the form of the Receipt set forth in Exhibit A hereto have been inserted for convenience only and are not to be regarded as a part of this Deposit Agreement or to have any bearing upon the meaning or interpretation of any provision contained herein or in the Receipts.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280" w:right="479" w:bottom="1440" w:gutter="0" w:footer="0" w:header="0"/>
        </w:sectPr>
      </w:pPr>
    </w:p>
    <w:bookmarkStart w:id="123" w:name="page124"/>
    <w:bookmarkEnd w:id="123"/>
    <w:p>
      <w:pPr>
        <w:ind w:left="920"/>
        <w:spacing w:after="0"/>
        <w:tabs>
          <w:tab w:leader="none" w:pos="5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Wynn Resorts, Limited and</w:t>
      </w:r>
      <w:r>
        <w:rPr>
          <w:sz w:val="20"/>
          <w:szCs w:val="20"/>
          <w:color w:val="auto"/>
        </w:rPr>
        <w:tab/>
      </w:r>
      <w:r>
        <w:rPr>
          <w:rFonts w:ascii="Arial" w:cs="Arial" w:eastAsia="Arial" w:hAnsi="Arial"/>
          <w:sz w:val="15"/>
          <w:szCs w:val="15"/>
          <w:color w:val="auto"/>
        </w:rPr>
        <w:t>have duly executed this Deposit Agreement as of the day and year first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-13970</wp:posOffset>
            </wp:positionV>
            <wp:extent cx="557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0"/>
        <w:spacing w:after="0" w:line="261" w:lineRule="auto"/>
        <w:rPr>
          <w:sz w:val="20"/>
          <w:szCs w:val="20"/>
          <w:color w:val="auto"/>
        </w:rPr>
      </w:pPr>
      <w:r>
        <w:rPr>
          <w:rFonts w:ascii="Arial" w:cs="Arial" w:eastAsia="Arial" w:hAnsi="Arial"/>
          <w:sz w:val="18"/>
          <w:szCs w:val="18"/>
          <w:color w:val="auto"/>
        </w:rPr>
        <w:t>set forth and all holders of Receipts shall become parties hereto by and upon acceptance by them of delivery of Receipts issued in accordance with the terms hereof.</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80010</wp:posOffset>
            </wp:positionV>
            <wp:extent cx="2744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[DEPOSITARY]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80010</wp:posOffset>
            </wp:positionV>
            <wp:extent cx="2744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280" w:right="4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DEPOSITARY RECEIPT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DEPOSITARY SHARES</w:t>
      </w:r>
    </w:p>
    <w:p>
      <w:pPr>
        <w:spacing w:after="0" w:line="9" w:lineRule="exact"/>
        <w:rPr>
          <w:sz w:val="20"/>
          <w:szCs w:val="20"/>
          <w:color w:val="auto"/>
        </w:rPr>
      </w:pPr>
    </w:p>
    <w:p>
      <w:pPr>
        <w:ind w:left="3680"/>
        <w:spacing w:after="0"/>
        <w:tabs>
          <w:tab w:leader="none" w:pos="6440" w:val="left"/>
        </w:tabs>
        <w:rPr>
          <w:sz w:val="20"/>
          <w:szCs w:val="20"/>
          <w:color w:val="auto"/>
        </w:rPr>
      </w:pPr>
      <w:r>
        <w:rPr>
          <w:rFonts w:ascii="Arial" w:cs="Arial" w:eastAsia="Arial" w:hAnsi="Arial"/>
          <w:sz w:val="18"/>
          <w:szCs w:val="18"/>
          <w:color w:val="auto"/>
        </w:rPr>
        <w:t>EACH REPRESENTING</w:t>
      </w:r>
      <w:r>
        <w:rPr>
          <w:sz w:val="20"/>
          <w:szCs w:val="20"/>
          <w:color w:val="auto"/>
        </w:rPr>
        <w:tab/>
      </w:r>
      <w:r>
        <w:rPr>
          <w:rFonts w:ascii="Arial" w:cs="Arial" w:eastAsia="Arial" w:hAnsi="Arial"/>
          <w:sz w:val="16"/>
          <w:szCs w:val="16"/>
          <w:color w:val="auto"/>
        </w:rPr>
        <w:t>OF A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5575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SERIES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-17780</wp:posOffset>
            </wp:positionV>
            <wp:extent cx="5575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3"/>
          </w:tcPr>
          <w:p>
            <w:pPr>
              <w:jc w:val="center"/>
              <w:ind w:right="1552"/>
              <w:spacing w:after="0"/>
              <w:rPr>
                <w:sz w:val="20"/>
                <w:szCs w:val="20"/>
                <w:color w:val="auto"/>
              </w:rPr>
            </w:pPr>
            <w:r>
              <w:rPr>
                <w:rFonts w:ascii="Arial" w:cs="Arial" w:eastAsia="Arial" w:hAnsi="Arial"/>
                <w:sz w:val="18"/>
                <w:szCs w:val="18"/>
                <w:color w:val="auto"/>
                <w:w w:val="87"/>
              </w:rPr>
              <w:t>OF</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58"/>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5"/>
          </w:tcPr>
          <w:p>
            <w:pPr>
              <w:jc w:val="center"/>
              <w:ind w:right="492"/>
              <w:spacing w:after="0"/>
              <w:rPr>
                <w:sz w:val="20"/>
                <w:szCs w:val="20"/>
                <w:color w:val="auto"/>
              </w:rPr>
            </w:pPr>
            <w:r>
              <w:rPr>
                <w:rFonts w:ascii="Arial" w:cs="Arial" w:eastAsia="Arial" w:hAnsi="Arial"/>
                <w:sz w:val="18"/>
                <w:szCs w:val="18"/>
                <w:color w:val="auto"/>
                <w:w w:val="94"/>
              </w:rPr>
              <w:t>WYNN RESORTS, LIMITED</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60" w:type="dxa"/>
            <w:vAlign w:val="bottom"/>
            <w:gridSpan w:val="6"/>
          </w:tcPr>
          <w:p>
            <w:pPr>
              <w:jc w:val="center"/>
              <w:spacing w:after="0"/>
              <w:rPr>
                <w:sz w:val="20"/>
                <w:szCs w:val="20"/>
                <w:color w:val="auto"/>
              </w:rPr>
            </w:pPr>
            <w:r>
              <w:rPr>
                <w:rFonts w:ascii="Arial" w:cs="Arial" w:eastAsia="Arial" w:hAnsi="Arial"/>
                <w:sz w:val="18"/>
                <w:szCs w:val="18"/>
                <w:color w:val="auto"/>
                <w:w w:val="88"/>
              </w:rPr>
              <w:t>(Incorporated under the Laws of the State of Nevada)</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65"/>
        </w:trPr>
        <w:tc>
          <w:tcPr>
            <w:tcW w:w="3540" w:type="dxa"/>
            <w:vAlign w:val="bottom"/>
            <w:gridSpan w:val="6"/>
          </w:tcPr>
          <w:p>
            <w:pPr>
              <w:spacing w:after="0"/>
              <w:rPr>
                <w:sz w:val="20"/>
                <w:szCs w:val="20"/>
                <w:color w:val="auto"/>
              </w:rPr>
            </w:pPr>
            <w:r>
              <w:rPr>
                <w:rFonts w:ascii="Arial" w:cs="Arial" w:eastAsia="Arial" w:hAnsi="Arial"/>
                <w:sz w:val="18"/>
                <w:szCs w:val="18"/>
                <w:color w:val="auto"/>
              </w:rPr>
              <w:t>No.</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6"/>
        </w:trPr>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40" w:type="dxa"/>
            <w:vAlign w:val="bottom"/>
            <w:gridSpan w:val="6"/>
          </w:tcPr>
          <w:p>
            <w:pPr>
              <w:ind w:left="40"/>
              <w:spacing w:after="0"/>
              <w:rPr>
                <w:sz w:val="20"/>
                <w:szCs w:val="20"/>
                <w:color w:val="auto"/>
              </w:rPr>
            </w:pPr>
            <w:r>
              <w:rPr>
                <w:rFonts w:ascii="Arial" w:cs="Arial" w:eastAsia="Arial" w:hAnsi="Arial"/>
                <w:sz w:val="18"/>
                <w:szCs w:val="18"/>
                <w:color w:val="auto"/>
                <w:w w:val="92"/>
              </w:rPr>
              <w:t>(the “Depositary”) hereby certifies that</w:t>
            </w:r>
          </w:p>
        </w:tc>
        <w:tc>
          <w:tcPr>
            <w:tcW w:w="88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89"/>
              </w:rPr>
              <w:t>is the registered owner of</w:t>
            </w:r>
          </w:p>
        </w:tc>
        <w:tc>
          <w:tcPr>
            <w:tcW w:w="880" w:type="dxa"/>
            <w:vAlign w:val="bottom"/>
          </w:tcPr>
          <w:p>
            <w:pPr>
              <w:spacing w:after="0"/>
              <w:rPr>
                <w:sz w:val="24"/>
                <w:szCs w:val="24"/>
                <w:color w:val="auto"/>
              </w:rPr>
            </w:pPr>
          </w:p>
        </w:tc>
        <w:tc>
          <w:tcPr>
            <w:tcW w:w="2540" w:type="dxa"/>
            <w:vAlign w:val="bottom"/>
            <w:gridSpan w:val="4"/>
          </w:tcPr>
          <w:p>
            <w:pPr>
              <w:ind w:left="40"/>
              <w:spacing w:after="0"/>
              <w:rPr>
                <w:sz w:val="20"/>
                <w:szCs w:val="20"/>
                <w:color w:val="auto"/>
              </w:rPr>
            </w:pPr>
            <w:r>
              <w:rPr>
                <w:rFonts w:ascii="Arial" w:cs="Arial" w:eastAsia="Arial" w:hAnsi="Arial"/>
                <w:sz w:val="18"/>
                <w:szCs w:val="18"/>
                <w:color w:val="auto"/>
                <w:w w:val="88"/>
              </w:rPr>
              <w:t>Depositary Shares (the “Depositary</w:t>
            </w: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3540" w:type="dxa"/>
            <w:vAlign w:val="bottom"/>
            <w:gridSpan w:val="6"/>
          </w:tcPr>
          <w:p>
            <w:pPr>
              <w:spacing w:after="0" w:line="196" w:lineRule="exact"/>
              <w:rPr>
                <w:sz w:val="20"/>
                <w:szCs w:val="20"/>
                <w:color w:val="auto"/>
              </w:rPr>
            </w:pPr>
            <w:r>
              <w:rPr>
                <w:rFonts w:ascii="Arial" w:cs="Arial" w:eastAsia="Arial" w:hAnsi="Arial"/>
                <w:sz w:val="18"/>
                <w:szCs w:val="18"/>
                <w:color w:val="auto"/>
                <w:w w:val="95"/>
              </w:rPr>
              <w:t>Shares”), each Depositary Share representing</w:t>
            </w:r>
          </w:p>
        </w:tc>
        <w:tc>
          <w:tcPr>
            <w:tcW w:w="580" w:type="dxa"/>
            <w:vAlign w:val="bottom"/>
          </w:tcPr>
          <w:p>
            <w:pPr>
              <w:spacing w:after="0"/>
              <w:rPr>
                <w:sz w:val="17"/>
                <w:szCs w:val="17"/>
                <w:color w:val="auto"/>
              </w:rPr>
            </w:pPr>
          </w:p>
        </w:tc>
        <w:tc>
          <w:tcPr>
            <w:tcW w:w="104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7"/>
              </w:rPr>
              <w:t>of a share of</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2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7"/>
              </w:rPr>
              <w:t>Preferred Stock, par value $.01 per share (the “Stock”), of Wynn</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Resorts, Limited, a corporation duly organized and existing under the laws of the State of Nevada (the “</w:t>
      </w:r>
      <w:r>
        <w:rPr>
          <w:rFonts w:ascii="Arial" w:cs="Arial" w:eastAsia="Arial" w:hAnsi="Arial"/>
          <w:sz w:val="15"/>
          <w:szCs w:val="15"/>
          <w:u w:val="single" w:color="auto"/>
          <w:color w:val="auto"/>
        </w:rPr>
        <w:t>Company</w:t>
      </w:r>
      <w:r>
        <w:rPr>
          <w:rFonts w:ascii="Arial" w:cs="Arial" w:eastAsia="Arial" w:hAnsi="Arial"/>
          <w:sz w:val="15"/>
          <w:szCs w:val="15"/>
          <w:color w:val="auto"/>
        </w:rPr>
        <w:t>”), and the same proportionate interest in any and all other property received by the Depositary in respect of such shares of Stock and held by the Depositary under the Deposit Agreement (as defined below). Subject to the terms of the Deposit Agreement, each owner of a Depositary Share is entitled, proportionately, to all the rights, preferences and privileges of the Stock represented thereby, including the dividend, voting, liquidation and other rights contained in the Certificate of Designation establishing the rights, preferences, privileges and limitations of the Stock (the “</w:t>
      </w:r>
      <w:r>
        <w:rPr>
          <w:rFonts w:ascii="Arial" w:cs="Arial" w:eastAsia="Arial" w:hAnsi="Arial"/>
          <w:sz w:val="15"/>
          <w:szCs w:val="15"/>
          <w:u w:val="single" w:color="auto"/>
          <w:color w:val="auto"/>
        </w:rPr>
        <w:t>Certificate of Designation</w:t>
      </w:r>
      <w:r>
        <w:rPr>
          <w:rFonts w:ascii="Arial" w:cs="Arial" w:eastAsia="Arial" w:hAnsi="Arial"/>
          <w:sz w:val="15"/>
          <w:szCs w:val="15"/>
          <w:color w:val="auto"/>
        </w:rPr>
        <w:t>”), copies of which are on file at the office of the Depositary at which at any particular time its business in respect of matters governed by the Deposit Agreement shall be administered, which at the time of the execution of the Deposit</w:t>
      </w:r>
    </w:p>
    <w:p>
      <w:pPr>
        <w:spacing w:after="0" w:line="1" w:lineRule="exact"/>
        <w:rPr>
          <w:sz w:val="20"/>
          <w:szCs w:val="20"/>
          <w:color w:val="auto"/>
        </w:rPr>
      </w:pPr>
    </w:p>
    <w:p>
      <w:pPr>
        <w:spacing w:after="0"/>
        <w:tabs>
          <w:tab w:leader="none" w:pos="2580" w:val="left"/>
          <w:tab w:leader="none" w:pos="3540" w:val="left"/>
          <w:tab w:leader="none" w:pos="4420" w:val="left"/>
        </w:tabs>
        <w:rPr>
          <w:sz w:val="20"/>
          <w:szCs w:val="20"/>
          <w:color w:val="auto"/>
        </w:rPr>
      </w:pPr>
      <w:r>
        <w:rPr>
          <w:rFonts w:ascii="Arial" w:cs="Arial" w:eastAsia="Arial" w:hAnsi="Arial"/>
          <w:sz w:val="18"/>
          <w:szCs w:val="18"/>
          <w:color w:val="auto"/>
        </w:rPr>
        <w:t>Agreement is located 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Corporate Office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-17780</wp:posOffset>
            </wp:positionV>
            <wp:extent cx="16998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3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This Depositary Receipt (“</w:t>
      </w:r>
      <w:r>
        <w:rPr>
          <w:rFonts w:ascii="Arial" w:cs="Arial" w:eastAsia="Arial" w:hAnsi="Arial"/>
          <w:sz w:val="18"/>
          <w:szCs w:val="18"/>
          <w:u w:val="single" w:color="auto"/>
          <w:color w:val="auto"/>
        </w:rPr>
        <w:t>Receipt</w:t>
      </w:r>
      <w:r>
        <w:rPr>
          <w:rFonts w:ascii="Arial" w:cs="Arial" w:eastAsia="Arial" w:hAnsi="Arial"/>
          <w:sz w:val="18"/>
          <w:szCs w:val="18"/>
          <w:color w:val="auto"/>
        </w:rPr>
        <w:t>”) shall not be entitled to any benefits under the Deposit Agreement or be valid or obligatory for any purpose unless this Receipt shall have been executed manually or, if a Registrar for the Receipts (other than the Depositary) shall have been appointed, by facsimile by the Depositary by the signature of a duly authorized signatory and, if executed by facsimile signature of the Depositary, shall have been countersigned manually by such Registrar by the signature of a duly authorized signatory.</w:t>
      </w:r>
    </w:p>
    <w:p>
      <w:pPr>
        <w:spacing w:after="0" w:line="13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DEPOSITARY IS NOT RESPONSIBLE FOR THE VALIDITY OF ANY DEPOSITED STOCK. THE DEPOSITARY ASSUMES NO RESPONSIBILITY FOR THE CORRECTNESS OF THE DESCRIPTION SET FORTH IN THIS RECEIPT, WHICH CAN BE TAKEN AS A STATEMENT OF THE COMPANY SUMMARIZING CERTAIN PROVISIONS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25" w:name="page126"/>
    <w:bookmarkEnd w:id="125"/>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 AGREEMENT. UNLESS EXPRESSLY SET FORTH IN THE DEPOSIT AGREEMENT, THE DEPOSITARY MAKES NO WARRANTIES OR REPRESENTATIONS AS TO THE VALIDITY, GENUINENESS OR SUFFICIENCY OF ANY STOCK AT ANY TIME DEPOSITED WITH THE DEPOSITARY UNDER THE DEPOSIT AGREEMENT OR OF THE DEPOSITARY SHARES, AS TO THE VALIDITY OR SUFFICIENCY OF THE DEPOSIT AGREEMENT, AS TO THE VALUE OF THE DEPOSITARY SHARES OR AS TO ANY RIGHT, TITLE OR INTEREST OF THE RECORD HOLDERS OF THE DEPOSITARY RECEIPTS IN AND TO THE DEPOSITARY SHARES.</w:t>
      </w:r>
    </w:p>
    <w:p>
      <w:pPr>
        <w:spacing w:after="0" w:line="10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Company will furnish to any holder of this Receipt without charge, upon request addressed to its executive office, a full statement of the designation, relative rights, preferences and limitations of the shares of each authorized class, and of each class of preferred stock authorized to be issued, so far as the same may have been fixed, and a statement of the authority of the Board of Directors of the Company to designate and fix the relative rights, preferences and limitations of other classes.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Receipt is continued on the reverse hereof and the additional provisions therein set forth for all purposes have the same effect as if set forth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place.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Depositary and Registrar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80010</wp:posOffset>
            </wp:positionV>
            <wp:extent cx="2744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240" w:top="280" w:right="41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DEPOSITARY RECEIPT]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The Deposit Agreement</w:t>
      </w:r>
      <w:r>
        <w:rPr>
          <w:rFonts w:ascii="Arial" w:cs="Arial" w:eastAsia="Arial" w:hAnsi="Arial"/>
          <w:sz w:val="16"/>
          <w:szCs w:val="16"/>
          <w:color w:val="auto"/>
        </w:rPr>
        <w:t>. Depositary Receipts (the “</w:t>
      </w:r>
      <w:r>
        <w:rPr>
          <w:rFonts w:ascii="Arial" w:cs="Arial" w:eastAsia="Arial" w:hAnsi="Arial"/>
          <w:sz w:val="16"/>
          <w:szCs w:val="16"/>
          <w:u w:val="single" w:color="auto"/>
          <w:color w:val="auto"/>
        </w:rPr>
        <w:t>Receipts</w:t>
      </w:r>
      <w:r>
        <w:rPr>
          <w:rFonts w:ascii="Arial" w:cs="Arial" w:eastAsia="Arial" w:hAnsi="Arial"/>
          <w:sz w:val="16"/>
          <w:szCs w:val="16"/>
          <w:color w:val="auto"/>
        </w:rPr>
        <w:t>”), of which this Receipt is one, are made available upon the terms and conditions set forth</w:t>
      </w:r>
    </w:p>
    <w:p>
      <w:pPr>
        <w:spacing w:after="0" w:line="38" w:lineRule="exact"/>
        <w:rPr>
          <w:sz w:val="20"/>
          <w:szCs w:val="20"/>
          <w:color w:val="auto"/>
        </w:rPr>
      </w:pPr>
    </w:p>
    <w:p>
      <w:pPr>
        <w:spacing w:after="0"/>
        <w:tabs>
          <w:tab w:leader="none" w:pos="3960" w:val="left"/>
          <w:tab w:leader="none" w:pos="4440" w:val="left"/>
        </w:tabs>
        <w:rPr>
          <w:sz w:val="20"/>
          <w:szCs w:val="20"/>
          <w:color w:val="auto"/>
        </w:rPr>
      </w:pPr>
      <w:r>
        <w:rPr>
          <w:rFonts w:ascii="Arial" w:cs="Arial" w:eastAsia="Arial" w:hAnsi="Arial"/>
          <w:sz w:val="18"/>
          <w:szCs w:val="18"/>
          <w:color w:val="auto"/>
        </w:rPr>
        <w:t>in the Deposit Agreement,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among the Company, the Depositary and all holders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-17780</wp:posOffset>
            </wp:positionV>
            <wp:extent cx="10871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871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 Receipts. The Deposit Agreement (copies of which are on file at the Corporate Office, the office maintained by the Depositary in the Borough of Manhattan,</w:t>
      </w:r>
    </w:p>
    <w:p>
      <w:pPr>
        <w:spacing w:after="0" w:line="32"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The City of New York, which at the time of the execution of the Deposit Agreement is located at</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New York Office</w:t>
      </w:r>
      <w:r>
        <w:rPr>
          <w:rFonts w:ascii="Arial" w:cs="Arial" w:eastAsia="Arial" w:hAnsi="Arial"/>
          <w:sz w:val="16"/>
          <w:szCs w:val="16"/>
          <w:color w:val="auto"/>
        </w:rPr>
        <w:t>”) and at the office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4346575</wp:posOffset>
            </wp:positionH>
            <wp:positionV relativeFrom="paragraph">
              <wp:posOffset>-17780</wp:posOffset>
            </wp:positionV>
            <wp:extent cx="7804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jc w:val="both"/>
        <w:ind w:right="380"/>
        <w:spacing w:after="0" w:line="254" w:lineRule="auto"/>
        <w:rPr>
          <w:sz w:val="20"/>
          <w:szCs w:val="20"/>
          <w:color w:val="auto"/>
        </w:rPr>
      </w:pPr>
      <w:r>
        <w:rPr>
          <w:rFonts w:ascii="Arial" w:cs="Arial" w:eastAsia="Arial" w:hAnsi="Arial"/>
          <w:sz w:val="18"/>
          <w:szCs w:val="18"/>
          <w:color w:val="auto"/>
        </w:rPr>
        <w:t>any agent of the Depositary) sets forth the rights of holders of Receipts and the rights and duties of the Depositary. The statements made on the face and the reverse of this Receipt are summaries of certain provisions of the Deposit Agreement and are subject to the detailed provisions thereof, to which reference is hereby made. In the event of any conflict between the provisions of this Receipt and the provisions of the Deposit Agreement, the provisions of the Deposit Agreement will govern.</w:t>
      </w:r>
    </w:p>
    <w:p>
      <w:pPr>
        <w:spacing w:after="0" w:line="130" w:lineRule="exact"/>
        <w:rPr>
          <w:sz w:val="20"/>
          <w:szCs w:val="20"/>
          <w:color w:val="auto"/>
        </w:rPr>
      </w:pPr>
    </w:p>
    <w:p>
      <w:pPr>
        <w:ind w:right="760" w:firstLine="464"/>
        <w:spacing w:after="0" w:line="268" w:lineRule="auto"/>
        <w:tabs>
          <w:tab w:leader="none" w:pos="63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expressly herein provided, all defined terms used herein shall have the meanings ascribed thereto in the Deposit Agreement.</w:t>
      </w:r>
    </w:p>
    <w:p>
      <w:pPr>
        <w:spacing w:after="0" w:line="118" w:lineRule="exact"/>
        <w:rPr>
          <w:rFonts w:ascii="Arial" w:cs="Arial" w:eastAsia="Arial" w:hAnsi="Arial"/>
          <w:sz w:val="18"/>
          <w:szCs w:val="18"/>
          <w:color w:val="auto"/>
        </w:rPr>
      </w:pPr>
    </w:p>
    <w:p>
      <w:pPr>
        <w:ind w:right="100" w:firstLine="464"/>
        <w:spacing w:after="0" w:line="280" w:lineRule="auto"/>
        <w:tabs>
          <w:tab w:leader="none" w:pos="63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Redemption and Conversion of Stock</w:t>
      </w:r>
      <w:r>
        <w:rPr>
          <w:rFonts w:ascii="Arial" w:cs="Arial" w:eastAsia="Arial" w:hAnsi="Arial"/>
          <w:sz w:val="16"/>
          <w:szCs w:val="16"/>
          <w:color w:val="auto"/>
        </w:rPr>
        <w:t>.</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Whenever the Company shall elect to redeem or be required to convert shares of Stock into shares of Common Stock in accordance with the Certificate of Designation, it shall (unless otherwise agreed in writing with the Depositary) give the Depositary in its capacity as Depositary not less than 5 business days’ prior notice of the proposed date of the mailing of a notice of redemption or conversion of Stock and the simultaneous redemption or conversion of the Depositary Shares representing the Stock to be redeemed or converted and of the number of such shares of Stock held by the Depositary to be redeemed or converted. The Depositary shall, as directed by the Company in writing, mail, first class postage prepaid, notice of the redemption or conversion of Stock and the proposed simultaneous redemption or conversion of Depositary Shares representing the Stock to be redeemed or converted, not less than 30 and not more than 60 days prior to the date fixed for redemption or conversion of such Stock and Depositary Shares, to the record holders of the Receipts evidencing the Depositary Shares to be so redeemed or converted, at the addresses of such holders as the same appear on the records of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effectiveness of a Merger or Consolidation (as defined in the Certificate of Designation) makes it impracticable to provide at least 30 days’ notice, the Depositary shall provide such notice as soon as practicable prior to such effectiveness. Any such notice shall also be published in the same manner as notices of redemption or conversion of the Stock are required to be published pursuant to the Certificate of Designation. On the date of any such redemption or conversion, the Depositary shall surrender the certificate or certificates held by the Depositary evidencing the number of shares of Stock to be redeemed or converted in the manner specified in the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46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5580" w:right="3980" w:hanging="5572"/>
        <w:spacing w:after="0" w:line="387" w:lineRule="auto"/>
        <w:tabs>
          <w:tab w:leader="none" w:pos="456"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This section to be modified to discuss specific redemption or conversion terms of the Stock, if any. A-3</w:t>
      </w:r>
    </w:p>
    <w:p>
      <w:pPr>
        <w:sectPr>
          <w:pgSz w:w="11900" w:h="16838" w:orient="portrait"/>
          <w:cols w:equalWidth="0" w:num="1">
            <w:col w:w="11380"/>
          </w:cols>
          <w:pgMar w:left="240" w:top="280" w:right="279" w:bottom="1440" w:gutter="0" w:footer="0" w:header="0"/>
        </w:sectPr>
      </w:pPr>
    </w:p>
    <w:bookmarkStart w:id="127" w:name="page128"/>
    <w:bookmarkEnd w:id="12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redemption or conversion of Stock provided by the Company pursuant to the Certificate of Designation. The Depositary shall, thereafter, redeem or convert the number of Depositary Shares representing such redeemed or converted Stock upon the surrender of Receipts evidencing such Depositary Shares in the manner provided in the notice sent to record holders of Receipts; </w:t>
      </w:r>
      <w:r>
        <w:rPr>
          <w:rFonts w:ascii="Arial" w:cs="Arial" w:eastAsia="Arial" w:hAnsi="Arial"/>
          <w:sz w:val="16"/>
          <w:szCs w:val="16"/>
          <w:u w:val="single" w:color="auto"/>
          <w:color w:val="auto"/>
        </w:rPr>
        <w:t>provided</w:t>
      </w:r>
      <w:r>
        <w:rPr>
          <w:rFonts w:ascii="Arial" w:cs="Arial" w:eastAsia="Arial" w:hAnsi="Arial"/>
          <w:sz w:val="16"/>
          <w:szCs w:val="16"/>
          <w:color w:val="auto"/>
        </w:rPr>
        <w:t>, that the Depositary shall have received, upon surrendering such certificate or certificates as aforesaid, a sufficient number of shares of Common Stock to convert or redeem such number of Depositary Shares (including, in the event that the Company elects pursuant to the Certificate of Designation to exercise any option to deliver shares of Common Stock in lieu of any cash consideration payable on the Effective Date (as defined in the Certificate of Designation) of any Merger or Consolidation, a number of shares of Common Stock equal to such cash consideration (as determined in the manner set forth in the Certificate of Designation)), plus any accrued and unpaid dividends payable with respect thereto to and including the date of any such redemption or conversion and any other cash consideration payable on the Effective Date of a Merger or Consolidation (other than any dividends or other cash consideration payable on the Effective Date of a Merger or Consolidation that the Company has elected to pay in shares of Common Stock pursuant to the Certificate of Designation). In case fewer than all the outstanding Depositary Shares are to be redeemed, the Depositary Shares to be redeemed shall be selected by the Depositary by lot or on a pro rata basis.</w:t>
      </w:r>
    </w:p>
    <w:p>
      <w:pPr>
        <w:spacing w:after="0" w:line="114"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Notice having been mailed and published as aforesaid, from and after the redemption or conversion date (unless the Company shall have failed to redeem or convert the shares of Stock to be redeemed or converted by it upon the surrender of the certificate or certificates therefor by the Depositary as described above), the Depositary Shares called for redemption or subject to conversion shall be deemed no longer to be outstanding and all rights of the holders of Receipts evidencing such Depositary Shares (except the right to receive the shares of Common Stock and cash, if any, payable upon redemption or conversion upon surrender of such Receipts) shall, to the extent of such Depositary Shares, cease and terminate. Upon surrender in accordance with said notice of the Receipts evidencing such Depositary Shares (properly endorsed or assigned for transfer, if the Depositary shall so require), such Depositary Shares shall be converted into</w:t>
      </w:r>
    </w:p>
    <w:tbl>
      <w:tblPr>
        <w:tblLayout w:type="fixed"/>
        <w:tblInd w:w="0" w:type="dxa"/>
        <w:tblCellMar>
          <w:top w:w="0" w:type="dxa"/>
          <w:left w:w="0" w:type="dxa"/>
          <w:bottom w:w="0" w:type="dxa"/>
          <w:right w:w="0" w:type="dxa"/>
        </w:tblCellMar>
      </w:tblPr>
      <w:tr>
        <w:trPr>
          <w:trHeight w:val="178"/>
        </w:trPr>
        <w:tc>
          <w:tcPr>
            <w:tcW w:w="4200" w:type="dxa"/>
            <w:vAlign w:val="bottom"/>
            <w:gridSpan w:val="3"/>
          </w:tcPr>
          <w:p>
            <w:pPr>
              <w:spacing w:after="0" w:line="178" w:lineRule="exact"/>
              <w:rPr>
                <w:sz w:val="20"/>
                <w:szCs w:val="20"/>
                <w:color w:val="auto"/>
              </w:rPr>
            </w:pPr>
            <w:r>
              <w:rPr>
                <w:rFonts w:ascii="Arial" w:cs="Arial" w:eastAsia="Arial" w:hAnsi="Arial"/>
                <w:sz w:val="18"/>
                <w:szCs w:val="18"/>
                <w:color w:val="auto"/>
                <w:w w:val="87"/>
              </w:rPr>
              <w:t>or redeemed for shares of Common Stock at a rate equal to</w:t>
            </w:r>
          </w:p>
        </w:tc>
        <w:tc>
          <w:tcPr>
            <w:tcW w:w="860" w:type="dxa"/>
            <w:vAlign w:val="bottom"/>
            <w:tcBorders>
              <w:bottom w:val="single" w:sz="8" w:color="auto"/>
            </w:tcBorders>
          </w:tcPr>
          <w:p>
            <w:pPr>
              <w:spacing w:after="0"/>
              <w:rPr>
                <w:sz w:val="15"/>
                <w:szCs w:val="15"/>
                <w:color w:val="auto"/>
              </w:rPr>
            </w:pPr>
          </w:p>
        </w:tc>
        <w:tc>
          <w:tcPr>
            <w:tcW w:w="6260" w:type="dxa"/>
            <w:vAlign w:val="bottom"/>
          </w:tcPr>
          <w:p>
            <w:pPr>
              <w:ind w:left="60"/>
              <w:spacing w:after="0" w:line="178" w:lineRule="exact"/>
              <w:rPr>
                <w:sz w:val="20"/>
                <w:szCs w:val="20"/>
                <w:color w:val="auto"/>
              </w:rPr>
            </w:pPr>
            <w:r>
              <w:rPr>
                <w:rFonts w:ascii="Arial" w:cs="Arial" w:eastAsia="Arial" w:hAnsi="Arial"/>
                <w:sz w:val="18"/>
                <w:szCs w:val="18"/>
                <w:color w:val="auto"/>
                <w:w w:val="91"/>
              </w:rPr>
              <w:t>of the number of shares of Common Stock delivered, and the holders thereof shall be</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w w:val="94"/>
              </w:rPr>
              <w:t>entitled to</w:t>
            </w:r>
          </w:p>
        </w:tc>
        <w:tc>
          <w:tcPr>
            <w:tcW w:w="880" w:type="dxa"/>
            <w:vAlign w:val="bottom"/>
            <w:tcBorders>
              <w:bottom w:val="single" w:sz="8" w:color="auto"/>
            </w:tcBorders>
          </w:tcPr>
          <w:p>
            <w:pPr>
              <w:spacing w:after="0"/>
              <w:rPr>
                <w:sz w:val="17"/>
                <w:szCs w:val="17"/>
                <w:color w:val="auto"/>
              </w:rPr>
            </w:pPr>
          </w:p>
        </w:tc>
        <w:tc>
          <w:tcPr>
            <w:tcW w:w="96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8"/>
              </w:rPr>
              <w:t>of the cash, if any, payable, in respect of the shares of Stock pursuant to the Certificate of Designation. The foregoing is subject further to</w:t>
            </w:r>
          </w:p>
        </w:tc>
      </w:tr>
    </w:tbl>
    <w:p>
      <w:pPr>
        <w:spacing w:after="0" w:line="19"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terms and conditions of the Certificate of Designation. If fewer than all of the Depositary Shares evidenced by this Receipt are called for redemption, the Depositary will deliver to the holder of this Receipt upon its surrender to the Depositary, together with shares of Common Stock and all accrued and unpaid dividends to and including the date fixed for redemption payable in respect of the Depositary Shares called for redemption, a new Receipt evidencing the Depositary Shares evidenced by such prior Receipt and not called for redemption.</w:t>
      </w:r>
    </w:p>
    <w:p>
      <w:pPr>
        <w:spacing w:after="0" w:line="99" w:lineRule="exact"/>
        <w:rPr>
          <w:sz w:val="20"/>
          <w:szCs w:val="20"/>
          <w:color w:val="auto"/>
        </w:rPr>
      </w:pPr>
    </w:p>
    <w:p>
      <w:pPr>
        <w:ind w:firstLine="464"/>
        <w:spacing w:after="0" w:line="259"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Surrender of Receipts and Withdrawal of Stock</w:t>
      </w:r>
      <w:r>
        <w:rPr>
          <w:rFonts w:ascii="Arial" w:cs="Arial" w:eastAsia="Arial" w:hAnsi="Arial"/>
          <w:sz w:val="18"/>
          <w:szCs w:val="18"/>
          <w:color w:val="auto"/>
        </w:rPr>
        <w:t>. Upon surrender of this Receipt to the Depositary at the Corporate Office, the New York Office or at such other offices as the Depositary may designate, and subject to the provisions of the Deposit Agreement, the holder hereof is entitled to withdraw, and to obtain delivery, without unreasonable delay, to or upon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128" w:name="page129"/>
    <w:bookmarkEnd w:id="12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order of such holder, any or all of the Stock (but only in whole shares of Stock) and all money and other property, if any, at the time represented by the Depositary Shares evidenced by this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this Receipt shall evidence a number of Depositary Shares in excess of the number of Depositary Shares representing the whole number of shares of Stock to be withdrawn, the Depositary shall, in addition to such whole number of shares of Stock and such money and other property, if any, to be withdrawn, deliver, to or upon the order of such holder, a new Receipt or Receipts evidencing such excess number of whole Depositary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shall not issue any Receipt evidencing a fractional Depositary Share.</w:t>
      </w:r>
    </w:p>
    <w:p>
      <w:pPr>
        <w:spacing w:after="0" w:line="102" w:lineRule="exact"/>
        <w:rPr>
          <w:sz w:val="20"/>
          <w:szCs w:val="20"/>
          <w:color w:val="auto"/>
        </w:rPr>
      </w:pPr>
    </w:p>
    <w:p>
      <w:pPr>
        <w:ind w:firstLine="464"/>
        <w:spacing w:after="0" w:line="291"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Transfers, Split-ups, Combinations</w:t>
      </w:r>
      <w:r>
        <w:rPr>
          <w:rFonts w:ascii="Arial" w:cs="Arial" w:eastAsia="Arial" w:hAnsi="Arial"/>
          <w:sz w:val="16"/>
          <w:szCs w:val="16"/>
          <w:color w:val="auto"/>
        </w:rPr>
        <w:t xml:space="preserve">. Subject to Paragraphs 6, 7 and 8 below, this Receipt is transferable on the books of the Depositary upon surrender of this Receipt to the Depositary at the Corporate Office or the New York Office, or at such other offices as the Depositary may designate, properly endorsed or accompanied by a properly executed instrument of transfer, and upon such transfer the Depositary shall sign and deliver a Receipt or Receipts to or upon the order of the person entitled thereto, all as provided in and subject to the Deposit Agreement. This Receipt may be split into other Receipts or combined with other Receipts into one Receipt evidencing the same aggregate number of Depositary Shares evidenced by the Receipt or Receipts surrendered;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Depositary shall not issue any Receipt evidencing a fractional Depositary Share.</w:t>
      </w:r>
    </w:p>
    <w:p>
      <w:pPr>
        <w:spacing w:after="0" w:line="106" w:lineRule="exact"/>
        <w:rPr>
          <w:rFonts w:ascii="Arial" w:cs="Arial" w:eastAsia="Arial" w:hAnsi="Arial"/>
          <w:sz w:val="16"/>
          <w:szCs w:val="16"/>
          <w:color w:val="auto"/>
        </w:rPr>
      </w:pPr>
    </w:p>
    <w:p>
      <w:pPr>
        <w:ind w:right="20" w:firstLine="464"/>
        <w:spacing w:after="0" w:line="286"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Conditions to Signing and Delivery, Transfer, etc., of Receipts</w:t>
      </w:r>
      <w:r>
        <w:rPr>
          <w:rFonts w:ascii="Arial" w:cs="Arial" w:eastAsia="Arial" w:hAnsi="Arial"/>
          <w:sz w:val="16"/>
          <w:szCs w:val="16"/>
          <w:color w:val="auto"/>
        </w:rPr>
        <w:t>. Prior to the execution and delivery, registration of transfer, split-up, combination, surrender or exchange of this Receipt, the delivery of any distribution hereon or the withdrawal or deposit of Stock, the Depositary, any of the Depositary’s Agents or the Company may require any or all of the following: (a) payment to it of a sum sufficient for the payment (or, in the event that the Depositary or the Company shall have made such payment, the reimbursement to it) of any tax or other governmental charge with respect thereto (including any such tax or charge with respect to Stock being deposited or withdrawn or with respect to Common Stock or other securities or property of the Company being issued upon conversion or redemption); (b) production of proof satisfactory to it as to the identity and genuineness of any signature and (c) compliance with such reasonable regulations, if any, as the Depositary or the Company may establish not inconsistent with the Deposit Agreement. Any person presenting Stock for deposit, or any holder of this Receipt, may be required to file such proof of information, to execute such certificates and to make such representations and warranties as the Depositary or the Company may reasonably deem necessary or proper. The Depositary or the Company may withhold or delay the delivery of this Receipt, the registration of transfer, redemption, conversion or exchange of this Receipt, the withdrawal of the Stock represented by the Depositary Shares evidenced by this Receipt or the distribution of any dividend or other distribution until such proof or other information is filed, such certificates are executed or such representations and warranties are made.</w:t>
      </w:r>
    </w:p>
    <w:p>
      <w:pPr>
        <w:spacing w:after="0" w:line="110" w:lineRule="exact"/>
        <w:rPr>
          <w:rFonts w:ascii="Arial" w:cs="Arial" w:eastAsia="Arial" w:hAnsi="Arial"/>
          <w:sz w:val="16"/>
          <w:szCs w:val="16"/>
          <w:color w:val="auto"/>
        </w:rPr>
      </w:pPr>
    </w:p>
    <w:p>
      <w:pPr>
        <w:ind w:right="200"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Suspension of Delivery, Transfer, etc</w:t>
      </w:r>
      <w:r>
        <w:rPr>
          <w:rFonts w:ascii="Arial" w:cs="Arial" w:eastAsia="Arial" w:hAnsi="Arial"/>
          <w:sz w:val="16"/>
          <w:szCs w:val="16"/>
          <w:color w:val="auto"/>
        </w:rPr>
        <w:t>. The deposit of Stock may be refused and the delivery of this Receipt against Stock or the registration of transfer, split-up, combination, surrender or exchange of this Receipt and the withdrawal of deposited Stock may be suspended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129" w:name="page130"/>
    <w:bookmarkEnd w:id="129"/>
    <w:p>
      <w:pPr>
        <w:ind w:left="-8" w:right="20" w:firstLine="8"/>
        <w:spacing w:after="0" w:line="290" w:lineRule="auto"/>
        <w:tabs>
          <w:tab w:leader="none" w:pos="231"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any period when the register of shareholders of the Company is closed, (b) if any such action is deemed necessary or advisable by the Depositary, any of the Depositary’s Agents or the Company at any time or from time to time because of any requirement of law or of any government or governmental body or commission, or under any provision of the Deposit Agreement, or (c) with the approval of the Company, for any other reason. The Depositary shall not be required (x) to issue, transfer or exchange any Receipts for a period beginning at the opening of business 15 days next preceding any selection of Depositary Shares and Stock to be redeemed and ending at the close of business on the day of the mailing of notice of redemption of Depositary Shares or (y) to transfer or exchange for another Receipt any Receipt evidencing Depositary Shares called or being called for redemption, in whole or in part, or subject to conversion except as provided in the last sentence of Paragraph 3.</w:t>
      </w:r>
    </w:p>
    <w:p>
      <w:pPr>
        <w:spacing w:after="0" w:line="104" w:lineRule="exact"/>
        <w:rPr>
          <w:rFonts w:ascii="Arial" w:cs="Arial" w:eastAsia="Arial" w:hAnsi="Arial"/>
          <w:sz w:val="16"/>
          <w:szCs w:val="16"/>
          <w:color w:val="auto"/>
        </w:rPr>
      </w:pPr>
    </w:p>
    <w:p>
      <w:pPr>
        <w:ind w:left="-8" w:firstLine="464"/>
        <w:spacing w:after="0" w:line="287" w:lineRule="auto"/>
        <w:tabs>
          <w:tab w:leader="none" w:pos="624"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Payment of Taxes or Other Governmental Charges</w:t>
      </w:r>
      <w:r>
        <w:rPr>
          <w:rFonts w:ascii="Arial" w:cs="Arial" w:eastAsia="Arial" w:hAnsi="Arial"/>
          <w:sz w:val="16"/>
          <w:szCs w:val="16"/>
          <w:color w:val="auto"/>
        </w:rPr>
        <w:t>. If any tax or other governmental charge shall become payable by or on behalf of the Depositary with respect to (a) this Receipt, (b) the Depositary Shares evidenced by this Receipt, (c) the Stock (or fractional interest therein) or other property represented by such Depositary Shares, or (d) any transaction referred to in Section 4.6 of the Deposit Agreement, such tax (including transfer, issuance or acquisition taxes, if any) or governmental charge shall be payable by the holder of this Receipt, who shall pay the amount thereof to the Depositary. Until such payment is made, registration of transfer of this Receipt or any split-up or combination hereof or any withdrawal of the Stock or money or other property, if any, represented by the Depositary Shares evidenced by this Receipt may be refused, any dividend or other distribution may be withheld and any part or all of the Stock or other property (including Common Stock received in connection with a conversion or redemption of Stock) represented by the Depositary Shares evidenced by this Receipt may be sold for the account of the holder hereof (after attempting by reasonable means to notify such holder prior to such sale). Any dividend or other distribution so withheld and the proceeds of any such sale may be applied to any payment of such tax or other governmental charge, the holder of this Receipt remaining liable for any deficiency.</w:t>
      </w:r>
    </w:p>
    <w:p>
      <w:pPr>
        <w:spacing w:after="0" w:line="109" w:lineRule="exact"/>
        <w:rPr>
          <w:rFonts w:ascii="Arial" w:cs="Arial" w:eastAsia="Arial" w:hAnsi="Arial"/>
          <w:sz w:val="16"/>
          <w:szCs w:val="16"/>
          <w:color w:val="auto"/>
        </w:rPr>
      </w:pPr>
    </w:p>
    <w:p>
      <w:pPr>
        <w:ind w:left="-8" w:firstLine="464"/>
        <w:spacing w:after="0" w:line="287" w:lineRule="auto"/>
        <w:tabs>
          <w:tab w:leader="none" w:pos="624"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form of the Receipts and any provision of the Deposit Agreement may at any time and from time to time be amended by agreement between the Company and the Depositary in any respect that they may deem necessary or desirable. Any amendment that shall impose or increase any fees, taxes or charges payable by holders of Receipts (other than taxes and other governmental charges, fees and other expenses payable by holders as provided herein or in the Deposit Agreement), or that shall otherwise prejudice any substantial existing right of holders of Receipts, shall not become effective as to outstanding Receipts until the expiration of 30 days after such notice of such amendment shall have been given to the record holders of outstanding Receipts. The holder of this Receipt at the time any such amendment becomes effective shall be deemed, by continuing to hold this Receipt, to consent and agree to such amendment and to be bound by the Deposit Agreement as amended thereby. In no event shall any amendment impair the right, subject to the provisions of Paragraphs 3, 4, 6, 7 and 8 hereof and of Sections 2.4, 2.7 and 2.8 and Article III of the Deposit Agreement, of the owner of the Depositary Shares evidenced by this Receipt to surrender this Receipt with instructions to the Depositary to deliver to the holder the Stock and all money and other property, if any, represented thereby, except in order to comply with mandatory provisions of applicable law.</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92"/>
          </w:cols>
          <w:pgMar w:left="248" w:top="280" w:right="259" w:bottom="1440" w:gutter="0" w:footer="0" w:header="0"/>
        </w:sectPr>
      </w:pPr>
    </w:p>
    <w:bookmarkStart w:id="130" w:name="page131"/>
    <w:bookmarkEnd w:id="130"/>
    <w:p>
      <w:pPr>
        <w:ind w:left="-20" w:right="40" w:firstLine="464"/>
        <w:spacing w:after="0" w:line="259"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Charges and Expenses</w:t>
      </w:r>
      <w:r>
        <w:rPr>
          <w:rFonts w:ascii="Arial" w:cs="Arial" w:eastAsia="Arial" w:hAnsi="Arial"/>
          <w:sz w:val="18"/>
          <w:szCs w:val="18"/>
          <w:color w:val="auto"/>
        </w:rPr>
        <w:t>. The Company will pay all fees, charges and expenses of the Depositary, except for taxes (including transfer taxes, if any) and other governmental charges and such charges as are expressly provided in the Deposit Agreement to be at the expense of persons depositing Stock, holders of Receipts or other persons.</w:t>
      </w:r>
    </w:p>
    <w:p>
      <w:pPr>
        <w:spacing w:after="0" w:line="126" w:lineRule="exact"/>
        <w:rPr>
          <w:rFonts w:ascii="Arial" w:cs="Arial" w:eastAsia="Arial" w:hAnsi="Arial"/>
          <w:sz w:val="18"/>
          <w:szCs w:val="18"/>
          <w:color w:val="auto"/>
        </w:rPr>
      </w:pPr>
    </w:p>
    <w:p>
      <w:pPr>
        <w:ind w:left="-20" w:right="40" w:firstLine="464"/>
        <w:spacing w:after="0" w:line="291" w:lineRule="auto"/>
        <w:tabs>
          <w:tab w:leader="none" w:pos="69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Title to Receipts</w:t>
      </w:r>
      <w:r>
        <w:rPr>
          <w:rFonts w:ascii="Arial" w:cs="Arial" w:eastAsia="Arial" w:hAnsi="Arial"/>
          <w:sz w:val="16"/>
          <w:szCs w:val="16"/>
          <w:color w:val="auto"/>
        </w:rPr>
        <w:t xml:space="preserve">. It is a condition of this Receipt, and every successive holder hereof by accepting or holding the same consents and agrees, that title to this Receipt (and to the Depositary Shares evidenced hereby), when properly endorsed or accompanied by a properly executed instrument of transfer, is transferable by delivery with the same effect as in the case of a negotiable instrument;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until transfer of a Receipt shall be registered on the books of the Depositary as provided in Section 2.5 of the Deposit Agreement, the Depositary may, notwithstanding any notice to the contrary, treat the record holder hereof at such time as the absolute owner hereof for the purpose of determining the person entitled to distribution of dividends or other distributions or to any notice provided for in the Deposit Agreement and for all other purposes.</w:t>
      </w:r>
    </w:p>
    <w:p>
      <w:pPr>
        <w:spacing w:after="0" w:line="106" w:lineRule="exact"/>
        <w:rPr>
          <w:rFonts w:ascii="Arial" w:cs="Arial" w:eastAsia="Arial" w:hAnsi="Arial"/>
          <w:sz w:val="16"/>
          <w:szCs w:val="16"/>
          <w:color w:val="auto"/>
        </w:rPr>
      </w:pPr>
    </w:p>
    <w:p>
      <w:pPr>
        <w:ind w:left="-20" w:right="20" w:firstLine="464"/>
        <w:spacing w:after="0" w:line="288"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xml:space="preserve">. Whenever the Depositary shall receive any cash dividend or other cash distribution on the Stock, the Depositary shall, subject to the provisions of the Deposit Agreement, distribute to record holders of Receipts such amounts of such sums as are, as nearly as practicable, in proportion to the respective numbers of Depositary Shares evidenced by the Receipts held by such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case the Company or the Depositary shall be required by law to withhold and does withhold from any cash dividend or other cash distribution in respect of the Stock an amount on account of taxes or as otherwise required by law, regulation or court process, the amount made available for distribution or distributed in respect of Depositary Shares shall be reduced accordingly. The Depositary shall distribute or make available for distribution, as the case may be, only such amount, however, as can be distributed without attributing to any owner of Depositary Shares a fraction of one cent and any balance not so distributable shall be held by the Depositary (without liability for interest thereon) and shall be added to and be treated as part of the next sum received by the Depositary for distribution to record holders of Receipts then outstanding.</w:t>
      </w:r>
    </w:p>
    <w:p>
      <w:pPr>
        <w:spacing w:after="0" w:line="106" w:lineRule="exact"/>
        <w:rPr>
          <w:rFonts w:ascii="Arial" w:cs="Arial" w:eastAsia="Arial" w:hAnsi="Arial"/>
          <w:sz w:val="16"/>
          <w:szCs w:val="16"/>
          <w:color w:val="auto"/>
        </w:rPr>
      </w:pPr>
    </w:p>
    <w:p>
      <w:pPr>
        <w:ind w:left="-20" w:firstLine="464"/>
        <w:spacing w:after="0" w:line="298"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Subscription Rights, Preferences or Privileges</w:t>
      </w:r>
      <w:r>
        <w:rPr>
          <w:rFonts w:ascii="Arial" w:cs="Arial" w:eastAsia="Arial" w:hAnsi="Arial"/>
          <w:sz w:val="16"/>
          <w:szCs w:val="16"/>
          <w:color w:val="auto"/>
        </w:rPr>
        <w:t>. If the Company shall at any time offer or cause to be offered to the persons in whose name Stock is registered on the books of the Company any rights, preferences or privileges to subscribe for or to purchase any securities or any rights, preferences or privileges of any other nature, such rights, preferences or privileges shall in each such instance, subject to the provisions of the Deposit Agreement, be made available by the Depositary to the record holders of Receipts in such manner as the Company shall instruct.</w:t>
      </w:r>
    </w:p>
    <w:p>
      <w:pPr>
        <w:spacing w:after="0" w:line="99" w:lineRule="exact"/>
        <w:rPr>
          <w:rFonts w:ascii="Arial" w:cs="Arial" w:eastAsia="Arial" w:hAnsi="Arial"/>
          <w:sz w:val="16"/>
          <w:szCs w:val="16"/>
          <w:color w:val="auto"/>
        </w:rPr>
      </w:pPr>
    </w:p>
    <w:p>
      <w:pPr>
        <w:ind w:left="-20" w:right="100" w:firstLine="464"/>
        <w:spacing w:after="0" w:line="268"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Notice of Dividends, Fixing of Record Date</w:t>
      </w:r>
      <w:r>
        <w:rPr>
          <w:rFonts w:ascii="Arial" w:cs="Arial" w:eastAsia="Arial" w:hAnsi="Arial"/>
          <w:sz w:val="18"/>
          <w:szCs w:val="18"/>
          <w:color w:val="auto"/>
        </w:rPr>
        <w:t>. Whenever (a) any cash dividend or other cash distribution shall become payable, or any distribution other than cash shall be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80" w:right="239" w:bottom="1440" w:gutter="0" w:footer="0" w:header="0"/>
        </w:sectPr>
      </w:pPr>
    </w:p>
    <w:bookmarkStart w:id="131" w:name="page132"/>
    <w:bookmarkEnd w:id="131"/>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any rights, preferences or privileges shall at any time be offered, with respect to the Stock, or (b) the Depositary shall receive notice of any meeting at which holders of Stock are entitled to vote or of which holders of Stock are entitled to notice or of the mandatory conversion of, or any election on the part of the Company to call for redemption of, any shares of Stock, the Depositary shall in each such instance fix a record date (which shall be the same date as the record date fixed by the Company with respect to the Stock) for the determination of the holders of Receipts (i) who shall be entitled to receive such dividend, distribution, rights, preferences or privileges or the net proceeds of the sale thereof, or (ii) who shall be entitled to give instructions for the exercise of voting rights at any such meeting or of such meeting or to receive notice of such conversion or redemption.</w:t>
      </w:r>
    </w:p>
    <w:p>
      <w:pPr>
        <w:spacing w:after="0" w:line="107" w:lineRule="exact"/>
        <w:rPr>
          <w:sz w:val="20"/>
          <w:szCs w:val="20"/>
          <w:color w:val="auto"/>
        </w:rPr>
      </w:pPr>
    </w:p>
    <w:p>
      <w:pPr>
        <w:ind w:right="20" w:firstLine="464"/>
        <w:spacing w:after="0" w:line="287"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Upon receipt of notice of any meeting at which the holders of Stock are entitled to vote, the Depositary shall, as soon as practicable thereafter, mail to the record holders of Receipts a notice, which shall contain (a) such information as is contained in such notice of meeting, (b) a statement that the holders of Receipts at the close of business on a specified record date determined as provided in Paragraph 14 will be entitled, subject to any applicable provision of law, the Articles of Incorporation or the Certificate of Designation, to instruct the Depositary as to the exercise of the voting rights pertaining to the Stock represented by their respective Depositary Shares, and (c) a brief statement as to the manner in which such instructions may be given. Upon the written request of a holder of this Receipt on such record date the Depositary shall use its reasonable best efforts to vote or cause to be voted the Stock represented by the Depositary Shares evidenced by this Receipt in accordance with the instructions set forth in such request. The Company hereby agrees to take all reasonable action that may be deemed necessary by the Depositary in order to enable the Depositary to vote such Stock or cause such Stock to be voted. In the absence of specific instructions from the holder of this Receipt, the Depositary will abstain from voting to the extent of the Stock represented by the Depositary Shares evidenced by this Receipt.</w:t>
      </w:r>
    </w:p>
    <w:p>
      <w:pPr>
        <w:spacing w:after="0" w:line="109" w:lineRule="exact"/>
        <w:rPr>
          <w:rFonts w:ascii="Arial" w:cs="Arial" w:eastAsia="Arial" w:hAnsi="Arial"/>
          <w:sz w:val="16"/>
          <w:szCs w:val="16"/>
          <w:color w:val="auto"/>
        </w:rPr>
      </w:pPr>
    </w:p>
    <w:p>
      <w:pPr>
        <w:ind w:firstLine="464"/>
        <w:spacing w:after="0" w:line="254"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Reports, Inspection of Transfer Books</w:t>
      </w:r>
      <w:r>
        <w:rPr>
          <w:rFonts w:ascii="Arial" w:cs="Arial" w:eastAsia="Arial" w:hAnsi="Arial"/>
          <w:sz w:val="18"/>
          <w:szCs w:val="18"/>
          <w:color w:val="auto"/>
        </w:rPr>
        <w:t>. The Depositary shall make available for inspection by holders of Receipts at the Corporate Office, the New York Office and at such other places as it may from time to time deem advisable during normal business hours any reports and communications received from the Company that are received by the Depositary as the holder of Stock. The Depositary shall keep books at the Corporate Office for the registration and transfer of Receipts, which books at all reasonable times will be open for inspection by the record holders of Receipts; provided that any such holder requesting to exercise such right shall certify to the Depositary that such inspection shall be for a proper purpose reasonably related to such person’s interest as an owner of Depositary Shares.</w:t>
      </w:r>
    </w:p>
    <w:p>
      <w:pPr>
        <w:spacing w:after="0" w:line="130" w:lineRule="exact"/>
        <w:rPr>
          <w:rFonts w:ascii="Arial" w:cs="Arial" w:eastAsia="Arial" w:hAnsi="Arial"/>
          <w:sz w:val="18"/>
          <w:szCs w:val="18"/>
          <w:color w:val="auto"/>
        </w:rPr>
      </w:pPr>
    </w:p>
    <w:p>
      <w:pPr>
        <w:ind w:right="100" w:firstLine="464"/>
        <w:spacing w:after="0" w:line="256"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Liability of the Depositary, the Depositary’s Agents, the Registrar and the Company</w:t>
      </w:r>
      <w:r>
        <w:rPr>
          <w:rFonts w:ascii="Arial" w:cs="Arial" w:eastAsia="Arial" w:hAnsi="Arial"/>
          <w:sz w:val="18"/>
          <w:szCs w:val="18"/>
          <w:color w:val="auto"/>
        </w:rPr>
        <w:t>. Neither the Depositary nor any Depositary’s Agent nor the Registrar nor the Company shall incur any liability to any holder of this Receipt, if by reason of any provision of any present or future law or regulation thereunder of any governmental authority or, in the case of the Depositary, the Registrar or any Depositary’s Agent, by reason of any provision present or future, of the Articles of Incorporation or the Certificate of Designation or, in the case of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280" w:right="279" w:bottom="1440" w:gutter="0" w:footer="0" w:header="0"/>
        </w:sectPr>
      </w:pPr>
    </w:p>
    <w:bookmarkStart w:id="132" w:name="page133"/>
    <w:bookmarkEnd w:id="13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Depositary, the Registrar or any Depositary’s Agent, by reason of any act of God or war or other circumstances beyond the control of the relevant party, the Depositary, any Depositary’s Agent, the Registrar or the Company shall be prevented, delayed or forbidden from, or subjected to any penalty on account of, doing or performing any act or thing that the terms of the Deposit Agreement provide shall be done or performed; nor shall the Depositary, any Depositary’s Agent, the Registrar or the Company incur any liability to any holder of this Receipt (a) by reason of any nonperformance or delay, caused as aforesaid, in the performance of any act or thing that the terms of the Deposit Agreement provide shall or may be done or performed, or (b) by reason of any exercise of, or failure to exercise, any discretion provided for in the Deposit Agreement except, in the case of the Depositary, any Depositary’s Agent or the Registrar, if such exercise or failure to exercise discretion is caused by its negligence, bad faith or willful misconduct.</w:t>
      </w:r>
    </w:p>
    <w:p>
      <w:pPr>
        <w:spacing w:after="0" w:line="105" w:lineRule="exact"/>
        <w:rPr>
          <w:sz w:val="20"/>
          <w:szCs w:val="20"/>
          <w:color w:val="auto"/>
        </w:rPr>
      </w:pPr>
    </w:p>
    <w:p>
      <w:pPr>
        <w:ind w:right="60" w:firstLine="464"/>
        <w:spacing w:after="0" w:line="294"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Obligations of the Depositary, the Depositary’s Agents, the Registrar and the Company</w:t>
      </w:r>
      <w:r>
        <w:rPr>
          <w:rFonts w:ascii="Arial" w:cs="Arial" w:eastAsia="Arial" w:hAnsi="Arial"/>
          <w:sz w:val="16"/>
          <w:szCs w:val="16"/>
          <w:color w:val="auto"/>
        </w:rPr>
        <w:t>. The Company assumes no obligation and shall be subject to no liability under the Deposit Agreement or this Receipt to the holder hereof or other persons, except to perform in good faith such obligations as are specifically set forth and undertaken by it to perform in the Deposit Agreement. Each of the Depositary, the Depositary’s Agents and the Registrar assumes no obligation and shall be subject to no liability under the Deposit Agreement or this Receipt to the holder hereof or other persons, except to perform such obligations as are specifically set forth and undertaken by it to perform in the Deposit Agreement without negligence or bad faith.</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the Depositary nor any Depositary’s Agent nor the Registrar nor the Company shall be under any obligation to appear in, prosecute or defend any action, suit or other proceeding with respect to Stock, Depositary Shares or Receipts or Common Stock that in its opinion may involve it in expense or liability, unless indemnity satisfactory to it against all expense and liability be furnished as often as may be required.</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Depositary nor any Depositary’s Agent nor the Registrar nor the Company will be liable for any action or failure to act by it in reliance upon the advice of or information from legal counsel, accountants, any person presenting Stock for deposit, any holder of this Receipt or any other person believed by it in good faith to be competent to give such advice or information.</w:t>
      </w:r>
    </w:p>
    <w:p>
      <w:pPr>
        <w:spacing w:after="0" w:line="127" w:lineRule="exact"/>
        <w:rPr>
          <w:sz w:val="20"/>
          <w:szCs w:val="20"/>
          <w:color w:val="auto"/>
        </w:rPr>
      </w:pPr>
    </w:p>
    <w:p>
      <w:pPr>
        <w:ind w:right="40" w:firstLine="464"/>
        <w:spacing w:after="0" w:line="253"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of Deposit Agreement</w:t>
      </w:r>
      <w:r>
        <w:rPr>
          <w:rFonts w:ascii="Arial" w:cs="Arial" w:eastAsia="Arial" w:hAnsi="Arial"/>
          <w:sz w:val="18"/>
          <w:szCs w:val="18"/>
          <w:color w:val="auto"/>
        </w:rPr>
        <w:t>. Whenever so directed by the Company, the Depositary will terminate this Deposit Agreement by mailing notice of such termination to the record holders of all Receipts then outstanding at least 30 days prior to the date fixed in such notice for such termination. The Depositary may likewise terminate the Deposit Agreement if at any time 90 days shall have expired after the Depositary shall have delivered to the Company a written notice of its election to resign and a successor depositary shall not have been appointed and accepted its appointment as provided in Section 5.4 of the Deposit Agreement. In either case, on a date not less than 90 days after such notice, the Depositary shall deliver or make available for delivery to holders of Receipts, upon surrender of the such Receipts evidencing Depositary Shares, such number of whole or fractional shares of the Stock as are represented by the Depositary Shares.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80" w:right="239" w:bottom="1440" w:gutter="0" w:footer="0" w:header="0"/>
        </w:sectPr>
      </w:pPr>
    </w:p>
    <w:bookmarkStart w:id="133" w:name="page134"/>
    <w:bookmarkEnd w:id="133"/>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 Agreement shall automatically terminate after all outstanding Depositary Shares have been redeemed or there has been a final distribution in respect of the Stock in connection with any liquidation, dissolution or winding up of the Company and such distribution has been distributed to the holders of the Receipts.</w:t>
      </w:r>
    </w:p>
    <w:p>
      <w:pPr>
        <w:spacing w:after="0" w:line="12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Upon the termination of the Deposit Agreement, the Company shall be discharged from all obligations thereunder except for its obligations to the Depositary, any Depositary’s Agent and any Registrar under Sections 5.7 and 5.8 of the Deposit Agreement.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any Receipts remain outstanding after the date of termination of the Deposit Agreement, the Depositary thereafter shall discontinue all functions and be discharged from all obligations as provided in the Deposit Agreement, except as specifically provided therein.</w:t>
      </w:r>
    </w:p>
    <w:p>
      <w:pPr>
        <w:spacing w:after="0" w:line="118" w:lineRule="exact"/>
        <w:rPr>
          <w:sz w:val="20"/>
          <w:szCs w:val="20"/>
          <w:color w:val="auto"/>
        </w:rPr>
      </w:pPr>
    </w:p>
    <w:p>
      <w:pPr>
        <w:ind w:firstLine="464"/>
        <w:spacing w:after="0" w:line="332"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Deposit Agreement and this Receipt and all rights thereunder and hereunder and provisions thereof and hereof shall be governed by, and construed in accordance with, the law of the State of New York, including, without limitation, Sections 5-1401 of the New York General Obligations Law.</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280" w:right="259" w:bottom="1440" w:gutter="0" w:footer="0" w:header="0"/>
        </w:sectPr>
      </w:pPr>
    </w:p>
    <w:bookmarkStart w:id="134" w:name="page135"/>
    <w:bookmarkEnd w:id="134"/>
    <w:p>
      <w:pPr>
        <w:ind w:left="4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ASSIGNMENT</w:t>
      </w:r>
    </w:p>
    <w:p>
      <w:pPr>
        <w:spacing w:after="0" w:line="158"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-13970</wp:posOffset>
            </wp:positionV>
            <wp:extent cx="7804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61874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insert social security or other taxpayer identification number of assignee.)</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within Receipt and all rights and interests represented by the Depositary Shares evidenced thereby, and hereby irrevocably constitutes and appoints attorney to transfer the same on the books of the within-named Depositary, with full power of substitution in the premises.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80010</wp:posOffset>
            </wp:positionV>
            <wp:extent cx="25641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30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2"/>
          <w:szCs w:val="22"/>
          <w:color w:val="auto"/>
          <w:vertAlign w:val="superscript"/>
        </w:rPr>
        <w:t>*</w:t>
      </w:r>
    </w:p>
    <w:p>
      <w:pPr>
        <w:spacing w:after="0" w:line="11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NOTICE: The above signatures of the holder(s) hereof must correspond with the name as written upon the face of this Security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46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28" w:lineRule="exact"/>
        <w:rPr>
          <w:sz w:val="20"/>
          <w:szCs w:val="20"/>
          <w:color w:val="auto"/>
        </w:rPr>
      </w:pPr>
    </w:p>
    <w:p>
      <w:pPr>
        <w:ind w:left="220" w:right="200" w:hanging="212"/>
        <w:spacing w:after="0" w:line="256" w:lineRule="auto"/>
        <w:tabs>
          <w:tab w:leader="none" w:pos="2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(Signature must be guaranteed by an “eligible guarantor institution,” that is, a bank, stockbroker, savings and loan association or credit union meeting the requirements of the Conversion Agent, which requirements include membership or participation in the Securities Transfer Agents Medallion Program (“STAMP”) or such other “signature guarantee program” as may be determined by the Conversion Agent in addition to, or in substitution for, STAMP, all in accordance with the Securities Exchange Act of 1934, as amended.)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5.1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158"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29, 2004</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 of Wynn Resorts,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acted as special counsel to Wynn Resorts, Limited, a Nevada corporation (the “Company”), in connection with its filing with the Securities and Exchange Commission (the “Commission”) of a registration statement on Form S-3 to be filed on March 29, 2004 (the “Registration Statement”). The Registration Statement relates to the issuance and sale from time to time, pursuant to Rule 415 of the General Rules and Regulations of the Commission promulgated under the Securities Act of 1933, as amended (the “Securities Act”), of the following securities of the Company with an aggregate initial public offering price of up to $1,000,000,000 or the equivalent thereof in one or more foreign currencies or composite currencies: (i) senior debt securities, senior subordinated debt securities, subordinated debt securities and junior subordinated debt securities (collectively, the “Debt Securities”), which may be issued under indentures (as amended or supplemented, the “Indentures”), to be entered or proposed to be entered into between the Company and trustees that have been or will be appointed prior to the issuance of the Debt Securities (each, a “Trustee”), (ii) shares of preferred stock, par value $.01 per share (the “Preferred Stock”), in one or more series, which may also be issued in the form of depositary shares (the “Depositary Shares”) evidenced by depositary receipts “Receipts”), which may be issued under deposit agreements to be entered into by the Company in respect of the Depositary Shares (each, a “Deposit Agreement”); and (iii) shares of the Company’s common stock, par value $.01 per share (the “Common Stock”).</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rendering the opinions set forth herein, we have examined and relied on originals or copies, certified or otherwise identified to our satisfaction, of:</w:t>
      </w:r>
    </w:p>
    <w:p>
      <w:pPr>
        <w:spacing w:after="0" w:line="100" w:lineRule="exact"/>
        <w:rPr>
          <w:sz w:val="20"/>
          <w:szCs w:val="20"/>
          <w:color w:val="auto"/>
        </w:rPr>
      </w:pPr>
    </w:p>
    <w:p>
      <w:pPr>
        <w:ind w:left="1120" w:hanging="217"/>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Indentures or forms thereof to be filed as exhibits to the Registration Statement;</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form of Deposit Agreement to be filed as an exhibit to the Registration Statement;</w:t>
      </w:r>
    </w:p>
    <w:p>
      <w:pPr>
        <w:sectPr>
          <w:pgSz w:w="11900" w:h="16838" w:orient="portrait"/>
          <w:cols w:equalWidth="0" w:num="1">
            <w:col w:w="11420"/>
          </w:cols>
          <w:pgMar w:left="240" w:top="125" w:right="239" w:bottom="1440" w:gutter="0" w:footer="0" w:header="0"/>
        </w:sectPr>
      </w:pPr>
    </w:p>
    <w:bookmarkStart w:id="136" w:name="page137"/>
    <w:bookmarkEnd w:id="136"/>
    <w:p>
      <w:pPr>
        <w:ind w:left="1200" w:hanging="297"/>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form of Depositary Shares; and</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relating to the transactions contemplated by the Registration Statement and related matters (the “Board Resolutions”).</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below.</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To the extent our opinions set forth below relate to the enforceability of the choice of New York law and choice of New York forum provisions of the Indentures and the Offered Debt Securities (as defined below), our opinion is rendered in reliance upon N.Y. Gen. Oblig. Law §§5-1401, 5-1402 (McKinney 2001) and N.Y. C.P.L.R. 327(b) (McKinney 2001) and is subject to the qualification that such enforceability may be limited by public policy considerations of any jurisdiction, other than the courts of the State of New York, in which enforcement of such provisions, or of a judgment upon an agreement containing such provisions, is sought. We have also assumed that the Company has complied with all aspects of applicable laws of jurisdictions other than the State of New York in connection with the transactions contemplated by the Indentures.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11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opinions set forth herein are limited to the laws of the State of New York that, in our experience, are applicable to securities of the type covered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37" w:name="page138"/>
    <w:bookmarkEnd w:id="13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and subject to the foregoing and the limitations, qualifications, exceptions and assumptions set forth herein, we are of the opinion that:</w:t>
      </w:r>
    </w:p>
    <w:p>
      <w:pPr>
        <w:spacing w:after="0" w:line="100" w:lineRule="exact"/>
        <w:rPr>
          <w:sz w:val="20"/>
          <w:szCs w:val="20"/>
          <w:color w:val="auto"/>
        </w:rPr>
      </w:pPr>
    </w:p>
    <w:p>
      <w:pPr>
        <w:ind w:left="-20" w:right="60" w:firstLine="464"/>
        <w:spacing w:after="0" w:line="285"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respect to any series of Debt Securities (the “Offered Debt Securities”), when (i) the applicable Indenture has been duly authorized, executed and delivered by each of the Company and the applicable Trustee, as qualified to act under the Trust Indenture Act of 1939; (ii) the Board of Directors of the Company or an authorized committee thereof has taken all necessary corporate action to fix and determine the terms of the Offered Debt Securities in accordance with the Board Resolutions; (iii) the terms of the Offered Debt Securities and of their issuance and sale have been duly established in conformity with the applicable Indenture so as not to violate any applicable law, the Company’s Second Amended and Restated Articles of Incorporation or Third Amended and Restated Bylaws, or result in a default under or breach of any agreement or instrument binding upon the Company, and so as to comply with any requirement or restriction imposed by any court or governmental body having jurisdiction over the Company; and (iv) the Offered Debt Securities have been duly executed and authenticated in accordance with the terms of the applicable Indenture and duly delivered to the purchasers thereof upon payment of the agreed-upon consideration therefor, the Offered Debt Securities will be valid and binding obligations of the Company, enforceable against the Company in accordance with their terms, except (x) to the extent that enforcement thereof may be limited by (1) bankruptcy, insolvency, reorganization, moratorium, fraudulent conveyance or other similar laws now or hereafter in effect relating to creditors’ rights generally, (2) general principles of equity (regardless of whether enforceability is considered in a proceeding at law or in equity), (3) requirements that a claim with respect to any Offered Debt Securities denominated other than in United States dollars (or a judgment denominated other than in United States dollars in respect of such claim) be converted into United States dollars at a rate of exchange prevailing on a date determined pursuant to applicable law and (4) governmental authority to limit, delay or prohibit the making of payments outside the United States or in foreign currency or composite currency and (y) for any waiver with respect to the usury laws.</w:t>
      </w:r>
    </w:p>
    <w:p>
      <w:pPr>
        <w:spacing w:after="0" w:line="112" w:lineRule="exact"/>
        <w:rPr>
          <w:rFonts w:ascii="Arial" w:cs="Arial" w:eastAsia="Arial" w:hAnsi="Arial"/>
          <w:sz w:val="16"/>
          <w:szCs w:val="16"/>
          <w:color w:val="auto"/>
        </w:rPr>
      </w:pPr>
    </w:p>
    <w:p>
      <w:pPr>
        <w:ind w:left="-20" w:firstLine="464"/>
        <w:spacing w:after="0" w:line="287" w:lineRule="auto"/>
        <w:tabs>
          <w:tab w:leader="none" w:pos="612" w:val="left"/>
        </w:tabs>
        <w:numPr>
          <w:ilvl w:val="0"/>
          <w:numId w:val="91"/>
        </w:numPr>
        <w:rPr>
          <w:rFonts w:ascii="Arial" w:cs="Arial" w:eastAsia="Arial" w:hAnsi="Arial"/>
          <w:sz w:val="16"/>
          <w:szCs w:val="16"/>
          <w:color w:val="auto"/>
        </w:rPr>
      </w:pPr>
      <w:r>
        <w:rPr>
          <w:rFonts w:ascii="Arial" w:cs="Arial" w:eastAsia="Arial" w:hAnsi="Arial"/>
          <w:sz w:val="16"/>
          <w:szCs w:val="16"/>
          <w:color w:val="auto"/>
        </w:rPr>
        <w:t>With respect to Depositary Shares representing fractional interests in any series of Preferred Stock, when (i) the Board of Directors of the Company or an authorized committee thereof has taken all necessary corporate action to fix and determine the terms of the Depositary Shares and the related series of Preferred Stock in accordance with the Board Resolutions, including the adoption of a Certificate of Designation for such related series of Preferred Stock in the form required by applicable law; (ii) such Certificate of Designation has been duly filed with the Secretary of State of the State of Nevada; (iii) the terms of the Depositary Shares and of their issuance and sale have been duly established in conformity with the Deposit Agreement so as not to violate any applicable law, the Company’s Second Amended and Restated Articles of Incorporation or Third Amended and Restated Bylaws or result in a default under or breach of any agreement or instrument binding upon the Company, and so as to comply with any requirement or restriction imposed by any court or governmental body having jurisdiction over the Company; (iv) the applicable Deposit Agreement has been duly executed and delivered; (v) the related shares of Preferred Stock have been duly authorized and validly issued in accordance with the laws of the State of Nevada and delivered to the depositary for deposit in accordance with the Deposit Agreement; and (vi) the Receipts evidencing the Depositary Shares have been duly issued against deposit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38" w:name="page139"/>
    <w:bookmarkEnd w:id="13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related shares of Preferred Stock with the depositary in accordance with the Deposit Agreement, the issuance and sale of the Depositary Shares will be validly issued and the Receipts will entitle the holders thereof to the rights specified therein and in the Deposit Agreement.</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rendering the opinions set forth above, we have assumed that the Company is validly existing and in good standing under the laws of the State of Nevada and has complied with all aspects of such laws in connection with the issuance of the Offered Debt Securities and the related transactions.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Skadden, Arps, Slate, Meagher &amp; Flom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5.2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29,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acted as special Nevada counsel to Wynn Resorts, Limited, a Nevada corporation (the “Company”), in connection with the filing of the Company’s Registration Statement on Form S-3 (the “Registration Statement”) with the Securities and Exchange Commission (the “Commission”) under the Securities Act of 1933, as amended (the “Act”). The Registration Statement relates to the issuance and sale, from time to time, pursuant to Rule 415 of the General Rules and Regulations of the Commission promulgated under the Act, of the following securities of the Company, with an aggregate initial public offering price of up to $1,000,000,000.00, or the equivalent thereof, in one or more foreign currencies or composite currencies: (i) senior debt securities, senior subordinated debt securities, subordinated debt securities and junior subordinated debt securities (collectively, the “Debt Securities”), which may be issued under those certain indentures (the “Indentures”), to be entered into by and between the Company and those certain trustees that have been or will be appointed prior to the issuance of the Debt Securities (the “Trustees”); (ii) shares of the Company’s preferred stock, par value $0.01 per share (the “Preferred Stock”), in one or more series, which may be issued in the form of depositary shares (the “Depositary Shares”) evidenced by depositary receipts (the “Receipts”), which Depositary Shares may be issued under deposit agreements (the “Deposit Agreements”) to be entered into by and between the Company, and that certain depositary that has been or will be appointed prior to the issuance of the Depositary Shares (the “Depositary”), and the holders of the Depositary Shares; and (iii) shares of the Company’s common stock, par value $0.01 per share (the “Common Stock” and, together with the Debt Securities, the Preferred Stock and the Depositary Shares, the “Securities”).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purpose of rendering this opinion, we have examined originals, or copies certified or otherwise identified to our satisfaction as being true copies, of such records, documents, instruments and certificates as, in our judgment, are necessary or appropriate to enable us to render the opinions set forth below, including, but not limited to, the following:</w:t>
      </w:r>
    </w:p>
    <w:p>
      <w:pPr>
        <w:spacing w:after="0" w:line="4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Indenture in the form filed as an exhibit to the Registration Statement;</w:t>
      </w:r>
    </w:p>
    <w:p>
      <w:pPr>
        <w:sectPr>
          <w:pgSz w:w="11900" w:h="16838" w:orient="portrait"/>
          <w:cols w:equalWidth="0" w:num="1">
            <w:col w:w="11420"/>
          </w:cols>
          <w:pgMar w:left="240" w:top="125" w:right="239" w:bottom="1440" w:gutter="0" w:footer="0" w:header="0"/>
        </w:sectPr>
      </w:pPr>
    </w:p>
    <w:bookmarkStart w:id="140" w:name="page141"/>
    <w:bookmarkEnd w:id="14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Deposit Agreement in the form filed as an exhibit to the Registration Statement;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Articles of Incorporation and Bylaws of the Company, each as amended to date (collectively, the “Governing Documents”);</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corporate records and proceedings, minutes, consents, actions and resolutions of the board of directors, committees of the board of directors and stockholders of the Company as we have deemed necessary as a basis for the opinions expressed below;</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Certificate of Existence with Status in Good Standing issued by the office of the Secretary of State of Nevada as of March 15, 2004, with respect to the good standing in Nevada of the Company; and</w:t>
      </w:r>
    </w:p>
    <w:p>
      <w:pPr>
        <w:spacing w:after="0" w:line="37" w:lineRule="exact"/>
        <w:rPr>
          <w:rFonts w:ascii="Arial" w:cs="Arial" w:eastAsia="Arial" w:hAnsi="Arial"/>
          <w:sz w:val="18"/>
          <w:szCs w:val="18"/>
          <w:color w:val="auto"/>
        </w:rPr>
      </w:pPr>
    </w:p>
    <w:p>
      <w:pPr>
        <w:ind w:left="900" w:right="60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certificate of an officer of the Company on behalf of the Company, dated as of the date hereof, with respect to certain factual matters (the “Officer’s Certificate”), and all other certificates of officers of the Company required by or delivered in connection with the transactions contemplated hereby (collectively with the Officer’s Certificate, the “Certificates”).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issuance and sale of the Securities, all as referenced in the Registration Statement. We have made such legal and factual examinations and inquiries as we have deemed necessary or appropriate for the purposes of this opinion. We have also obtained from officers and agents of the Company and from public officials, and have relied upon, such certificates (including, without limitation, the Certificates), representations and assurances as we have deemed necessary and appropriate for the purpose of this rendering this opinion.</w:t>
      </w:r>
    </w:p>
    <w:p>
      <w:pPr>
        <w:spacing w:after="0" w:line="129"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 (i) the Indentures and the Deposit Agreements will each be executed substantially and materially in the form filed as an exhibit to the Registration Statement and each document we reviewed will be duly executed and delivered by the parties thereto to the extent due execution and delivery are prerequisites to the effectiveness thereof; (ii) the obligations of each party set forth in such Indentures and Deposit Agreements are or will be its valid and binding obligations, enforceable in accordance with their respective terms; (iii) the Debt Securities will be issued in accordance with the terms of the Indentures; (iv) the Depositary Shares will be issued in accordance with the terms of the Deposit Agreements; (v) the Depositary Shares will be issued in compliance with, and will not result in a default under or breach of, any agreement or instrument binding upon the Company or any requirement or restriction imposed by any governmental authority, body or agency;</w:t>
      </w:r>
    </w:p>
    <w:p>
      <w:pPr>
        <w:ind w:right="480" w:firstLine="8"/>
        <w:spacing w:after="0" w:line="261" w:lineRule="auto"/>
        <w:tabs>
          <w:tab w:leader="none" w:pos="2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authorization, issuance and sale of the Securities, including, without limitation, all corporate action with respect thereto, will be in compliance with applicable laws and the Governing Documents, as in</w:t>
      </w:r>
    </w:p>
    <w:p>
      <w:pPr>
        <w:sectPr>
          <w:pgSz w:w="11900" w:h="16838" w:orient="portrait"/>
          <w:cols w:equalWidth="0" w:num="1">
            <w:col w:w="11380"/>
          </w:cols>
          <w:pgMar w:left="240" w:top="280" w:right="279" w:bottom="1440" w:gutter="0" w:footer="0" w:header="0"/>
        </w:sectPr>
      </w:pPr>
    </w:p>
    <w:bookmarkStart w:id="141" w:name="page142"/>
    <w:bookmarkEnd w:id="14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effect on the date or dates of such corporate action, issuance or sale; (vii) each natural person signing a document has or will have sufficient legal capacity to do so; (viii) all documents submitted to us as originals are authentic, the signatures on all documents that we examined are genuine, and all documents submitted to us as certified, conformed, photostatic or facsimile copies conform to the original document; (ix) all corporate records made available to us by the Company and all public records we have reviewed are accurate and complete.</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 including any federal securities law, or any state securities or “blue sky” laws.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w:t>
      </w:r>
    </w:p>
    <w:p>
      <w:pPr>
        <w:spacing w:after="0" w:line="37" w:lineRule="exact"/>
        <w:rPr>
          <w:sz w:val="20"/>
          <w:szCs w:val="20"/>
          <w:color w:val="auto"/>
        </w:rPr>
      </w:pPr>
    </w:p>
    <w:p>
      <w:pPr>
        <w:ind w:firstLine="464"/>
        <w:spacing w:after="0" w:line="286" w:lineRule="auto"/>
        <w:tabs>
          <w:tab w:leader="none" w:pos="632"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When and to the extent (a) the board of directors of the Company or an authorized and duly formed committee thereof has taken all necessary corporate action to establish the voting powers, designations, preferences, limitations, restrictions and relative rights of any series of Preferred Stock (the “Authorized Preferred Stock”), and a certificate of designation setting forth such corporate action (the “Certificate of Designation”) has been signed by an officer of the Company and filed with the office of the Nevada Secretary of State, (b) the board of directors of the Company or an authorized and duly formed committee thereof has taken all necessary corporate action to authorize the issuance and sale of shares of Authorized Preferred Stock (the “Shares”) to a purchaser or purchasers pursuant to valid and enforceable purchase agreements for such consideration the board of directors of the Company or duly formed and authorized committee thereof deems adequate, (c) those certain stock certificates of the Company representing the Shares have been manually signed by an authorized officer of the Company or authorized transfer agent and registrar for the Shares, and have been duly registered by such authorized transfer agent and registrar, and thereafter have been delivered to the purchasers of such Shares, and (d) the Company receives payment in full, including, without limitation, payment in full pursuant to any deferred payments arrangements therefor, of such consideration for each Share as prescribed by the Certificate of Designation or as otherwise fixed by the board of directors of the Company or an authorized and duly formed committee thereof, the Shares will be duly authorized, validly issued, fully paid and non-assessable.</w:t>
      </w:r>
    </w:p>
    <w:p>
      <w:pPr>
        <w:sectPr>
          <w:pgSz w:w="11900" w:h="16838" w:orient="portrait"/>
          <w:cols w:equalWidth="0" w:num="1">
            <w:col w:w="11400"/>
          </w:cols>
          <w:pgMar w:left="240" w:top="280"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20" w:firstLine="464"/>
        <w:spacing w:after="0" w:line="286" w:lineRule="auto"/>
        <w:tabs>
          <w:tab w:leader="none" w:pos="612" w:val="left"/>
        </w:tabs>
        <w:numPr>
          <w:ilvl w:val="0"/>
          <w:numId w:val="96"/>
        </w:numPr>
        <w:rPr>
          <w:rFonts w:ascii="Arial" w:cs="Arial" w:eastAsia="Arial" w:hAnsi="Arial"/>
          <w:sz w:val="16"/>
          <w:szCs w:val="16"/>
          <w:color w:val="auto"/>
        </w:rPr>
      </w:pPr>
      <w:r>
        <w:rPr>
          <w:rFonts w:ascii="Arial" w:cs="Arial" w:eastAsia="Arial" w:hAnsi="Arial"/>
          <w:sz w:val="16"/>
          <w:szCs w:val="16"/>
          <w:color w:val="auto"/>
        </w:rPr>
        <w:t>When and to the extent (a) the board of directors of the Company or an authorized and duly formed committee thereof has taken all necessary corporate action to establish the voting powers, designations, preferences, limitations, restrictions and relative rights of any series of Preferred Stock underlying the Depositary Shares (the “Underlying Authorized Preferred Stock”) in accordance with the Deposit Agreement, and a certificate of designation setting forth such corporate action has been signed by an officer of the Company and filed with the office of the Nevada Secretary of State, (b) the board of directors of the Company or an authorized and duly formed committee thereof has taken all necessary corporate action to authorize the issuance and sale of certain shares of Underlying Authorized Preferred Stock (the “Underlying Shares”) to a purchaser or purchasers pursuant to valid and enforceable purchase agreements for such consideration the board of directors of the Company or an authorized and duly formed committee thereof deems adequate, (c) those certain stock certificates of the Company representing the shares of Underlying Stock have been manually signed by an authorized officer of the Company or authorized transfer agent and registrar for the Shares, and have been duly registered by such authorized transfer agent and registrar, and thereafter have been delivered to the purchasers of such Underlying Shares, (d) the board of directors of the Company or an authorized and duly formed committee thereof has taken all necessary corporate action to approve the form of the Deposit Agreement, the issuance of the Receipts by the Depositary on behalf of the Company, and the Company’s execution and delivery of, and performance of its obligations under, the Deposit Agreement, the Underlying Shares will be duly authorized, validly issued, fully paid and non-assessable and the Depositary Shares will be duly authorized.</w:t>
      </w:r>
    </w:p>
    <w:p>
      <w:pPr>
        <w:spacing w:after="0" w:line="107" w:lineRule="exact"/>
        <w:rPr>
          <w:rFonts w:ascii="Arial" w:cs="Arial" w:eastAsia="Arial" w:hAnsi="Arial"/>
          <w:sz w:val="16"/>
          <w:szCs w:val="16"/>
          <w:color w:val="auto"/>
        </w:rPr>
      </w:pPr>
    </w:p>
    <w:p>
      <w:pPr>
        <w:ind w:left="-20" w:right="20" w:firstLine="464"/>
        <w:spacing w:after="0" w:line="288" w:lineRule="auto"/>
        <w:tabs>
          <w:tab w:leader="none" w:pos="612" w:val="left"/>
        </w:tabs>
        <w:numPr>
          <w:ilvl w:val="0"/>
          <w:numId w:val="96"/>
        </w:numPr>
        <w:rPr>
          <w:rFonts w:ascii="Arial" w:cs="Arial" w:eastAsia="Arial" w:hAnsi="Arial"/>
          <w:sz w:val="16"/>
          <w:szCs w:val="16"/>
          <w:color w:val="auto"/>
        </w:rPr>
      </w:pPr>
      <w:r>
        <w:rPr>
          <w:rFonts w:ascii="Arial" w:cs="Arial" w:eastAsia="Arial" w:hAnsi="Arial"/>
          <w:sz w:val="16"/>
          <w:szCs w:val="16"/>
          <w:color w:val="auto"/>
        </w:rPr>
        <w:t>When and to the extent (a) the board of directors of the Company an authorized and duly formed committee thereof has taken all necessary corporate action to authorize the issuance and sale of any shares of Common Stock, including shares of Common Stock issuable upon the due and proper exchange or conversion, as applicable, of any Debt Securities or shares of Preferred Stock that are exchangeable or convertible into Common Stock (collectively, the “Offered Common Stock”), (b) those certain stock certificates of the Company representing the shares of Offered Common Stock have been manually signed by an authorized officer of the Company or authorized transfer agent and registrar for the Offered Common Stock, and have been duly registered by such authorized transfer agent and registrar, and thereafter have been delivered to the purchasers of such Offered Common Stock, and (c) the Company receives payment in full, including, without limitation, payment in full of all conversion and exercise prices or pursuant to any deferred payment arrangements therefor, of such consideration per share of Offered Common Stock as fixed by the board of directors of the Company or an authorized and duly formed thereof, the Offered Common Stock will be duly authorized, validly issued, fully paid and non-assessable.</w:t>
      </w:r>
    </w:p>
    <w:p>
      <w:pPr>
        <w:sectPr>
          <w:pgSz w:w="11900" w:h="16838" w:orient="portrait"/>
          <w:cols w:equalWidth="0" w:num="1">
            <w:col w:w="11360"/>
          </w:cols>
          <w:pgMar w:left="260" w:top="280" w:right="279" w:bottom="1440" w:gutter="0" w:footer="0" w:header="0"/>
        </w:sectPr>
      </w:pPr>
    </w:p>
    <w:bookmarkStart w:id="143" w:name="page144"/>
    <w:bookmarkEnd w:id="14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consent to your filing this opinion as an exhibit to the Registration Statement and to the reference to our firm contained under the heading “Legal Matters.” We further consent to the incorporation by reference of this opinion and consent in any registration statement filed pursuant to Rule 462(b) under the Act with respect to the Securities. In giving these consents, we do not thereby admit that we are within the category of persons whose consent is required under Section 7 of the Act, the rules and regulations of the Commission promulgated thereunder, or Item 509 of Regulation S-K. 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Securities.</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SCHRECK BRIGNONE</w:t>
      </w:r>
    </w:p>
    <w:p>
      <w:pPr>
        <w:sectPr>
          <w:pgSz w:w="11900" w:h="16838" w:orient="portrait"/>
          <w:cols w:equalWidth="0" w:num="1">
            <w:col w:w="11400"/>
          </w:cols>
          <w:pgMar w:left="240" w:top="280" w:right="2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0"/>
              </w:rPr>
              <w:t>Year Ended 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April 21, 2000</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320" w:type="dxa"/>
            <w:vAlign w:val="bottom"/>
          </w:tcPr>
          <w:p>
            <w:pPr>
              <w:spacing w:after="0"/>
              <w:rPr>
                <w:sz w:val="6"/>
                <w:szCs w:val="6"/>
                <w:color w:val="auto"/>
              </w:rPr>
            </w:pPr>
          </w:p>
        </w:tc>
        <w:tc>
          <w:tcPr>
            <w:tcW w:w="11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5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3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2000(1)</w:t>
            </w:r>
          </w:p>
        </w:tc>
        <w:tc>
          <w:tcPr>
            <w:tcW w:w="1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2001(1)</w:t>
            </w:r>
          </w:p>
        </w:tc>
        <w:tc>
          <w:tcPr>
            <w:tcW w:w="1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2002(1)</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2003(1)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Pretax (loss) from continuing operations before adjustment for minority interests in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(17,726)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(32,579)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Add: Fixed charges</w:t>
            </w:r>
          </w:p>
        </w:tc>
        <w:tc>
          <w:tcPr>
            <w:tcW w:w="1060" w:type="dxa"/>
            <w:vAlign w:val="bottom"/>
          </w:tcPr>
          <w:p>
            <w:pPr>
              <w:jc w:val="right"/>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15,420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capitalized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Earnings as adjusted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(17,691)</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(30,666)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1060" w:type="dxa"/>
            <w:vAlign w:val="bottom"/>
          </w:tcPr>
          <w:p>
            <w:pPr>
              <w:jc w:val="right"/>
              <w:spacing w:after="0"/>
              <w:rPr>
                <w:sz w:val="20"/>
                <w:szCs w:val="20"/>
                <w:color w:val="auto"/>
              </w:rPr>
            </w:pPr>
            <w:r>
              <w:rPr>
                <w:rFonts w:ascii="Arial" w:cs="Arial" w:eastAsia="Arial" w:hAnsi="Arial"/>
                <w:sz w:val="18"/>
                <w:szCs w:val="18"/>
                <w:color w:val="auto"/>
              </w:rPr>
              <w:t>6,325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13,507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(505.46)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(1.99)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Deficiency Amount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(16,941)</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(17,726)</w:t>
            </w:r>
          </w:p>
        </w:tc>
        <w:tc>
          <w:tcPr>
            <w:tcW w:w="17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(46,086)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(139,277)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-1630680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-1630680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-1630680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-1630680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-1630680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-1630680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-1630680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-1630680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-773430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-773430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-773430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-773430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-773430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-773430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-773430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-773430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-473075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-473075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-473075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-473075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-473075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-473075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-473075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-473075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-172720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-172720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-172720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Wynn Resorts, Limited’s earnings were insufficient to cover fixed charges by $16.9 million, $17.7 million, $46.1 million and $139.3 million for the period from inception to December 31, 2000, and for the years ended December 31, 2001, 2002 and 2003, respectively.</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of Wynn Resorts, Limited on Form S-3 of our report dated March 5, 2004 appearing in the Annual Report on Form 10-K of Wynn Resorts, Limited for the year ended December 31, 2003 and to the reference to us under the heading “Experts” in such Prospectus, which is part of this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2004</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tbl>
      <w:tblPr>
        <w:tblLayout w:type="fixed"/>
        <w:tblInd w:w="164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4980" w:type="dxa"/>
            <w:vAlign w:val="bottom"/>
            <w:gridSpan w:val="3"/>
          </w:tcPr>
          <w:p>
            <w:pPr>
              <w:jc w:val="center"/>
              <w:ind w:right="1632"/>
              <w:spacing w:after="0"/>
              <w:rPr>
                <w:sz w:val="20"/>
                <w:szCs w:val="20"/>
                <w:color w:val="auto"/>
              </w:rPr>
            </w:pPr>
            <w:r>
              <w:rPr>
                <w:rFonts w:ascii="Arial" w:cs="Arial" w:eastAsia="Arial" w:hAnsi="Arial"/>
                <w:sz w:val="14"/>
                <w:szCs w:val="14"/>
                <w:b w:val="1"/>
                <w:bCs w:val="1"/>
                <w:color w:val="auto"/>
                <w:w w:val="85"/>
              </w:rPr>
              <w:t>(Exact name of Trustee as specified in its charter)</w:t>
            </w:r>
          </w:p>
        </w:tc>
      </w:tr>
      <w:tr>
        <w:trPr>
          <w:trHeight w:val="230"/>
        </w:trPr>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140" w:type="dxa"/>
            <w:vAlign w:val="bottom"/>
          </w:tcPr>
          <w:p>
            <w:pPr>
              <w:spacing w:after="0"/>
              <w:rPr>
                <w:sz w:val="19"/>
                <w:szCs w:val="19"/>
                <w:color w:val="auto"/>
              </w:rPr>
            </w:pPr>
          </w:p>
        </w:tc>
      </w:tr>
      <w:tr>
        <w:trPr>
          <w:trHeight w:val="453"/>
        </w:trPr>
        <w:tc>
          <w:tcPr>
            <w:tcW w:w="2440" w:type="dxa"/>
            <w:vAlign w:val="bottom"/>
          </w:tcPr>
          <w:p>
            <w:pPr>
              <w:spacing w:after="0"/>
              <w:rPr>
                <w:sz w:val="24"/>
                <w:szCs w:val="24"/>
                <w:color w:val="auto"/>
              </w:rPr>
            </w:pPr>
          </w:p>
        </w:tc>
        <w:tc>
          <w:tcPr>
            <w:tcW w:w="2840" w:type="dxa"/>
            <w:vAlign w:val="bottom"/>
            <w:gridSpan w:val="2"/>
          </w:tcPr>
          <w:p>
            <w:pPr>
              <w:jc w:val="center"/>
              <w:ind w:left="339"/>
              <w:spacing w:after="0"/>
              <w:rPr>
                <w:sz w:val="20"/>
                <w:szCs w:val="20"/>
                <w:color w:val="auto"/>
              </w:rPr>
            </w:pPr>
            <w:r>
              <w:rPr>
                <w:rFonts w:ascii="Arial" w:cs="Arial" w:eastAsia="Arial" w:hAnsi="Arial"/>
                <w:sz w:val="18"/>
                <w:szCs w:val="18"/>
                <w:b w:val="1"/>
                <w:bCs w:val="1"/>
                <w:color w:val="auto"/>
                <w:w w:val="89"/>
              </w:rPr>
              <w:t>31-0841368</w:t>
            </w:r>
          </w:p>
        </w:tc>
        <w:tc>
          <w:tcPr>
            <w:tcW w:w="2140" w:type="dxa"/>
            <w:vAlign w:val="bottom"/>
          </w:tcPr>
          <w:p>
            <w:pPr>
              <w:spacing w:after="0"/>
              <w:rPr>
                <w:sz w:val="24"/>
                <w:szCs w:val="24"/>
                <w:color w:val="auto"/>
              </w:rPr>
            </w:pPr>
          </w:p>
        </w:tc>
      </w:tr>
      <w:tr>
        <w:trPr>
          <w:trHeight w:val="174"/>
        </w:trPr>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60" w:type="dxa"/>
            <w:vAlign w:val="bottom"/>
            <w:gridSpan w:val="2"/>
          </w:tcPr>
          <w:p>
            <w:pPr>
              <w:jc w:val="center"/>
              <w:ind w:right="207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244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800 Nicollet Mall</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1"/>
        </w:trPr>
        <w:tc>
          <w:tcPr>
            <w:tcW w:w="244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Minneapolis, Minnesota</w:t>
            </w:r>
          </w:p>
        </w:tc>
        <w:tc>
          <w:tcPr>
            <w:tcW w:w="49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55402</w:t>
            </w:r>
          </w:p>
        </w:tc>
      </w:tr>
      <w:tr>
        <w:trPr>
          <w:trHeight w:val="174"/>
        </w:trPr>
        <w:tc>
          <w:tcPr>
            <w:tcW w:w="2440" w:type="dxa"/>
            <w:vAlign w:val="bottom"/>
          </w:tcPr>
          <w:p>
            <w:pPr>
              <w:jc w:val="center"/>
              <w:ind w:right="139"/>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40" w:type="dxa"/>
            <w:vAlign w:val="bottom"/>
          </w:tcPr>
          <w:p>
            <w:pPr>
              <w:jc w:val="center"/>
              <w:ind w:left="1432"/>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Frank Leslie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495-3913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0"/>
              </w:rPr>
              <w:t>Nevada</w:t>
            </w:r>
          </w:p>
        </w:tc>
        <w:tc>
          <w:tcPr>
            <w:tcW w:w="4080" w:type="dxa"/>
            <w:vAlign w:val="bottom"/>
          </w:tcPr>
          <w:p>
            <w:pPr>
              <w:jc w:val="right"/>
              <w:ind w:right="2182"/>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7340" w:type="dxa"/>
            <w:vAlign w:val="bottom"/>
          </w:tcPr>
          <w:p>
            <w:pPr>
              <w:jc w:val="center"/>
              <w:ind w:right="1755"/>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4080" w:type="dxa"/>
            <w:vAlign w:val="bottom"/>
          </w:tcPr>
          <w:p>
            <w:pPr>
              <w:jc w:val="center"/>
              <w:ind w:right="12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7"/>
        </w:trPr>
        <w:tc>
          <w:tcPr>
            <w:tcW w:w="73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6"/>
              </w:rPr>
              <w:t>3131 Las Vegas Boulevard South</w:t>
            </w:r>
          </w:p>
        </w:tc>
        <w:tc>
          <w:tcPr>
            <w:tcW w:w="4080" w:type="dxa"/>
            <w:vAlign w:val="bottom"/>
          </w:tcPr>
          <w:p>
            <w:pPr>
              <w:spacing w:after="0"/>
              <w:rPr>
                <w:sz w:val="24"/>
                <w:szCs w:val="24"/>
                <w:color w:val="auto"/>
              </w:rPr>
            </w:pPr>
          </w:p>
        </w:tc>
      </w:tr>
      <w:tr>
        <w:trPr>
          <w:trHeight w:val="231"/>
        </w:trPr>
        <w:tc>
          <w:tcPr>
            <w:tcW w:w="73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7"/>
              </w:rPr>
              <w:t>Las Vegas, Nevada</w:t>
            </w:r>
          </w:p>
        </w:tc>
        <w:tc>
          <w:tcPr>
            <w:tcW w:w="4080" w:type="dxa"/>
            <w:vAlign w:val="bottom"/>
          </w:tcPr>
          <w:p>
            <w:pPr>
              <w:jc w:val="right"/>
              <w:ind w:right="2382"/>
              <w:spacing w:after="0"/>
              <w:rPr>
                <w:sz w:val="20"/>
                <w:szCs w:val="20"/>
                <w:color w:val="auto"/>
              </w:rPr>
            </w:pPr>
            <w:r>
              <w:rPr>
                <w:rFonts w:ascii="Arial" w:cs="Arial" w:eastAsia="Arial" w:hAnsi="Arial"/>
                <w:sz w:val="18"/>
                <w:szCs w:val="18"/>
                <w:b w:val="1"/>
                <w:bCs w:val="1"/>
                <w:color w:val="auto"/>
              </w:rPr>
              <w:t>89109</w:t>
            </w:r>
          </w:p>
        </w:tc>
      </w:tr>
      <w:tr>
        <w:trPr>
          <w:trHeight w:val="174"/>
        </w:trPr>
        <w:tc>
          <w:tcPr>
            <w:tcW w:w="7340" w:type="dxa"/>
            <w:vAlign w:val="bottom"/>
          </w:tcPr>
          <w:p>
            <w:pPr>
              <w:jc w:val="center"/>
              <w:ind w:right="175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080" w:type="dxa"/>
            <w:vAlign w:val="bottom"/>
          </w:tcPr>
          <w:p>
            <w:pPr>
              <w:jc w:val="center"/>
              <w:ind w:right="1202"/>
              <w:spacing w:after="0"/>
              <w:rPr>
                <w:sz w:val="20"/>
                <w:szCs w:val="20"/>
                <w:color w:val="auto"/>
              </w:rPr>
            </w:pPr>
            <w:r>
              <w:rPr>
                <w:rFonts w:ascii="Arial" w:cs="Arial" w:eastAsia="Arial" w:hAnsi="Arial"/>
                <w:sz w:val="14"/>
                <w:szCs w:val="14"/>
                <w:b w:val="1"/>
                <w:bCs w:val="1"/>
                <w:color w:val="auto"/>
                <w:w w:val="92"/>
              </w:rPr>
              <w:t>(Zip Code)</w:t>
            </w:r>
          </w:p>
        </w:tc>
      </w:tr>
      <w:tr>
        <w:trPr>
          <w:trHeight w:val="364"/>
        </w:trPr>
        <w:tc>
          <w:tcPr>
            <w:tcW w:w="7340" w:type="dxa"/>
            <w:vAlign w:val="bottom"/>
          </w:tcPr>
          <w:p>
            <w:pPr>
              <w:jc w:val="center"/>
              <w:ind w:left="3995"/>
              <w:spacing w:after="0"/>
              <w:rPr>
                <w:sz w:val="20"/>
                <w:szCs w:val="20"/>
                <w:color w:val="auto"/>
              </w:rPr>
            </w:pPr>
            <w:r>
              <w:rPr>
                <w:rFonts w:ascii="Arial" w:cs="Arial" w:eastAsia="Arial" w:hAnsi="Arial"/>
                <w:sz w:val="22"/>
                <w:szCs w:val="22"/>
                <w:b w:val="1"/>
                <w:bCs w:val="1"/>
                <w:color w:val="auto"/>
                <w:w w:val="87"/>
              </w:rPr>
              <w:t>Senior Debt Securities</w:t>
            </w:r>
          </w:p>
        </w:tc>
        <w:tc>
          <w:tcPr>
            <w:tcW w:w="4080" w:type="dxa"/>
            <w:vAlign w:val="bottom"/>
          </w:tcPr>
          <w:p>
            <w:pPr>
              <w:spacing w:after="0"/>
              <w:rPr>
                <w:sz w:val="24"/>
                <w:szCs w:val="24"/>
                <w:color w:val="auto"/>
              </w:rPr>
            </w:pPr>
          </w:p>
        </w:tc>
      </w:tr>
      <w:tr>
        <w:trPr>
          <w:trHeight w:val="228"/>
        </w:trPr>
        <w:tc>
          <w:tcPr>
            <w:tcW w:w="7340" w:type="dxa"/>
            <w:vAlign w:val="bottom"/>
          </w:tcPr>
          <w:p>
            <w:pPr>
              <w:jc w:val="center"/>
              <w:ind w:left="3995"/>
              <w:spacing w:after="0"/>
              <w:rPr>
                <w:sz w:val="20"/>
                <w:szCs w:val="20"/>
                <w:color w:val="auto"/>
              </w:rPr>
            </w:pPr>
            <w:r>
              <w:rPr>
                <w:rFonts w:ascii="Arial" w:cs="Arial" w:eastAsia="Arial" w:hAnsi="Arial"/>
                <w:sz w:val="18"/>
                <w:szCs w:val="18"/>
                <w:b w:val="1"/>
                <w:bCs w:val="1"/>
                <w:color w:val="auto"/>
                <w:w w:val="88"/>
              </w:rPr>
              <w:t>(Title of the Indenture Securities)</w:t>
            </w:r>
          </w:p>
        </w:tc>
        <w:tc>
          <w:tcPr>
            <w:tcW w:w="4080" w:type="dxa"/>
            <w:vAlign w:val="bottom"/>
          </w:tcPr>
          <w:p>
            <w:pPr>
              <w:spacing w:after="0"/>
              <w:rPr>
                <w:sz w:val="19"/>
                <w:szCs w:val="19"/>
                <w:color w:val="auto"/>
              </w:rPr>
            </w:pPr>
          </w:p>
        </w:tc>
      </w:tr>
      <w:tr>
        <w:trPr>
          <w:trHeight w:val="201"/>
        </w:trPr>
        <w:tc>
          <w:tcPr>
            <w:tcW w:w="73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83" w:lineRule="exact"/>
        <w:rPr>
          <w:sz w:val="20"/>
          <w:szCs w:val="20"/>
          <w:color w:val="auto"/>
        </w:rPr>
      </w:pPr>
    </w:p>
    <w:p>
      <w:pPr>
        <w:ind w:left="1940" w:right="3880" w:hanging="906"/>
        <w:spacing w:after="0" w:line="254" w:lineRule="auto"/>
        <w:tabs>
          <w:tab w:leader="none" w:pos="1594"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ind w:left="194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70" w:lineRule="exact"/>
        <w:rPr>
          <w:rFonts w:ascii="Arial" w:cs="Arial" w:eastAsia="Arial" w:hAnsi="Arial"/>
          <w:sz w:val="18"/>
          <w:szCs w:val="18"/>
          <w:color w:val="auto"/>
        </w:rPr>
      </w:pPr>
    </w:p>
    <w:p>
      <w:pPr>
        <w:ind w:left="1600" w:hanging="566"/>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Yes</w:t>
      </w:r>
    </w:p>
    <w:p>
      <w:pPr>
        <w:spacing w:after="0" w:line="1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ind w:left="1020" w:hanging="1012"/>
        <w:spacing w:after="0" w:line="268" w:lineRule="auto"/>
        <w:tabs>
          <w:tab w:leader="none" w:pos="100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83" w:lineRule="exact"/>
        <w:rPr>
          <w:sz w:val="20"/>
          <w:szCs w:val="20"/>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76" w:lineRule="exact"/>
        <w:rPr>
          <w:rFonts w:ascii="Arial" w:cs="Arial" w:eastAsia="Arial" w:hAnsi="Arial"/>
          <w:sz w:val="18"/>
          <w:szCs w:val="18"/>
          <w:color w:val="auto"/>
        </w:rPr>
      </w:pPr>
    </w:p>
    <w:p>
      <w:pPr>
        <w:ind w:left="1600" w:right="20" w:hanging="566"/>
        <w:spacing w:after="0" w:line="268" w:lineRule="auto"/>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2003, published pursuant to law or the requirements of its supervising or examining authority, attached as Exhibit 7.</w:t>
      </w:r>
    </w:p>
    <w:p>
      <w:pPr>
        <w:spacing w:after="0" w:line="3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 to Registration Number 333-67188.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8" w:name="page149"/>
    <w:bookmarkEnd w:id="14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29th of March, 2004.</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29, 2004</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50" w:name="page151"/>
    <w:bookmarkEnd w:id="150"/>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38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62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w w:val="87"/>
              </w:rPr>
              <w:t>U.S. Bank National Association</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2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w w:val="88"/>
              </w:rPr>
              <w:t>Statement of Financial Condition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62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w w:val="87"/>
              </w:rPr>
              <w:t>As of 12/31/2003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2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86"/>
              </w:rPr>
              <w:t>($000’s)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12/31/2003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w w:val="94"/>
              </w:rPr>
              <w:t>Cash and Due From Depository Institutions</w:t>
            </w:r>
          </w:p>
        </w:tc>
        <w:tc>
          <w:tcPr>
            <w:tcW w:w="56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Stock</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42,963,396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Loans &amp; Lease Financing Receivables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114,718,888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8,093,654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Assets</w:t>
            </w:r>
          </w:p>
        </w:tc>
        <w:tc>
          <w:tcPr>
            <w:tcW w:w="5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189,159,050</w:t>
            </w:r>
          </w:p>
        </w:tc>
        <w:tc>
          <w:tcPr>
            <w:tcW w:w="0" w:type="dxa"/>
            <w:vAlign w:val="bottom"/>
          </w:tcPr>
          <w:p>
            <w:pPr>
              <w:spacing w:after="0"/>
              <w:rPr>
                <w:sz w:val="1"/>
                <w:szCs w:val="1"/>
                <w:color w:val="auto"/>
              </w:rPr>
            </w:pPr>
          </w:p>
        </w:tc>
      </w:tr>
      <w:tr>
        <w:trPr>
          <w:trHeight w:val="431"/>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5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128,249,183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Fed Funds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Demand Notes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Trading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Borrowed Money</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Acceptances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Notes and Debentures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5,953,524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5,173,011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5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170,060,720</w:t>
            </w:r>
          </w:p>
        </w:tc>
        <w:tc>
          <w:tcPr>
            <w:tcW w:w="0" w:type="dxa"/>
            <w:vAlign w:val="bottom"/>
          </w:tcPr>
          <w:p>
            <w:pPr>
              <w:spacing w:after="0"/>
              <w:rPr>
                <w:sz w:val="1"/>
                <w:szCs w:val="1"/>
                <w:color w:val="auto"/>
              </w:rPr>
            </w:pPr>
          </w:p>
        </w:tc>
      </w:tr>
      <w:tr>
        <w:trPr>
          <w:trHeight w:val="431"/>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Subsidiaries</w:t>
            </w:r>
          </w:p>
        </w:tc>
        <w:tc>
          <w:tcPr>
            <w:tcW w:w="5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Common and Preferred Stock</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Undivided Profits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6,400,138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Total Equity Capital</w:t>
            </w:r>
          </w:p>
        </w:tc>
        <w:tc>
          <w:tcPr>
            <w:tcW w:w="5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19,098,330</w:t>
            </w:r>
          </w:p>
        </w:tc>
        <w:tc>
          <w:tcPr>
            <w:tcW w:w="0" w:type="dxa"/>
            <w:vAlign w:val="bottom"/>
          </w:tcPr>
          <w:p>
            <w:pPr>
              <w:spacing w:after="0"/>
              <w:rPr>
                <w:sz w:val="1"/>
                <w:szCs w:val="1"/>
                <w:color w:val="auto"/>
              </w:rPr>
            </w:pPr>
          </w:p>
        </w:tc>
      </w:tr>
      <w:tr>
        <w:trPr>
          <w:trHeight w:val="43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6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1"/>
              </w:rPr>
              <w:t>189,159,050</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29, 2004</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240" w:top="257" w:right="7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tbl>
      <w:tblPr>
        <w:tblLayout w:type="fixed"/>
        <w:tblInd w:w="164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4980" w:type="dxa"/>
            <w:vAlign w:val="bottom"/>
            <w:gridSpan w:val="3"/>
          </w:tcPr>
          <w:p>
            <w:pPr>
              <w:jc w:val="center"/>
              <w:ind w:right="1632"/>
              <w:spacing w:after="0"/>
              <w:rPr>
                <w:sz w:val="20"/>
                <w:szCs w:val="20"/>
                <w:color w:val="auto"/>
              </w:rPr>
            </w:pPr>
            <w:r>
              <w:rPr>
                <w:rFonts w:ascii="Arial" w:cs="Arial" w:eastAsia="Arial" w:hAnsi="Arial"/>
                <w:sz w:val="14"/>
                <w:szCs w:val="14"/>
                <w:b w:val="1"/>
                <w:bCs w:val="1"/>
                <w:color w:val="auto"/>
                <w:w w:val="85"/>
              </w:rPr>
              <w:t>(Exact name of Trustee as specified in its charter)</w:t>
            </w:r>
          </w:p>
        </w:tc>
      </w:tr>
      <w:tr>
        <w:trPr>
          <w:trHeight w:val="230"/>
        </w:trPr>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2140" w:type="dxa"/>
            <w:vAlign w:val="bottom"/>
          </w:tcPr>
          <w:p>
            <w:pPr>
              <w:spacing w:after="0"/>
              <w:rPr>
                <w:sz w:val="19"/>
                <w:szCs w:val="19"/>
                <w:color w:val="auto"/>
              </w:rPr>
            </w:pPr>
          </w:p>
        </w:tc>
      </w:tr>
      <w:tr>
        <w:trPr>
          <w:trHeight w:val="453"/>
        </w:trPr>
        <w:tc>
          <w:tcPr>
            <w:tcW w:w="2440" w:type="dxa"/>
            <w:vAlign w:val="bottom"/>
          </w:tcPr>
          <w:p>
            <w:pPr>
              <w:spacing w:after="0"/>
              <w:rPr>
                <w:sz w:val="24"/>
                <w:szCs w:val="24"/>
                <w:color w:val="auto"/>
              </w:rPr>
            </w:pPr>
          </w:p>
        </w:tc>
        <w:tc>
          <w:tcPr>
            <w:tcW w:w="2840" w:type="dxa"/>
            <w:vAlign w:val="bottom"/>
            <w:gridSpan w:val="2"/>
          </w:tcPr>
          <w:p>
            <w:pPr>
              <w:jc w:val="center"/>
              <w:ind w:left="339"/>
              <w:spacing w:after="0"/>
              <w:rPr>
                <w:sz w:val="20"/>
                <w:szCs w:val="20"/>
                <w:color w:val="auto"/>
              </w:rPr>
            </w:pPr>
            <w:r>
              <w:rPr>
                <w:rFonts w:ascii="Arial" w:cs="Arial" w:eastAsia="Arial" w:hAnsi="Arial"/>
                <w:sz w:val="18"/>
                <w:szCs w:val="18"/>
                <w:b w:val="1"/>
                <w:bCs w:val="1"/>
                <w:color w:val="auto"/>
                <w:w w:val="89"/>
              </w:rPr>
              <w:t>31-0841368</w:t>
            </w:r>
          </w:p>
        </w:tc>
        <w:tc>
          <w:tcPr>
            <w:tcW w:w="2140" w:type="dxa"/>
            <w:vAlign w:val="bottom"/>
          </w:tcPr>
          <w:p>
            <w:pPr>
              <w:spacing w:after="0"/>
              <w:rPr>
                <w:sz w:val="24"/>
                <w:szCs w:val="24"/>
                <w:color w:val="auto"/>
              </w:rPr>
            </w:pPr>
          </w:p>
        </w:tc>
      </w:tr>
      <w:tr>
        <w:trPr>
          <w:trHeight w:val="174"/>
        </w:trPr>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60" w:type="dxa"/>
            <w:vAlign w:val="bottom"/>
            <w:gridSpan w:val="2"/>
          </w:tcPr>
          <w:p>
            <w:pPr>
              <w:jc w:val="center"/>
              <w:ind w:right="207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244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800 Nicollet Mall</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1"/>
        </w:trPr>
        <w:tc>
          <w:tcPr>
            <w:tcW w:w="244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Minneapolis, Minnesota</w:t>
            </w:r>
          </w:p>
        </w:tc>
        <w:tc>
          <w:tcPr>
            <w:tcW w:w="49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55402</w:t>
            </w:r>
          </w:p>
        </w:tc>
      </w:tr>
      <w:tr>
        <w:trPr>
          <w:trHeight w:val="174"/>
        </w:trPr>
        <w:tc>
          <w:tcPr>
            <w:tcW w:w="2440" w:type="dxa"/>
            <w:vAlign w:val="bottom"/>
          </w:tcPr>
          <w:p>
            <w:pPr>
              <w:jc w:val="center"/>
              <w:ind w:right="139"/>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140" w:type="dxa"/>
            <w:vAlign w:val="bottom"/>
          </w:tcPr>
          <w:p>
            <w:pPr>
              <w:jc w:val="center"/>
              <w:ind w:left="1432"/>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Frank Leslie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495-3913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Pr>
          <w:p>
            <w:pPr>
              <w:jc w:val="center"/>
              <w:ind w:right="1795"/>
              <w:spacing w:after="0"/>
              <w:rPr>
                <w:sz w:val="20"/>
                <w:szCs w:val="20"/>
                <w:color w:val="auto"/>
              </w:rPr>
            </w:pPr>
            <w:r>
              <w:rPr>
                <w:rFonts w:ascii="Arial" w:cs="Arial" w:eastAsia="Arial" w:hAnsi="Arial"/>
                <w:sz w:val="18"/>
                <w:szCs w:val="18"/>
                <w:b w:val="1"/>
                <w:bCs w:val="1"/>
                <w:color w:val="auto"/>
                <w:w w:val="90"/>
              </w:rPr>
              <w:t>Nevada</w:t>
            </w:r>
          </w:p>
        </w:tc>
        <w:tc>
          <w:tcPr>
            <w:tcW w:w="4040" w:type="dxa"/>
            <w:vAlign w:val="bottom"/>
          </w:tcPr>
          <w:p>
            <w:pPr>
              <w:jc w:val="right"/>
              <w:ind w:right="2182"/>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7380" w:type="dxa"/>
            <w:vAlign w:val="bottom"/>
          </w:tcPr>
          <w:p>
            <w:pPr>
              <w:jc w:val="center"/>
              <w:ind w:right="1795"/>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40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7"/>
        </w:trPr>
        <w:tc>
          <w:tcPr>
            <w:tcW w:w="7380" w:type="dxa"/>
            <w:vAlign w:val="bottom"/>
          </w:tcPr>
          <w:p>
            <w:pPr>
              <w:jc w:val="center"/>
              <w:ind w:right="1795"/>
              <w:spacing w:after="0"/>
              <w:rPr>
                <w:sz w:val="20"/>
                <w:szCs w:val="20"/>
                <w:color w:val="auto"/>
              </w:rPr>
            </w:pPr>
            <w:r>
              <w:rPr>
                <w:rFonts w:ascii="Arial" w:cs="Arial" w:eastAsia="Arial" w:hAnsi="Arial"/>
                <w:sz w:val="18"/>
                <w:szCs w:val="18"/>
                <w:b w:val="1"/>
                <w:bCs w:val="1"/>
                <w:color w:val="auto"/>
                <w:w w:val="86"/>
              </w:rPr>
              <w:t>3131 Las Vegas Boulevard South</w:t>
            </w:r>
          </w:p>
        </w:tc>
        <w:tc>
          <w:tcPr>
            <w:tcW w:w="4040" w:type="dxa"/>
            <w:vAlign w:val="bottom"/>
          </w:tcPr>
          <w:p>
            <w:pPr>
              <w:spacing w:after="0"/>
              <w:rPr>
                <w:sz w:val="24"/>
                <w:szCs w:val="24"/>
                <w:color w:val="auto"/>
              </w:rPr>
            </w:pPr>
          </w:p>
        </w:tc>
      </w:tr>
      <w:tr>
        <w:trPr>
          <w:trHeight w:val="231"/>
        </w:trPr>
        <w:tc>
          <w:tcPr>
            <w:tcW w:w="7380" w:type="dxa"/>
            <w:vAlign w:val="bottom"/>
          </w:tcPr>
          <w:p>
            <w:pPr>
              <w:jc w:val="center"/>
              <w:ind w:right="1795"/>
              <w:spacing w:after="0"/>
              <w:rPr>
                <w:sz w:val="20"/>
                <w:szCs w:val="20"/>
                <w:color w:val="auto"/>
              </w:rPr>
            </w:pPr>
            <w:r>
              <w:rPr>
                <w:rFonts w:ascii="Arial" w:cs="Arial" w:eastAsia="Arial" w:hAnsi="Arial"/>
                <w:sz w:val="18"/>
                <w:szCs w:val="18"/>
                <w:b w:val="1"/>
                <w:bCs w:val="1"/>
                <w:color w:val="auto"/>
                <w:w w:val="87"/>
              </w:rPr>
              <w:t>Las Vegas, Nevada</w:t>
            </w:r>
          </w:p>
        </w:tc>
        <w:tc>
          <w:tcPr>
            <w:tcW w:w="4040" w:type="dxa"/>
            <w:vAlign w:val="bottom"/>
          </w:tcPr>
          <w:p>
            <w:pPr>
              <w:jc w:val="right"/>
              <w:ind w:right="2382"/>
              <w:spacing w:after="0"/>
              <w:rPr>
                <w:sz w:val="20"/>
                <w:szCs w:val="20"/>
                <w:color w:val="auto"/>
              </w:rPr>
            </w:pPr>
            <w:r>
              <w:rPr>
                <w:rFonts w:ascii="Arial" w:cs="Arial" w:eastAsia="Arial" w:hAnsi="Arial"/>
                <w:sz w:val="18"/>
                <w:szCs w:val="18"/>
                <w:b w:val="1"/>
                <w:bCs w:val="1"/>
                <w:color w:val="auto"/>
              </w:rPr>
              <w:t>89109</w:t>
            </w:r>
          </w:p>
        </w:tc>
      </w:tr>
      <w:tr>
        <w:trPr>
          <w:trHeight w:val="174"/>
        </w:trPr>
        <w:tc>
          <w:tcPr>
            <w:tcW w:w="7380" w:type="dxa"/>
            <w:vAlign w:val="bottom"/>
          </w:tcPr>
          <w:p>
            <w:pPr>
              <w:jc w:val="center"/>
              <w:ind w:right="1795"/>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0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2"/>
              </w:rPr>
              <w:t>(Zip Code)</w:t>
            </w:r>
          </w:p>
        </w:tc>
      </w:tr>
      <w:tr>
        <w:trPr>
          <w:trHeight w:val="364"/>
        </w:trPr>
        <w:tc>
          <w:tcPr>
            <w:tcW w:w="7380" w:type="dxa"/>
            <w:vAlign w:val="bottom"/>
          </w:tcPr>
          <w:p>
            <w:pPr>
              <w:jc w:val="center"/>
              <w:ind w:left="3975"/>
              <w:spacing w:after="0"/>
              <w:rPr>
                <w:sz w:val="20"/>
                <w:szCs w:val="20"/>
                <w:color w:val="auto"/>
              </w:rPr>
            </w:pPr>
            <w:r>
              <w:rPr>
                <w:rFonts w:ascii="Arial" w:cs="Arial" w:eastAsia="Arial" w:hAnsi="Arial"/>
                <w:sz w:val="22"/>
                <w:szCs w:val="22"/>
                <w:b w:val="1"/>
                <w:bCs w:val="1"/>
                <w:color w:val="auto"/>
                <w:w w:val="88"/>
              </w:rPr>
              <w:t>Subordinated Debt Securities</w:t>
            </w:r>
          </w:p>
        </w:tc>
        <w:tc>
          <w:tcPr>
            <w:tcW w:w="4040" w:type="dxa"/>
            <w:vAlign w:val="bottom"/>
          </w:tcPr>
          <w:p>
            <w:pPr>
              <w:spacing w:after="0"/>
              <w:rPr>
                <w:sz w:val="24"/>
                <w:szCs w:val="24"/>
                <w:color w:val="auto"/>
              </w:rPr>
            </w:pPr>
          </w:p>
        </w:tc>
      </w:tr>
      <w:tr>
        <w:trPr>
          <w:trHeight w:val="228"/>
        </w:trPr>
        <w:tc>
          <w:tcPr>
            <w:tcW w:w="7380" w:type="dxa"/>
            <w:vAlign w:val="bottom"/>
          </w:tcPr>
          <w:p>
            <w:pPr>
              <w:jc w:val="center"/>
              <w:ind w:left="3955"/>
              <w:spacing w:after="0"/>
              <w:rPr>
                <w:sz w:val="20"/>
                <w:szCs w:val="20"/>
                <w:color w:val="auto"/>
              </w:rPr>
            </w:pPr>
            <w:r>
              <w:rPr>
                <w:rFonts w:ascii="Arial" w:cs="Arial" w:eastAsia="Arial" w:hAnsi="Arial"/>
                <w:sz w:val="18"/>
                <w:szCs w:val="18"/>
                <w:b w:val="1"/>
                <w:bCs w:val="1"/>
                <w:color w:val="auto"/>
                <w:w w:val="88"/>
              </w:rPr>
              <w:t>(Title of the Indenture Securities)</w:t>
            </w:r>
          </w:p>
        </w:tc>
        <w:tc>
          <w:tcPr>
            <w:tcW w:w="4040" w:type="dxa"/>
            <w:vAlign w:val="bottom"/>
          </w:tcPr>
          <w:p>
            <w:pPr>
              <w:spacing w:after="0"/>
              <w:rPr>
                <w:sz w:val="19"/>
                <w:szCs w:val="19"/>
                <w:color w:val="auto"/>
              </w:rPr>
            </w:pPr>
          </w:p>
        </w:tc>
      </w:tr>
      <w:tr>
        <w:trPr>
          <w:trHeight w:val="201"/>
        </w:trPr>
        <w:tc>
          <w:tcPr>
            <w:tcW w:w="738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83" w:lineRule="exact"/>
        <w:rPr>
          <w:sz w:val="20"/>
          <w:szCs w:val="20"/>
          <w:color w:val="auto"/>
        </w:rPr>
      </w:pPr>
    </w:p>
    <w:p>
      <w:pPr>
        <w:ind w:left="1940" w:right="3880" w:hanging="906"/>
        <w:spacing w:after="0" w:line="254" w:lineRule="auto"/>
        <w:tabs>
          <w:tab w:leader="none" w:pos="159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ind w:left="194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70" w:lineRule="exact"/>
        <w:rPr>
          <w:rFonts w:ascii="Arial" w:cs="Arial" w:eastAsia="Arial" w:hAnsi="Arial"/>
          <w:sz w:val="18"/>
          <w:szCs w:val="18"/>
          <w:color w:val="auto"/>
        </w:rPr>
      </w:pPr>
    </w:p>
    <w:p>
      <w:pPr>
        <w:ind w:left="1600" w:hanging="566"/>
        <w:spacing w:after="0"/>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Yes</w:t>
      </w:r>
    </w:p>
    <w:p>
      <w:pPr>
        <w:spacing w:after="0" w:line="1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ind w:left="1020" w:hanging="1012"/>
        <w:spacing w:after="0" w:line="268" w:lineRule="auto"/>
        <w:tabs>
          <w:tab w:leader="none" w:pos="100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83" w:lineRule="exact"/>
        <w:rPr>
          <w:sz w:val="20"/>
          <w:szCs w:val="20"/>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76" w:lineRule="exact"/>
        <w:rPr>
          <w:rFonts w:ascii="Arial" w:cs="Arial" w:eastAsia="Arial" w:hAnsi="Arial"/>
          <w:sz w:val="18"/>
          <w:szCs w:val="18"/>
          <w:color w:val="auto"/>
        </w:rPr>
      </w:pPr>
    </w:p>
    <w:p>
      <w:pPr>
        <w:ind w:left="1600" w:hanging="566"/>
        <w:spacing w:after="0"/>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76" w:lineRule="exact"/>
        <w:rPr>
          <w:rFonts w:ascii="Arial" w:cs="Arial" w:eastAsia="Arial" w:hAnsi="Arial"/>
          <w:sz w:val="18"/>
          <w:szCs w:val="18"/>
          <w:color w:val="auto"/>
        </w:rPr>
      </w:pPr>
    </w:p>
    <w:p>
      <w:pPr>
        <w:ind w:left="1600" w:right="20" w:hanging="566"/>
        <w:spacing w:after="0" w:line="268" w:lineRule="auto"/>
        <w:tabs>
          <w:tab w:leader="none" w:pos="16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2003, published pursuant to law or the requirements of its supervising or examining authority, attached as Exhibit 7.</w:t>
      </w:r>
    </w:p>
    <w:p>
      <w:pPr>
        <w:spacing w:after="0" w:line="3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 to Registration Number 333-67188.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46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3" w:name="page154"/>
    <w:bookmarkEnd w:id="15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29th of March, 2004.</w:t>
      </w:r>
    </w:p>
    <w:p>
      <w:pPr>
        <w:spacing w:after="0" w:line="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29, 2004</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4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4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87"/>
              </w:rPr>
              <w:t>U.S. Bank National Association</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4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88"/>
              </w:rPr>
              <w:t>Statement of Financial Condition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4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87"/>
              </w:rPr>
              <w:t>As of 12/31/2003</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8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86"/>
              </w:rPr>
              <w:t>($000’s)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12/31/2003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Cash and Due From Depository Institutions</w:t>
            </w:r>
          </w:p>
        </w:tc>
        <w:tc>
          <w:tcPr>
            <w:tcW w:w="6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8,631,361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Stock</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42,963,396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Loans &amp; Lease Financing Receivables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114,718,888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10,254,736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6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189,159,050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6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128,249,183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5,098,404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Demand Notes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Trading 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Borrowed Money</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Acceptances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Notes and Debentures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5,173,011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6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170,060,720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Subsidiaries</w:t>
            </w:r>
          </w:p>
        </w:tc>
        <w:tc>
          <w:tcPr>
            <w:tcW w:w="6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Common and Preferred Stock</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Undivided Profits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6,400,138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6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19,098,330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189,159,050</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29,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8">
    <w:nsid w:val="2F305DE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29">
    <w:nsid w:val="25A70BF7"/>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30">
    <w:nsid w:val="1DBABF00"/>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abstractNum>
  <w:abstractNum w:abstractNumId="35">
    <w:nsid w:val="100F8FCA"/>
    <w:multiLevelType w:val="hybridMultilevel"/>
    <w:lvl w:ilvl="0">
      <w:lvlJc w:val="left"/>
      <w:lvlText w:val="(%1)"/>
      <w:numFmt w:val="lowerLetter"/>
      <w:start w:val="3"/>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3"/>
    </w:lvl>
  </w:abstractNum>
  <w:abstractNum w:abstractNumId="38">
    <w:nsid w:val="5F5E7FD0"/>
    <w:multiLevelType w:val="hybridMultilevel"/>
    <w:lvl w:ilvl="0">
      <w:lvlJc w:val="left"/>
      <w:lvlText w:val="(%1)"/>
      <w:numFmt w:val="decimal"/>
      <w:start w:val="11"/>
    </w:lvl>
  </w:abstractNum>
  <w:abstractNum w:abstractNumId="39">
    <w:nsid w:val="98A3148"/>
    <w:multiLevelType w:val="hybridMultilevel"/>
    <w:lvl w:ilvl="0">
      <w:lvlJc w:val="left"/>
      <w:lvlText w:val="(%1)"/>
      <w:numFmt w:val="decimal"/>
      <w:start w:val="2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2"/>
    </w:lvl>
    <w:lvl w:ilvl="1">
      <w:lvlJc w:val="left"/>
      <w:lvlText w:val="(%2)"/>
      <w:numFmt w:val="lowerLetter"/>
      <w:start w:val="1"/>
    </w:lvl>
  </w:abstractNum>
  <w:abstractNum w:abstractNumId="42">
    <w:nsid w:val="42C296BD"/>
    <w:multiLevelType w:val="hybridMultilevel"/>
    <w:lvl w:ilvl="0">
      <w:lvlJc w:val="left"/>
      <w:lvlText w:val="(%1)"/>
      <w:numFmt w:val="lowerRoman"/>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Letter"/>
      <w:start w:val="2"/>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6"/>
    </w:lvl>
  </w:abstractNum>
  <w:abstractNum w:abstractNumId="49">
    <w:nsid w:val="51D9C564"/>
    <w:multiLevelType w:val="hybridMultilevel"/>
    <w:lvl w:ilvl="0">
      <w:lvlJc w:val="left"/>
      <w:lvlText w:val="(%1)"/>
      <w:numFmt w:val="lowerLetter"/>
      <w:start w:val="7"/>
    </w:lvl>
  </w:abstractNum>
  <w:abstractNum w:abstractNumId="50">
    <w:nsid w:val="613EFDC5"/>
    <w:multiLevelType w:val="hybridMultilevel"/>
    <w:lvl w:ilvl="0">
      <w:lvlJc w:val="left"/>
      <w:lvlText w:val="(%1)"/>
      <w:numFmt w:val="lowerLetter"/>
      <w:start w:val="4"/>
    </w:lvl>
  </w:abstractNum>
  <w:abstractNum w:abstractNumId="51">
    <w:nsid w:val="BF72B14"/>
    <w:multiLevelType w:val="hybridMultilevel"/>
    <w:lvl w:ilvl="0">
      <w:lvlJc w:val="left"/>
      <w:lvlText w:val="(%1)"/>
      <w:numFmt w:val="upperLetter"/>
      <w:start w:val="1"/>
    </w:lvl>
    <w:lvl w:ilvl="1">
      <w:lvlJc w:val="left"/>
      <w:lvlText w:val="(%2)"/>
      <w:numFmt w:val="lowerRoman"/>
      <w:start w:val="1"/>
    </w:lvl>
  </w:abstractNum>
  <w:abstractNum w:abstractNumId="52">
    <w:nsid w:val="11447B73"/>
    <w:multiLevelType w:val="hybridMultilevel"/>
    <w:lvl w:ilvl="0">
      <w:lvlJc w:val="left"/>
      <w:lvlText w:val="(%1)"/>
      <w:numFmt w:val="lowerRoman"/>
      <w:start w:val="2"/>
    </w:lvl>
  </w:abstractNum>
  <w:abstractNum w:abstractNumId="53">
    <w:nsid w:val="42963E5A"/>
    <w:multiLevelType w:val="hybridMultilevel"/>
    <w:lvl w:ilvl="0">
      <w:lvlJc w:val="left"/>
      <w:lvlText w:val="(%1)"/>
      <w:numFmt w:val="upperLetter"/>
      <w:start w:val="2"/>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1"/>
    </w:lvl>
    <w:lvl w:ilvl="1">
      <w:lvlJc w:val="left"/>
      <w:lvlText w:val="(%2)"/>
      <w:numFmt w:val="lowerRoman"/>
      <w:start w:val="1"/>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Letter"/>
      <w:start w:val="8"/>
    </w:lvl>
  </w:abstractNum>
  <w:abstractNum w:abstractNumId="59">
    <w:nsid w:val="4962813B"/>
    <w:multiLevelType w:val="hybridMultilevel"/>
    <w:lvl w:ilvl="0">
      <w:lvlJc w:val="left"/>
      <w:lvlText w:val="(%1)"/>
      <w:numFmt w:val="lowerLetter"/>
      <w:start w:val="2"/>
    </w:lvl>
    <w:lvl w:ilvl="1">
      <w:lvlJc w:val="left"/>
      <w:lvlText w:val="(%2)"/>
      <w:numFmt w:val="lowerRoman"/>
      <w:start w:val="1"/>
    </w:lvl>
  </w:abstractNum>
  <w:abstractNum w:abstractNumId="60">
    <w:nsid w:val="60B6DF70"/>
    <w:multiLevelType w:val="hybridMultilevel"/>
    <w:lvl w:ilvl="0">
      <w:lvlJc w:val="left"/>
      <w:lvlText w:val="(%1)"/>
      <w:numFmt w:val="lowerLetter"/>
      <w:start w:val="3"/>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upperLetter"/>
      <w:start w:val="1"/>
    </w:lvl>
  </w:abstractNum>
  <w:abstractNum w:abstractNumId="63">
    <w:nsid w:val="7FFFCA11"/>
    <w:multiLevelType w:val="hybridMultilevel"/>
    <w:lvl w:ilvl="0">
      <w:lvlJc w:val="left"/>
      <w:lvlText w:val="(%1)"/>
      <w:numFmt w:val="upperLetter"/>
      <w:start w:val="4"/>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Roman"/>
      <w:start w:val="1"/>
    </w:lvl>
    <w:lvl w:ilvl="1">
      <w:lvlJc w:val="left"/>
      <w:lvlText w:val="(%2)"/>
      <w:numFmt w:val="upperLetter"/>
      <w:start w:val="1"/>
    </w:lvl>
  </w:abstractNum>
  <w:abstractNum w:abstractNumId="66">
    <w:nsid w:val="100F59DC"/>
    <w:multiLevelType w:val="hybridMultilevel"/>
    <w:lvl w:ilvl="0">
      <w:lvlJc w:val="left"/>
      <w:lvlText w:val="(%1)"/>
      <w:numFmt w:val="lowerRoman"/>
      <w:start w:val="3"/>
    </w:lvl>
    <w:lvl w:ilvl="1">
      <w:lvlJc w:val="left"/>
      <w:lvlText w:val="%2"/>
      <w:numFmt w:val="upperLetter"/>
      <w:start w:val="1"/>
    </w:lvl>
  </w:abstractNum>
  <w:abstractNum w:abstractNumId="67">
    <w:nsid w:val="7FB7E0AA"/>
    <w:multiLevelType w:val="hybridMultilevel"/>
    <w:lvl w:ilvl="0">
      <w:lvlJc w:val="left"/>
      <w:lvlText w:val="%1"/>
      <w:numFmt w:val="lowerRoman"/>
      <w:start w:val="1"/>
    </w:lvl>
    <w:lvl w:ilvl="1">
      <w:lvlJc w:val="left"/>
      <w:lvlText w:val="(%2)"/>
      <w:numFmt w:val="upperLetter"/>
      <w:start w:val="2"/>
    </w:lvl>
  </w:abstractNum>
  <w:abstractNum w:abstractNumId="68">
    <w:nsid w:val="6EB5BD4"/>
    <w:multiLevelType w:val="hybridMultilevel"/>
    <w:lvl w:ilvl="0">
      <w:lvlJc w:val="left"/>
      <w:lvlText w:val="(%1)"/>
      <w:numFmt w:val="lowerRoman"/>
      <w:start w:val="7"/>
    </w:lvl>
    <w:lvl w:ilvl="1">
      <w:lvlJc w:val="left"/>
      <w:lvlText w:val="%2"/>
      <w:numFmt w:val="upperLetter"/>
      <w:start w:val="1"/>
    </w:lvl>
  </w:abstractNum>
  <w:abstractNum w:abstractNumId="69">
    <w:nsid w:val="6F6DD9AC"/>
    <w:multiLevelType w:val="hybridMultilevel"/>
    <w:lvl w:ilvl="0">
      <w:lvlJc w:val="left"/>
      <w:lvlText w:val="(%1)"/>
      <w:numFmt w:val="lowerLetter"/>
      <w:start w:val="1"/>
    </w:lvl>
    <w:lvl w:ilvl="1">
      <w:lvlJc w:val="left"/>
      <w:lvlText w:val="(%2)"/>
      <w:numFmt w:val="upperLetter"/>
      <w:start w:val="3"/>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3"/>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bullet"/>
      <w:start w:val="1"/>
    </w:lvl>
  </w:abstractNum>
  <w:abstractNum w:abstractNumId="74">
    <w:nsid w:val="1716703B"/>
    <w:multiLevelType w:val="hybridMultilevel"/>
    <w:lvl w:ilvl="0">
      <w:lvlJc w:val="left"/>
      <w:lvlText w:val="%1."/>
      <w:numFmt w:val="decimal"/>
      <w:start w:val="2"/>
    </w:lvl>
  </w:abstractNum>
  <w:abstractNum w:abstractNumId="75">
    <w:nsid w:val="14E17E33"/>
    <w:multiLevelType w:val="hybridMultilevel"/>
    <w:lvl w:ilvl="0">
      <w:lvlJc w:val="left"/>
      <w:lvlText w:val="(%1)"/>
      <w:numFmt w:val="lowerLetter"/>
      <w:start w:val="3"/>
    </w:lvl>
  </w:abstractNum>
  <w:abstractNum w:abstractNumId="76">
    <w:nsid w:val="3222E7CD"/>
    <w:multiLevelType w:val="hybridMultilevel"/>
    <w:lvl w:ilvl="0">
      <w:lvlJc w:val="left"/>
      <w:lvlText w:val="(%1)"/>
      <w:numFmt w:val="lowerLetter"/>
      <w:start w:val="3"/>
    </w:lvl>
  </w:abstractNum>
  <w:abstractNum w:abstractNumId="77">
    <w:nsid w:val="74DE0EE3"/>
    <w:multiLevelType w:val="hybridMultilevel"/>
    <w:lvl w:ilvl="0">
      <w:lvlJc w:val="left"/>
      <w:lvlText w:val="%1."/>
      <w:numFmt w:val="decimal"/>
      <w:start w:val="2"/>
    </w:lvl>
  </w:abstractNum>
  <w:abstractNum w:abstractNumId="78">
    <w:nsid w:val="68EBC550"/>
    <w:multiLevelType w:val="hybridMultilevel"/>
    <w:lvl w:ilvl="0">
      <w:lvlJc w:val="left"/>
      <w:lvlText w:val="3"/>
      <w:numFmt w:val="bullet"/>
      <w:start w:val="1"/>
    </w:lvl>
  </w:abstractNum>
  <w:abstractNum w:abstractNumId="79">
    <w:nsid w:val="2DF6D648"/>
    <w:multiLevelType w:val="hybridMultilevel"/>
    <w:lvl w:ilvl="0">
      <w:lvlJc w:val="left"/>
      <w:lvlText w:val="%1."/>
      <w:numFmt w:val="decimal"/>
      <w:start w:val="4"/>
    </w:lvl>
  </w:abstractNum>
  <w:abstractNum w:abstractNumId="80">
    <w:nsid w:val="46B7D447"/>
    <w:multiLevelType w:val="hybridMultilevel"/>
    <w:lvl w:ilvl="0">
      <w:lvlJc w:val="left"/>
      <w:lvlText w:val="%1."/>
      <w:numFmt w:val="decimal"/>
      <w:start w:val="5"/>
    </w:lvl>
  </w:abstractNum>
  <w:abstractNum w:abstractNumId="81">
    <w:nsid w:val="4A2AC315"/>
    <w:multiLevelType w:val="hybridMultilevel"/>
    <w:lvl w:ilvl="0">
      <w:lvlJc w:val="left"/>
      <w:lvlText w:val="(%1)"/>
      <w:numFmt w:val="lowerLetter"/>
      <w:start w:val="1"/>
    </w:lvl>
    <w:lvl w:ilvl="1">
      <w:lvlJc w:val="left"/>
      <w:lvlText w:val="%2."/>
      <w:numFmt w:val="decimal"/>
      <w:start w:val="8"/>
    </w:lvl>
  </w:abstractNum>
  <w:abstractNum w:abstractNumId="82">
    <w:nsid w:val="39EE015C"/>
    <w:multiLevelType w:val="hybridMultilevel"/>
    <w:lvl w:ilvl="0">
      <w:lvlJc w:val="left"/>
      <w:lvlText w:val="%1."/>
      <w:numFmt w:val="decimal"/>
      <w:start w:val="10"/>
    </w:lvl>
  </w:abstractNum>
  <w:abstractNum w:abstractNumId="83">
    <w:nsid w:val="57FC4FBB"/>
    <w:multiLevelType w:val="hybridMultilevel"/>
    <w:lvl w:ilvl="0">
      <w:lvlJc w:val="left"/>
      <w:lvlText w:val="%1."/>
      <w:numFmt w:val="decimal"/>
      <w:start w:val="15"/>
    </w:lvl>
  </w:abstractNum>
  <w:abstractNum w:abstractNumId="84">
    <w:nsid w:val="CC1016F"/>
    <w:multiLevelType w:val="hybridMultilevel"/>
    <w:lvl w:ilvl="0">
      <w:lvlJc w:val="left"/>
      <w:lvlText w:val="%1."/>
      <w:numFmt w:val="decimal"/>
      <w:start w:val="18"/>
    </w:lvl>
  </w:abstractNum>
  <w:abstractNum w:abstractNumId="85">
    <w:nsid w:val="43F18422"/>
    <w:multiLevelType w:val="hybridMultilevel"/>
    <w:lvl w:ilvl="0">
      <w:lvlJc w:val="left"/>
      <w:lvlText w:val="%1."/>
      <w:numFmt w:val="decimal"/>
      <w:start w:val="19"/>
    </w:lvl>
  </w:abstractNum>
  <w:abstractNum w:abstractNumId="86">
    <w:nsid w:val="60EF0119"/>
    <w:multiLevelType w:val="hybridMultilevel"/>
    <w:lvl w:ilvl="0">
      <w:lvlJc w:val="left"/>
      <w:lvlText w:val="%1."/>
      <w:numFmt w:val="decimal"/>
      <w:start w:val="20"/>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lowerRoman"/>
      <w:start w:val="1"/>
    </w:lvl>
  </w:abstractNum>
  <w:abstractNum w:abstractNumId="89">
    <w:nsid w:val="49DA307D"/>
    <w:multiLevelType w:val="hybridMultilevel"/>
    <w:lvl w:ilvl="0">
      <w:lvlJc w:val="left"/>
      <w:lvlText w:val="(%1)"/>
      <w:numFmt w:val="lowerRoman"/>
      <w:start w:val="4"/>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lowerRoman"/>
      <w:start w:val="1"/>
    </w:lvl>
  </w:abstractNum>
  <w:abstractNum w:abstractNumId="92">
    <w:nsid w:val="50801EE1"/>
    <w:multiLevelType w:val="hybridMultilevel"/>
    <w:lvl w:ilvl="0">
      <w:lvlJc w:val="left"/>
      <w:lvlText w:val="(%1)"/>
      <w:numFmt w:val="lowerRoman"/>
      <w:start w:val="3"/>
    </w:lvl>
  </w:abstractNum>
  <w:abstractNum w:abstractNumId="93">
    <w:nsid w:val="488AC1A"/>
    <w:multiLevelType w:val="hybridMultilevel"/>
    <w:lvl w:ilvl="0">
      <w:lvlJc w:val="left"/>
      <w:lvlText w:val="(%1)"/>
      <w:numFmt w:val="lowerRoman"/>
      <w:start w:val="6"/>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2"/>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
      <w:numFmt w:val="bullet"/>
      <w:start w:val="1"/>
    </w:lvl>
    <w:lvl w:ilvl="1">
      <w:lvlJc w:val="left"/>
      <w:lvlText w:val="%2."/>
      <w:numFmt w:val="decimal"/>
      <w:start w:val="1"/>
    </w:lvl>
  </w:abstractNum>
  <w:abstractNum w:abstractNumId="99">
    <w:nsid w:val="7D5E18F8"/>
    <w:multiLevelType w:val="hybridMultilevel"/>
    <w:lvl w:ilvl="0">
      <w:lvlJc w:val="left"/>
      <w:lvlText w:val="%1)"/>
      <w:numFmt w:val="lowerLetter"/>
      <w:start w:val="1"/>
    </w:lvl>
  </w:abstractNum>
  <w:abstractNum w:abstractNumId="100">
    <w:nsid w:val="5F3534A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2019-12-15T07:29:07Z</dcterms:created>
  <dcterms:modified xsi:type="dcterms:W3CDTF">2019-12-15T07:29:07Z</dcterms:modified>
</cp:coreProperties>
</file>