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217805</wp:posOffset>
            </wp:positionV>
            <wp:extent cx="6740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tbl>
      <w:tblPr>
        <w:tblLayout w:type="fixed"/>
        <w:tblInd w:w="320" w:type="dxa"/>
        <w:tblCellMar>
          <w:top w:w="0" w:type="dxa"/>
          <w:left w:w="0" w:type="dxa"/>
          <w:bottom w:w="0" w:type="dxa"/>
          <w:right w:w="0" w:type="dxa"/>
        </w:tblCellMar>
      </w:tblPr>
      <w:tr>
        <w:trPr>
          <w:trHeight w:val="241"/>
        </w:trPr>
        <w:tc>
          <w:tcPr>
            <w:tcW w:w="2460" w:type="dxa"/>
            <w:vAlign w:val="bottom"/>
          </w:tcPr>
          <w:p>
            <w:pPr>
              <w:spacing w:after="0"/>
              <w:rPr>
                <w:sz w:val="21"/>
                <w:szCs w:val="21"/>
                <w:color w:val="auto"/>
              </w:rPr>
            </w:pPr>
          </w:p>
        </w:tc>
        <w:tc>
          <w:tcPr>
            <w:tcW w:w="8160" w:type="dxa"/>
            <w:vAlign w:val="bottom"/>
          </w:tcPr>
          <w:p>
            <w:pPr>
              <w:jc w:val="center"/>
              <w:ind w:right="2367"/>
              <w:spacing w:after="0"/>
              <w:rPr>
                <w:sz w:val="20"/>
                <w:szCs w:val="20"/>
                <w:color w:val="auto"/>
              </w:rPr>
            </w:pPr>
            <w:r>
              <w:rPr>
                <w:rFonts w:ascii="Arial" w:cs="Arial" w:eastAsia="Arial" w:hAnsi="Arial"/>
                <w:sz w:val="21"/>
                <w:szCs w:val="21"/>
                <w:b w:val="1"/>
                <w:bCs w:val="1"/>
                <w:color w:val="auto"/>
                <w:w w:val="97"/>
              </w:rPr>
              <w:t>UNITED STATES</w:t>
            </w:r>
          </w:p>
        </w:tc>
      </w:tr>
      <w:tr>
        <w:trPr>
          <w:trHeight w:val="234"/>
        </w:trPr>
        <w:tc>
          <w:tcPr>
            <w:tcW w:w="2460" w:type="dxa"/>
            <w:vAlign w:val="bottom"/>
          </w:tcPr>
          <w:p>
            <w:pPr>
              <w:spacing w:after="0"/>
              <w:rPr>
                <w:sz w:val="20"/>
                <w:szCs w:val="20"/>
                <w:color w:val="auto"/>
              </w:rPr>
            </w:pPr>
          </w:p>
        </w:tc>
        <w:tc>
          <w:tcPr>
            <w:tcW w:w="8160" w:type="dxa"/>
            <w:vAlign w:val="bottom"/>
          </w:tcPr>
          <w:p>
            <w:pPr>
              <w:jc w:val="center"/>
              <w:ind w:right="2367"/>
              <w:spacing w:after="0" w:line="234" w:lineRule="exact"/>
              <w:rPr>
                <w:sz w:val="20"/>
                <w:szCs w:val="20"/>
                <w:color w:val="auto"/>
              </w:rPr>
            </w:pPr>
            <w:r>
              <w:rPr>
                <w:rFonts w:ascii="Arial" w:cs="Arial" w:eastAsia="Arial" w:hAnsi="Arial"/>
                <w:sz w:val="21"/>
                <w:szCs w:val="21"/>
                <w:b w:val="1"/>
                <w:bCs w:val="1"/>
                <w:color w:val="auto"/>
                <w:w w:val="99"/>
              </w:rPr>
              <w:t>SECURITIES AND EXCHANGE COMMISSION</w:t>
            </w:r>
          </w:p>
        </w:tc>
      </w:tr>
      <w:tr>
        <w:trPr>
          <w:trHeight w:val="276"/>
        </w:trPr>
        <w:tc>
          <w:tcPr>
            <w:tcW w:w="2460" w:type="dxa"/>
            <w:vAlign w:val="bottom"/>
          </w:tcPr>
          <w:p>
            <w:pPr>
              <w:spacing w:after="0"/>
              <w:rPr>
                <w:sz w:val="24"/>
                <w:szCs w:val="24"/>
                <w:color w:val="auto"/>
              </w:rPr>
            </w:pPr>
          </w:p>
        </w:tc>
        <w:tc>
          <w:tcPr>
            <w:tcW w:w="8160" w:type="dxa"/>
            <w:vAlign w:val="bottom"/>
          </w:tcPr>
          <w:p>
            <w:pPr>
              <w:jc w:val="center"/>
              <w:ind w:right="2387"/>
              <w:spacing w:after="0"/>
              <w:rPr>
                <w:sz w:val="20"/>
                <w:szCs w:val="20"/>
                <w:color w:val="auto"/>
              </w:rPr>
            </w:pPr>
            <w:r>
              <w:rPr>
                <w:rFonts w:ascii="Arial" w:cs="Arial" w:eastAsia="Arial" w:hAnsi="Arial"/>
                <w:sz w:val="21"/>
                <w:szCs w:val="21"/>
                <w:b w:val="1"/>
                <w:bCs w:val="1"/>
                <w:color w:val="auto"/>
                <w:w w:val="99"/>
              </w:rPr>
              <w:t>Washington, D.C. 20549</w:t>
            </w:r>
          </w:p>
        </w:tc>
      </w:tr>
      <w:tr>
        <w:trPr>
          <w:trHeight w:val="237"/>
        </w:trPr>
        <w:tc>
          <w:tcPr>
            <w:tcW w:w="246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tcPr>
          <w:p>
            <w:pPr>
              <w:spacing w:after="0"/>
              <w:rPr>
                <w:sz w:val="20"/>
                <w:szCs w:val="20"/>
                <w:color w:val="auto"/>
              </w:rPr>
            </w:pPr>
          </w:p>
        </w:tc>
      </w:tr>
      <w:tr>
        <w:trPr>
          <w:trHeight w:val="445"/>
        </w:trPr>
        <w:tc>
          <w:tcPr>
            <w:tcW w:w="2460" w:type="dxa"/>
            <w:vAlign w:val="bottom"/>
          </w:tcPr>
          <w:p>
            <w:pPr>
              <w:spacing w:after="0"/>
              <w:rPr>
                <w:sz w:val="24"/>
                <w:szCs w:val="24"/>
                <w:color w:val="auto"/>
              </w:rPr>
            </w:pPr>
          </w:p>
        </w:tc>
        <w:tc>
          <w:tcPr>
            <w:tcW w:w="8160" w:type="dxa"/>
            <w:vAlign w:val="bottom"/>
          </w:tcPr>
          <w:p>
            <w:pPr>
              <w:jc w:val="center"/>
              <w:ind w:right="2367"/>
              <w:spacing w:after="0"/>
              <w:rPr>
                <w:sz w:val="20"/>
                <w:szCs w:val="20"/>
                <w:color w:val="auto"/>
              </w:rPr>
            </w:pPr>
            <w:r>
              <w:rPr>
                <w:rFonts w:ascii="Arial" w:cs="Arial" w:eastAsia="Arial" w:hAnsi="Arial"/>
                <w:sz w:val="21"/>
                <w:szCs w:val="21"/>
                <w:b w:val="1"/>
                <w:bCs w:val="1"/>
                <w:color w:val="auto"/>
                <w:w w:val="98"/>
              </w:rPr>
              <w:t>SCHEDULE 14A</w:t>
            </w:r>
          </w:p>
        </w:tc>
      </w:tr>
      <w:tr>
        <w:trPr>
          <w:trHeight w:val="364"/>
        </w:trPr>
        <w:tc>
          <w:tcPr>
            <w:tcW w:w="2460" w:type="dxa"/>
            <w:vAlign w:val="bottom"/>
          </w:tcPr>
          <w:p>
            <w:pPr>
              <w:spacing w:after="0"/>
              <w:rPr>
                <w:sz w:val="24"/>
                <w:szCs w:val="24"/>
                <w:color w:val="auto"/>
              </w:rPr>
            </w:pPr>
          </w:p>
        </w:tc>
        <w:tc>
          <w:tcPr>
            <w:tcW w:w="8160" w:type="dxa"/>
            <w:vAlign w:val="bottom"/>
          </w:tcPr>
          <w:p>
            <w:pPr>
              <w:jc w:val="center"/>
              <w:ind w:right="2367"/>
              <w:spacing w:after="0"/>
              <w:rPr>
                <w:sz w:val="20"/>
                <w:szCs w:val="20"/>
                <w:color w:val="auto"/>
              </w:rPr>
            </w:pPr>
            <w:r>
              <w:rPr>
                <w:rFonts w:ascii="Arial" w:cs="Arial" w:eastAsia="Arial" w:hAnsi="Arial"/>
                <w:sz w:val="16"/>
                <w:szCs w:val="16"/>
                <w:b w:val="1"/>
                <w:bCs w:val="1"/>
                <w:color w:val="auto"/>
                <w:w w:val="97"/>
              </w:rPr>
              <w:t>Proxy Statement Pursuant to Section 14(a) of the</w:t>
            </w:r>
          </w:p>
        </w:tc>
      </w:tr>
      <w:tr>
        <w:trPr>
          <w:trHeight w:val="205"/>
        </w:trPr>
        <w:tc>
          <w:tcPr>
            <w:tcW w:w="2460" w:type="dxa"/>
            <w:vAlign w:val="bottom"/>
          </w:tcPr>
          <w:p>
            <w:pPr>
              <w:spacing w:after="0"/>
              <w:rPr>
                <w:sz w:val="17"/>
                <w:szCs w:val="17"/>
                <w:color w:val="auto"/>
              </w:rPr>
            </w:pPr>
          </w:p>
        </w:tc>
        <w:tc>
          <w:tcPr>
            <w:tcW w:w="8160" w:type="dxa"/>
            <w:vAlign w:val="bottom"/>
          </w:tcPr>
          <w:p>
            <w:pPr>
              <w:jc w:val="center"/>
              <w:ind w:right="2387"/>
              <w:spacing w:after="0"/>
              <w:rPr>
                <w:sz w:val="20"/>
                <w:szCs w:val="20"/>
                <w:color w:val="auto"/>
              </w:rPr>
            </w:pPr>
            <w:r>
              <w:rPr>
                <w:rFonts w:ascii="Arial" w:cs="Arial" w:eastAsia="Arial" w:hAnsi="Arial"/>
                <w:sz w:val="16"/>
                <w:szCs w:val="16"/>
                <w:b w:val="1"/>
                <w:bCs w:val="1"/>
                <w:color w:val="auto"/>
                <w:w w:val="97"/>
              </w:rPr>
              <w:t>Securities Exchange Act of 1934</w:t>
            </w:r>
          </w:p>
        </w:tc>
      </w:tr>
      <w:tr>
        <w:trPr>
          <w:trHeight w:val="240"/>
        </w:trPr>
        <w:tc>
          <w:tcPr>
            <w:tcW w:w="246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tcPr>
          <w:p>
            <w:pPr>
              <w:spacing w:after="0"/>
              <w:rPr>
                <w:sz w:val="20"/>
                <w:szCs w:val="20"/>
                <w:color w:val="auto"/>
              </w:rPr>
            </w:pPr>
          </w:p>
        </w:tc>
      </w:tr>
      <w:tr>
        <w:trPr>
          <w:trHeight w:val="408"/>
        </w:trPr>
        <w:tc>
          <w:tcPr>
            <w:tcW w:w="2460" w:type="dxa"/>
            <w:vAlign w:val="bottom"/>
          </w:tcPr>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tc>
        <w:tc>
          <w:tcPr>
            <w:tcW w:w="8160" w:type="dxa"/>
            <w:vAlign w:val="bottom"/>
          </w:tcPr>
          <w:p>
            <w:pPr>
              <w:ind w:left="58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tc>
      </w:tr>
      <w:tr>
        <w:trPr>
          <w:trHeight w:val="385"/>
        </w:trPr>
        <w:tc>
          <w:tcPr>
            <w:tcW w:w="2460" w:type="dxa"/>
            <w:vAlign w:val="bottom"/>
          </w:tcPr>
          <w:p>
            <w:pPr>
              <w:spacing w:after="0"/>
              <w:rPr>
                <w:sz w:val="20"/>
                <w:szCs w:val="20"/>
                <w:color w:val="auto"/>
              </w:rPr>
            </w:pPr>
            <w:r>
              <w:rPr>
                <w:rFonts w:ascii="Arial" w:cs="Arial" w:eastAsia="Arial" w:hAnsi="Arial"/>
                <w:sz w:val="16"/>
                <w:szCs w:val="16"/>
                <w:color w:val="auto"/>
              </w:rPr>
              <w:t>Check the appropriate box:</w:t>
            </w:r>
          </w:p>
        </w:tc>
        <w:tc>
          <w:tcPr>
            <w:tcW w:w="8160" w:type="dxa"/>
            <w:vAlign w:val="bottom"/>
          </w:tcPr>
          <w:p>
            <w:pPr>
              <w:spacing w:after="0"/>
              <w:rPr>
                <w:sz w:val="24"/>
                <w:szCs w:val="24"/>
                <w:color w:val="auto"/>
              </w:rPr>
            </w:pPr>
          </w:p>
        </w:tc>
      </w:tr>
    </w:tbl>
    <w:p>
      <w:pPr>
        <w:spacing w:after="0" w:line="242" w:lineRule="exact"/>
        <w:rPr>
          <w:sz w:val="24"/>
          <w:szCs w:val="24"/>
          <w:color w:val="auto"/>
        </w:rPr>
      </w:pPr>
    </w:p>
    <w:p>
      <w:pPr>
        <w:ind w:left="960" w:hanging="644"/>
        <w:spacing w:after="0"/>
        <w:tabs>
          <w:tab w:leader="none" w:pos="9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19" w:lineRule="exact"/>
        <w:rPr>
          <w:rFonts w:ascii="MS PGothic" w:cs="MS PGothic" w:eastAsia="MS PGothic" w:hAnsi="MS PGothic"/>
          <w:sz w:val="16"/>
          <w:szCs w:val="16"/>
          <w:color w:val="auto"/>
        </w:rPr>
      </w:pPr>
    </w:p>
    <w:p>
      <w:pPr>
        <w:ind w:left="960" w:hanging="644"/>
        <w:spacing w:after="0"/>
        <w:tabs>
          <w:tab w:leader="none" w:pos="9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219" w:lineRule="exact"/>
        <w:rPr>
          <w:sz w:val="24"/>
          <w:szCs w:val="24"/>
          <w:color w:val="auto"/>
        </w:rPr>
      </w:pPr>
    </w:p>
    <w:p>
      <w:pPr>
        <w:ind w:left="960" w:hanging="644"/>
        <w:spacing w:after="0"/>
        <w:tabs>
          <w:tab w:leader="none" w:pos="9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19" w:lineRule="exact"/>
        <w:rPr>
          <w:sz w:val="24"/>
          <w:szCs w:val="24"/>
          <w:color w:val="auto"/>
        </w:rPr>
      </w:pPr>
    </w:p>
    <w:p>
      <w:pPr>
        <w:ind w:left="960" w:hanging="644"/>
        <w:spacing w:after="0"/>
        <w:tabs>
          <w:tab w:leader="none" w:pos="9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19" w:lineRule="exact"/>
        <w:rPr>
          <w:rFonts w:ascii="MS PGothic" w:cs="MS PGothic" w:eastAsia="MS PGothic" w:hAnsi="MS PGothic"/>
          <w:sz w:val="16"/>
          <w:szCs w:val="16"/>
          <w:color w:val="auto"/>
        </w:rPr>
      </w:pPr>
    </w:p>
    <w:p>
      <w:pPr>
        <w:ind w:left="960" w:hanging="644"/>
        <w:spacing w:after="0"/>
        <w:tabs>
          <w:tab w:leader="none" w:pos="9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 240.14a-12</w:t>
      </w:r>
    </w:p>
    <w:p>
      <w:pPr>
        <w:spacing w:after="0" w:line="172" w:lineRule="exact"/>
        <w:rPr>
          <w:sz w:val="24"/>
          <w:szCs w:val="24"/>
          <w:color w:val="auto"/>
        </w:rPr>
      </w:pPr>
    </w:p>
    <w:p>
      <w:pPr>
        <w:jc w:val="center"/>
        <w:ind w:right="-299"/>
        <w:spacing w:after="0"/>
        <w:rPr>
          <w:sz w:val="20"/>
          <w:szCs w:val="20"/>
          <w:color w:val="auto"/>
        </w:rPr>
      </w:pPr>
      <w:r>
        <w:rPr>
          <w:rFonts w:ascii="Arial" w:cs="Arial" w:eastAsia="Arial" w:hAnsi="Arial"/>
          <w:sz w:val="21"/>
          <w:szCs w:val="21"/>
          <w:b w:val="1"/>
          <w:bCs w:val="1"/>
          <w:color w:val="auto"/>
        </w:rPr>
        <w:t>WYNN RESORTS, LIMITED</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88" w:lineRule="exact"/>
        <w:rPr>
          <w:sz w:val="24"/>
          <w:szCs w:val="24"/>
          <w:color w:val="auto"/>
        </w:rPr>
      </w:pPr>
    </w:p>
    <w:p>
      <w:pPr>
        <w:ind w:left="294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24" w:lineRule="exact"/>
        <w:rPr>
          <w:sz w:val="24"/>
          <w:szCs w:val="24"/>
          <w:color w:val="auto"/>
        </w:rPr>
      </w:pPr>
    </w:p>
    <w:p>
      <w:pPr>
        <w:ind w:left="320"/>
        <w:spacing w:after="0"/>
        <w:rPr>
          <w:sz w:val="20"/>
          <w:szCs w:val="20"/>
          <w:color w:val="auto"/>
        </w:rPr>
      </w:pPr>
      <w:r>
        <w:rPr>
          <w:rFonts w:ascii="Arial" w:cs="Arial" w:eastAsia="Arial" w:hAnsi="Arial"/>
          <w:sz w:val="16"/>
          <w:szCs w:val="16"/>
          <w:color w:val="auto"/>
        </w:rPr>
        <w:t>Payment of Filing Fee (Check the appropriate box):</w:t>
      </w:r>
    </w:p>
    <w:p>
      <w:pPr>
        <w:spacing w:after="0" w:line="206" w:lineRule="exact"/>
        <w:rPr>
          <w:sz w:val="24"/>
          <w:szCs w:val="24"/>
          <w:color w:val="auto"/>
        </w:rPr>
      </w:pPr>
    </w:p>
    <w:p>
      <w:pPr>
        <w:ind w:left="960" w:hanging="644"/>
        <w:spacing w:after="0"/>
        <w:tabs>
          <w:tab w:leader="none" w:pos="9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19" w:lineRule="exact"/>
        <w:rPr>
          <w:sz w:val="24"/>
          <w:szCs w:val="24"/>
          <w:color w:val="auto"/>
        </w:rPr>
      </w:pPr>
    </w:p>
    <w:p>
      <w:pPr>
        <w:ind w:left="960" w:hanging="644"/>
        <w:spacing w:after="0"/>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19" w:lineRule="exact"/>
        <w:rPr>
          <w:rFonts w:ascii="MS PGothic" w:cs="MS PGothic" w:eastAsia="MS PGothic" w:hAnsi="MS PGothic"/>
          <w:sz w:val="16"/>
          <w:szCs w:val="16"/>
          <w:color w:val="auto"/>
        </w:rPr>
      </w:pPr>
    </w:p>
    <w:p>
      <w:pPr>
        <w:ind w:left="960" w:hanging="644"/>
        <w:spacing w:after="0"/>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14a-6(a)(I) and 0-11.</w:t>
      </w:r>
    </w:p>
    <w:p>
      <w:pPr>
        <w:sectPr>
          <w:pgSz w:w="11900" w:h="16838" w:orient="portrait"/>
          <w:cols w:equalWidth="0" w:num="1">
            <w:col w:w="10940"/>
          </w:cols>
          <w:pgMar w:left="320" w:top="226" w:right="63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215900</wp:posOffset>
            </wp:positionV>
            <wp:extent cx="5708015" cy="7434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8015" cy="7434580"/>
                    </a:xfrm>
                    <a:prstGeom prst="rect">
                      <a:avLst/>
                    </a:prstGeom>
                    <a:noFill/>
                  </pic:spPr>
                </pic:pic>
              </a:graphicData>
            </a:graphic>
          </wp:anchor>
        </w:drawing>
      </w:r>
    </w:p>
    <w:p>
      <w:pPr>
        <w:sectPr>
          <w:pgSz w:w="11900" w:h="16838" w:orient="portrait"/>
          <w:cols w:equalWidth="0" w:num="1">
            <w:col w:w="10139"/>
          </w:cols>
          <w:pgMar w:left="320" w:top="473" w:right="1440"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215900</wp:posOffset>
            </wp:positionV>
            <wp:extent cx="5608955" cy="7434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08955" cy="7434580"/>
                    </a:xfrm>
                    <a:prstGeom prst="rect">
                      <a:avLst/>
                    </a:prstGeom>
                    <a:noFill/>
                  </pic:spPr>
                </pic:pic>
              </a:graphicData>
            </a:graphic>
          </wp:anchor>
        </w:drawing>
      </w:r>
    </w:p>
    <w:p>
      <w:pPr>
        <w:sectPr>
          <w:pgSz w:w="11900" w:h="16838" w:orient="portrait"/>
          <w:cols w:equalWidth="0" w:num="1">
            <w:col w:w="10139"/>
          </w:cols>
          <w:pgMar w:left="320" w:top="473" w:right="1440"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7000240" cy="9119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0240" cy="911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20"/>
        <w:spacing w:after="0"/>
        <w:rPr>
          <w:sz w:val="20"/>
          <w:szCs w:val="20"/>
          <w:color w:val="auto"/>
        </w:rPr>
      </w:pPr>
      <w:r>
        <w:rPr>
          <w:rFonts w:ascii="Arial" w:cs="Arial" w:eastAsia="Arial" w:hAnsi="Arial"/>
          <w:sz w:val="31"/>
          <w:szCs w:val="31"/>
          <w:i w:val="1"/>
          <w:iCs w:val="1"/>
          <w:color w:val="auto"/>
        </w:rPr>
        <w:t xml:space="preserve">Dear </w:t>
      </w:r>
      <w:r>
        <w:rPr>
          <w:rFonts w:ascii="Arial" w:cs="Arial" w:eastAsia="Arial" w:hAnsi="Arial"/>
          <w:sz w:val="31"/>
          <w:szCs w:val="31"/>
          <w:color w:val="auto"/>
        </w:rPr>
        <w:t>Shareholders,</w:t>
      </w:r>
    </w:p>
    <w:p>
      <w:pPr>
        <w:spacing w:after="0" w:line="183" w:lineRule="exact"/>
        <w:rPr>
          <w:sz w:val="20"/>
          <w:szCs w:val="20"/>
          <w:color w:val="auto"/>
        </w:rPr>
      </w:pPr>
    </w:p>
    <w:p>
      <w:pPr>
        <w:ind w:left="3720" w:right="559"/>
        <w:spacing w:after="0" w:line="242" w:lineRule="auto"/>
        <w:rPr>
          <w:sz w:val="20"/>
          <w:szCs w:val="20"/>
          <w:color w:val="auto"/>
        </w:rPr>
      </w:pPr>
      <w:r>
        <w:rPr>
          <w:rFonts w:ascii="Arial" w:cs="Arial" w:eastAsia="Arial" w:hAnsi="Arial"/>
          <w:sz w:val="17"/>
          <w:szCs w:val="17"/>
          <w:color w:val="auto"/>
        </w:rPr>
        <w:t>For five years, Wynn Resorts has done a remarkable and highly effective job playing defense. We responded to the sudden departure of the company’s founder in 2018 with alacrity, including comprehensive changes in the composition of our Board of Directors, the executive team, and corporate governance policies—only to then face a pandemic that intermittently closed our resorts in North America and severely impeded our business in Macau.</w:t>
      </w:r>
    </w:p>
    <w:p>
      <w:pPr>
        <w:spacing w:after="0" w:line="144" w:lineRule="exact"/>
        <w:rPr>
          <w:sz w:val="20"/>
          <w:szCs w:val="20"/>
          <w:color w:val="auto"/>
        </w:rPr>
      </w:pPr>
    </w:p>
    <w:p>
      <w:pPr>
        <w:jc w:val="both"/>
        <w:ind w:left="3720" w:right="519"/>
        <w:spacing w:after="0" w:line="239" w:lineRule="auto"/>
        <w:rPr>
          <w:sz w:val="20"/>
          <w:szCs w:val="20"/>
          <w:color w:val="auto"/>
        </w:rPr>
      </w:pPr>
      <w:r>
        <w:rPr>
          <w:rFonts w:ascii="Arial" w:cs="Arial" w:eastAsia="Arial" w:hAnsi="Arial"/>
          <w:sz w:val="17"/>
          <w:szCs w:val="17"/>
          <w:color w:val="auto"/>
        </w:rPr>
        <w:t xml:space="preserve">Our goal was to right the ship and navigate forward. Throughout that process we made decisions true to our core values: to be </w:t>
      </w:r>
      <w:r>
        <w:rPr>
          <w:rFonts w:ascii="Arial" w:cs="Arial" w:eastAsia="Arial" w:hAnsi="Arial"/>
          <w:sz w:val="17"/>
          <w:szCs w:val="17"/>
          <w:b w:val="1"/>
          <w:bCs w:val="1"/>
          <w:color w:val="auto"/>
        </w:rPr>
        <w:t>Service Driven,</w:t>
      </w:r>
      <w:r>
        <w:rPr>
          <w:rFonts w:ascii="Arial" w:cs="Arial" w:eastAsia="Arial" w:hAnsi="Arial"/>
          <w:sz w:val="17"/>
          <w:szCs w:val="17"/>
          <w:color w:val="auto"/>
        </w:rPr>
        <w:t xml:space="preserve"> committed to </w:t>
      </w:r>
      <w:r>
        <w:rPr>
          <w:rFonts w:ascii="Arial" w:cs="Arial" w:eastAsia="Arial" w:hAnsi="Arial"/>
          <w:sz w:val="17"/>
          <w:szCs w:val="17"/>
          <w:b w:val="1"/>
          <w:bCs w:val="1"/>
          <w:color w:val="auto"/>
        </w:rPr>
        <w:t>Excellence,</w:t>
      </w:r>
      <w:r>
        <w:rPr>
          <w:rFonts w:ascii="Arial" w:cs="Arial" w:eastAsia="Arial" w:hAnsi="Arial"/>
          <w:sz w:val="17"/>
          <w:szCs w:val="17"/>
          <w:color w:val="auto"/>
        </w:rPr>
        <w:t xml:space="preserve"> have guest experiences executed with </w:t>
      </w:r>
      <w:r>
        <w:rPr>
          <w:rFonts w:ascii="Arial" w:cs="Arial" w:eastAsia="Arial" w:hAnsi="Arial"/>
          <w:sz w:val="17"/>
          <w:szCs w:val="17"/>
          <w:b w:val="1"/>
          <w:bCs w:val="1"/>
          <w:color w:val="auto"/>
        </w:rPr>
        <w:t>Artistry,</w:t>
      </w:r>
      <w:r>
        <w:rPr>
          <w:rFonts w:ascii="Arial" w:cs="Arial" w:eastAsia="Arial" w:hAnsi="Arial"/>
          <w:sz w:val="17"/>
          <w:szCs w:val="17"/>
          <w:color w:val="auto"/>
        </w:rPr>
        <w:t xml:space="preserve"> and to be</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Progressive.</w:t>
      </w:r>
    </w:p>
    <w:p>
      <w:pPr>
        <w:spacing w:after="0" w:line="155"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Because we stayed true to our values—the core of who we are—Wynn</w:t>
      </w:r>
    </w:p>
    <w:p>
      <w:pPr>
        <w:ind w:left="3720"/>
        <w:spacing w:after="0"/>
        <w:rPr>
          <w:sz w:val="20"/>
          <w:szCs w:val="20"/>
          <w:color w:val="auto"/>
        </w:rPr>
      </w:pPr>
      <w:r>
        <w:rPr>
          <w:rFonts w:ascii="Arial" w:cs="Arial" w:eastAsia="Arial" w:hAnsi="Arial"/>
          <w:sz w:val="17"/>
          <w:szCs w:val="17"/>
          <w:color w:val="auto"/>
        </w:rPr>
        <w:t>Resorts is stronger as a result.</w:t>
      </w:r>
    </w:p>
    <w:p>
      <w:pPr>
        <w:spacing w:after="0" w:line="140" w:lineRule="exact"/>
        <w:rPr>
          <w:sz w:val="20"/>
          <w:szCs w:val="20"/>
          <w:color w:val="auto"/>
        </w:rPr>
      </w:pPr>
    </w:p>
    <w:p>
      <w:pPr>
        <w:ind w:left="3720" w:right="1239"/>
        <w:spacing w:after="0" w:line="265" w:lineRule="auto"/>
        <w:rPr>
          <w:sz w:val="20"/>
          <w:szCs w:val="20"/>
          <w:color w:val="auto"/>
        </w:rPr>
      </w:pPr>
      <w:r>
        <w:rPr>
          <w:rFonts w:ascii="Arial" w:cs="Arial" w:eastAsia="Arial" w:hAnsi="Arial"/>
          <w:sz w:val="16"/>
          <w:szCs w:val="16"/>
          <w:b w:val="1"/>
          <w:bCs w:val="1"/>
          <w:color w:val="auto"/>
        </w:rPr>
        <w:t>We are entering our next chapter playing offense—not just preserving shareholder value but growing shareholder value.</w:t>
      </w:r>
    </w:p>
    <w:p>
      <w:pPr>
        <w:spacing w:after="0" w:line="129" w:lineRule="exact"/>
        <w:rPr>
          <w:sz w:val="20"/>
          <w:szCs w:val="20"/>
          <w:color w:val="auto"/>
        </w:rPr>
      </w:pPr>
    </w:p>
    <w:p>
      <w:pPr>
        <w:ind w:left="3720" w:right="459"/>
        <w:spacing w:after="0" w:line="242" w:lineRule="auto"/>
        <w:rPr>
          <w:sz w:val="20"/>
          <w:szCs w:val="20"/>
          <w:color w:val="auto"/>
        </w:rPr>
      </w:pPr>
      <w:r>
        <w:rPr>
          <w:rFonts w:ascii="Arial" w:cs="Arial" w:eastAsia="Arial" w:hAnsi="Arial"/>
          <w:sz w:val="17"/>
          <w:szCs w:val="17"/>
          <w:color w:val="auto"/>
        </w:rPr>
        <w:t xml:space="preserve">To prepare, we have cleared away any uncertainty surrounding Macau: The Company entered into a new, 10-year gaming concession agreement with the government of Macau which management very effectively negotiated. </w:t>
      </w:r>
      <w:r>
        <w:rPr>
          <w:rFonts w:ascii="Arial" w:cs="Arial" w:eastAsia="Arial" w:hAnsi="Arial"/>
          <w:sz w:val="17"/>
          <w:szCs w:val="17"/>
          <w:b w:val="1"/>
          <w:bCs w:val="1"/>
          <w:color w:val="auto"/>
        </w:rPr>
        <w:t>We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have solidified our leadership in Macau by appointing Linda Chen, who has worked with Wynn Resorts since our founding in 2002, as President. </w:t>
      </w:r>
      <w:r>
        <w:rPr>
          <w:rFonts w:ascii="Arial" w:cs="Arial" w:eastAsia="Arial" w:hAnsi="Arial"/>
          <w:sz w:val="17"/>
          <w:szCs w:val="17"/>
          <w:color w:val="auto"/>
        </w:rPr>
        <w:t>We will lead that market in its pursuit of non-gaming growth, just</w:t>
      </w:r>
      <w:r>
        <w:rPr>
          <w:rFonts w:ascii="Arial" w:cs="Arial" w:eastAsia="Arial" w:hAnsi="Arial"/>
          <w:sz w:val="17"/>
          <w:szCs w:val="17"/>
          <w:b w:val="1"/>
          <w:bCs w:val="1"/>
          <w:color w:val="auto"/>
        </w:rPr>
        <w:t xml:space="preserve"> </w:t>
      </w:r>
      <w:r>
        <w:rPr>
          <w:rFonts w:ascii="Arial" w:cs="Arial" w:eastAsia="Arial" w:hAnsi="Arial"/>
          <w:sz w:val="17"/>
          <w:szCs w:val="17"/>
          <w:color w:val="auto"/>
        </w:rPr>
        <w:t>as we did in Las Vegas when it undertook a similar expansion decades ago.</w:t>
      </w:r>
    </w:p>
    <w:p>
      <w:pPr>
        <w:spacing w:after="0" w:line="142" w:lineRule="exact"/>
        <w:rPr>
          <w:sz w:val="20"/>
          <w:szCs w:val="20"/>
          <w:color w:val="auto"/>
        </w:rPr>
      </w:pPr>
    </w:p>
    <w:p>
      <w:pPr>
        <w:jc w:val="both"/>
        <w:ind w:left="3720" w:right="499"/>
        <w:spacing w:after="0" w:line="247" w:lineRule="auto"/>
        <w:rPr>
          <w:sz w:val="20"/>
          <w:szCs w:val="20"/>
          <w:color w:val="auto"/>
        </w:rPr>
      </w:pPr>
      <w:r>
        <w:rPr>
          <w:rFonts w:ascii="Arial" w:cs="Arial" w:eastAsia="Arial" w:hAnsi="Arial"/>
          <w:sz w:val="17"/>
          <w:szCs w:val="17"/>
          <w:color w:val="auto"/>
        </w:rPr>
        <w:t xml:space="preserve">The transitions of Craig Billings to CEO and Julie Cameron-Doe to CFO went as smoothly as planned. </w:t>
      </w:r>
      <w:r>
        <w:rPr>
          <w:rFonts w:ascii="Arial" w:cs="Arial" w:eastAsia="Arial" w:hAnsi="Arial"/>
          <w:sz w:val="17"/>
          <w:szCs w:val="17"/>
          <w:b w:val="1"/>
          <w:bCs w:val="1"/>
          <w:color w:val="auto"/>
        </w:rPr>
        <w:t>Today, 67% of the Wynn Resorts executive team</w:t>
      </w:r>
      <w:r>
        <w:rPr>
          <w:rFonts w:ascii="Arial" w:cs="Arial" w:eastAsia="Arial" w:hAnsi="Arial"/>
          <w:sz w:val="17"/>
          <w:szCs w:val="17"/>
          <w:color w:val="auto"/>
        </w:rPr>
        <w:t xml:space="preserve"> </w:t>
      </w:r>
      <w:r>
        <w:rPr>
          <w:rFonts w:ascii="Arial" w:cs="Arial" w:eastAsia="Arial" w:hAnsi="Arial"/>
          <w:sz w:val="17"/>
          <w:szCs w:val="17"/>
          <w:b w:val="1"/>
          <w:bCs w:val="1"/>
          <w:color w:val="auto"/>
        </w:rPr>
        <w:t>is diverse by gender.</w:t>
      </w:r>
    </w:p>
    <w:p>
      <w:pPr>
        <w:spacing w:after="0" w:line="138" w:lineRule="exact"/>
        <w:rPr>
          <w:sz w:val="20"/>
          <w:szCs w:val="20"/>
          <w:color w:val="auto"/>
        </w:rPr>
      </w:pPr>
    </w:p>
    <w:p>
      <w:pPr>
        <w:ind w:left="3720" w:right="599"/>
        <w:spacing w:after="0" w:line="243" w:lineRule="auto"/>
        <w:rPr>
          <w:sz w:val="20"/>
          <w:szCs w:val="20"/>
          <w:color w:val="auto"/>
        </w:rPr>
      </w:pPr>
      <w:r>
        <w:rPr>
          <w:rFonts w:ascii="Arial" w:cs="Arial" w:eastAsia="Arial" w:hAnsi="Arial"/>
          <w:sz w:val="17"/>
          <w:szCs w:val="17"/>
          <w:color w:val="auto"/>
        </w:rPr>
        <w:t xml:space="preserve">Last year, to demonstrate their confidence in the Company and its future success, and to show support to our people in Macau by preserving liquidity during a very challenging period, Board members and named executive officers </w:t>
      </w:r>
      <w:r>
        <w:rPr>
          <w:rFonts w:ascii="Arial" w:cs="Arial" w:eastAsia="Arial" w:hAnsi="Arial"/>
          <w:sz w:val="17"/>
          <w:szCs w:val="17"/>
          <w:b w:val="1"/>
          <w:bCs w:val="1"/>
          <w:color w:val="auto"/>
        </w:rPr>
        <w:t>exchanged a portion of their salaries and board fees for equity</w:t>
      </w:r>
      <w:r>
        <w:rPr>
          <w:rFonts w:ascii="Arial" w:cs="Arial" w:eastAsia="Arial" w:hAnsi="Arial"/>
          <w:sz w:val="17"/>
          <w:szCs w:val="17"/>
          <w:color w:val="auto"/>
        </w:rPr>
        <w:t xml:space="preserve"> </w:t>
      </w:r>
      <w:r>
        <w:rPr>
          <w:rFonts w:ascii="Arial" w:cs="Arial" w:eastAsia="Arial" w:hAnsi="Arial"/>
          <w:sz w:val="17"/>
          <w:szCs w:val="17"/>
          <w:b w:val="1"/>
          <w:bCs w:val="1"/>
          <w:color w:val="auto"/>
        </w:rPr>
        <w:t>compensation.</w:t>
      </w:r>
    </w:p>
    <w:p>
      <w:pPr>
        <w:spacing w:after="0" w:line="120" w:lineRule="exact"/>
        <w:rPr>
          <w:sz w:val="20"/>
          <w:szCs w:val="20"/>
          <w:color w:val="auto"/>
        </w:rPr>
      </w:pPr>
    </w:p>
    <w:p>
      <w:pPr>
        <w:jc w:val="both"/>
        <w:ind w:left="3720" w:right="739"/>
        <w:spacing w:after="0" w:line="261" w:lineRule="auto"/>
        <w:rPr>
          <w:sz w:val="20"/>
          <w:szCs w:val="20"/>
          <w:color w:val="auto"/>
        </w:rPr>
      </w:pPr>
      <w:r>
        <w:rPr>
          <w:rFonts w:ascii="Arial" w:cs="Arial" w:eastAsia="Arial" w:hAnsi="Arial"/>
          <w:sz w:val="17"/>
          <w:szCs w:val="17"/>
          <w:color w:val="auto"/>
        </w:rPr>
        <w:t>The convergence of these things—</w:t>
      </w:r>
      <w:r>
        <w:rPr>
          <w:rFonts w:ascii="Arial" w:cs="Arial" w:eastAsia="Arial" w:hAnsi="Arial"/>
          <w:sz w:val="17"/>
          <w:szCs w:val="17"/>
          <w:b w:val="1"/>
          <w:bCs w:val="1"/>
          <w:color w:val="auto"/>
        </w:rPr>
        <w:t>company stability, the most talented</w:t>
      </w:r>
      <w:r>
        <w:rPr>
          <w:rFonts w:ascii="Arial" w:cs="Arial" w:eastAsia="Arial" w:hAnsi="Arial"/>
          <w:sz w:val="17"/>
          <w:szCs w:val="17"/>
          <w:color w:val="auto"/>
        </w:rPr>
        <w:t xml:space="preserve"> </w:t>
      </w:r>
      <w:r>
        <w:rPr>
          <w:rFonts w:ascii="Arial" w:cs="Arial" w:eastAsia="Arial" w:hAnsi="Arial"/>
          <w:sz w:val="17"/>
          <w:szCs w:val="17"/>
          <w:b w:val="1"/>
          <w:bCs w:val="1"/>
          <w:color w:val="auto"/>
        </w:rPr>
        <w:t>senior team in the industry, and personal commitments to success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give me more confidence than ever in Wynn Resorts.</w:t>
      </w:r>
    </w:p>
    <w:p>
      <w:pPr>
        <w:spacing w:after="0" w:line="87"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Philip G. Satre</w:t>
      </w:r>
    </w:p>
    <w:p>
      <w:pPr>
        <w:ind w:left="3720"/>
        <w:spacing w:after="0"/>
        <w:rPr>
          <w:sz w:val="20"/>
          <w:szCs w:val="20"/>
          <w:color w:val="auto"/>
        </w:rPr>
      </w:pPr>
      <w:r>
        <w:rPr>
          <w:rFonts w:ascii="Arial" w:cs="Arial" w:eastAsia="Arial" w:hAnsi="Arial"/>
          <w:sz w:val="17"/>
          <w:szCs w:val="17"/>
          <w:color w:val="auto"/>
        </w:rPr>
        <w:t>Chair of the Board of Directors</w:t>
      </w:r>
    </w:p>
    <w:p>
      <w:pPr>
        <w:sectPr>
          <w:pgSz w:w="11900" w:h="16838" w:orient="portrait"/>
          <w:cols w:equalWidth="0" w:num="1">
            <w:col w:w="10139"/>
          </w:cols>
          <w:pgMar w:left="320" w:top="473" w:right="1440" w:bottom="1440" w:gutter="0" w:footer="0" w:header="0"/>
        </w:sectPr>
      </w:pPr>
    </w:p>
    <w:bookmarkStart w:id="4" w:name="page5"/>
    <w:bookmarkEnd w:id="4"/>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215900</wp:posOffset>
            </wp:positionV>
            <wp:extent cx="6939280" cy="8921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9280" cy="8921750"/>
                    </a:xfrm>
                    <a:prstGeom prst="rect">
                      <a:avLst/>
                    </a:prstGeom>
                    <a:noFill/>
                  </pic:spPr>
                </pic:pic>
              </a:graphicData>
            </a:graphic>
          </wp:anchor>
        </w:drawing>
      </w:r>
    </w:p>
    <w:p>
      <w:pPr>
        <w:sectPr>
          <w:pgSz w:w="11900" w:h="16838" w:orient="portrait"/>
          <w:cols w:equalWidth="0" w:num="1">
            <w:col w:w="10139"/>
          </w:cols>
          <w:pgMar w:left="320" w:top="473" w:right="1440"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7000240" cy="9119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0240" cy="911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720"/>
        <w:spacing w:after="0"/>
        <w:rPr>
          <w:sz w:val="20"/>
          <w:szCs w:val="20"/>
          <w:color w:val="auto"/>
        </w:rPr>
      </w:pPr>
      <w:r>
        <w:rPr>
          <w:rFonts w:ascii="Arial" w:cs="Arial" w:eastAsia="Arial" w:hAnsi="Arial"/>
          <w:sz w:val="31"/>
          <w:szCs w:val="31"/>
          <w:i w:val="1"/>
          <w:iCs w:val="1"/>
          <w:color w:val="auto"/>
        </w:rPr>
        <w:t xml:space="preserve">Dear </w:t>
      </w:r>
      <w:r>
        <w:rPr>
          <w:rFonts w:ascii="Arial" w:cs="Arial" w:eastAsia="Arial" w:hAnsi="Arial"/>
          <w:sz w:val="31"/>
          <w:szCs w:val="31"/>
          <w:color w:val="auto"/>
        </w:rPr>
        <w:t>Shareholders,</w:t>
      </w:r>
    </w:p>
    <w:p>
      <w:pPr>
        <w:spacing w:after="0" w:line="212" w:lineRule="exact"/>
        <w:rPr>
          <w:sz w:val="20"/>
          <w:szCs w:val="20"/>
          <w:color w:val="auto"/>
        </w:rPr>
      </w:pPr>
    </w:p>
    <w:p>
      <w:pPr>
        <w:ind w:left="3720" w:right="199"/>
        <w:spacing w:after="0" w:line="241" w:lineRule="auto"/>
        <w:rPr>
          <w:sz w:val="20"/>
          <w:szCs w:val="20"/>
          <w:color w:val="auto"/>
        </w:rPr>
      </w:pPr>
      <w:r>
        <w:rPr>
          <w:rFonts w:ascii="Arial" w:cs="Arial" w:eastAsia="Arial" w:hAnsi="Arial"/>
          <w:sz w:val="16"/>
          <w:szCs w:val="16"/>
          <w:color w:val="auto"/>
        </w:rPr>
        <w:t>Running at full speed. That is how I feel about our business following nearly three years of intermittent disruption.</w:t>
      </w:r>
    </w:p>
    <w:p>
      <w:pPr>
        <w:spacing w:after="0" w:line="107" w:lineRule="exact"/>
        <w:rPr>
          <w:sz w:val="20"/>
          <w:szCs w:val="20"/>
          <w:color w:val="auto"/>
        </w:rPr>
      </w:pPr>
    </w:p>
    <w:p>
      <w:pPr>
        <w:ind w:left="3720" w:right="179"/>
        <w:spacing w:after="0" w:line="251" w:lineRule="auto"/>
        <w:rPr>
          <w:sz w:val="20"/>
          <w:szCs w:val="20"/>
          <w:color w:val="auto"/>
        </w:rPr>
      </w:pPr>
      <w:r>
        <w:rPr>
          <w:rFonts w:ascii="Arial" w:cs="Arial" w:eastAsia="Arial" w:hAnsi="Arial"/>
          <w:sz w:val="16"/>
          <w:szCs w:val="16"/>
          <w:b w:val="1"/>
          <w:bCs w:val="1"/>
          <w:color w:val="auto"/>
        </w:rPr>
        <w:t xml:space="preserve">The source of our success is clear: our employees. </w:t>
      </w:r>
      <w:r>
        <w:rPr>
          <w:rFonts w:ascii="Arial" w:cs="Arial" w:eastAsia="Arial" w:hAnsi="Arial"/>
          <w:sz w:val="16"/>
          <w:szCs w:val="16"/>
          <w:color w:val="auto"/>
        </w:rPr>
        <w:t>Their sense of ownership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passion drive us, as we find new opportunities to make Wynn Resorts more vibrant and relevant to our guests than ever before.</w:t>
      </w:r>
    </w:p>
    <w:p>
      <w:pPr>
        <w:spacing w:after="0" w:line="99" w:lineRule="exact"/>
        <w:rPr>
          <w:sz w:val="20"/>
          <w:szCs w:val="20"/>
          <w:color w:val="auto"/>
        </w:rPr>
      </w:pPr>
    </w:p>
    <w:p>
      <w:pPr>
        <w:ind w:left="3720" w:right="159"/>
        <w:spacing w:after="0" w:line="243" w:lineRule="auto"/>
        <w:rPr>
          <w:sz w:val="20"/>
          <w:szCs w:val="20"/>
          <w:color w:val="auto"/>
        </w:rPr>
      </w:pPr>
      <w:r>
        <w:rPr>
          <w:rFonts w:ascii="Arial" w:cs="Arial" w:eastAsia="Arial" w:hAnsi="Arial"/>
          <w:sz w:val="16"/>
          <w:szCs w:val="16"/>
          <w:b w:val="1"/>
          <w:bCs w:val="1"/>
          <w:color w:val="auto"/>
        </w:rPr>
        <w:t xml:space="preserve">Wynn Las Vegas is the place to be. </w:t>
      </w:r>
      <w:r>
        <w:rPr>
          <w:rFonts w:ascii="Arial" w:cs="Arial" w:eastAsia="Arial" w:hAnsi="Arial"/>
          <w:sz w:val="16"/>
          <w:szCs w:val="16"/>
          <w:color w:val="auto"/>
        </w:rPr>
        <w:t>In 2022, the resort launched a series of events that</w:t>
      </w:r>
      <w:r>
        <w:rPr>
          <w:rFonts w:ascii="Arial" w:cs="Arial" w:eastAsia="Arial" w:hAnsi="Arial"/>
          <w:sz w:val="16"/>
          <w:szCs w:val="16"/>
          <w:b w:val="1"/>
          <w:bCs w:val="1"/>
          <w:color w:val="auto"/>
        </w:rPr>
        <w:t xml:space="preserve"> </w:t>
      </w:r>
      <w:r>
        <w:rPr>
          <w:rFonts w:ascii="Arial" w:cs="Arial" w:eastAsia="Arial" w:hAnsi="Arial"/>
          <w:sz w:val="16"/>
          <w:szCs w:val="16"/>
          <w:color w:val="auto"/>
        </w:rPr>
        <w:t>offer “only the best and only at Wynn” in culinary arts, sports broadcasts, luxury goods, and unique entertainment premieres. This year, we’ll add to our collection of experiences, including a founding partnership with Formula 1 racing that allows Wynn and F1 the opportunity to offer a set of singular, Wynn-only guest experiences at the Las Vegas Grand Prix.</w:t>
      </w:r>
    </w:p>
    <w:p>
      <w:pPr>
        <w:spacing w:after="0" w:line="105" w:lineRule="exact"/>
        <w:rPr>
          <w:sz w:val="20"/>
          <w:szCs w:val="20"/>
          <w:color w:val="auto"/>
        </w:rPr>
      </w:pPr>
    </w:p>
    <w:p>
      <w:pPr>
        <w:ind w:left="3720" w:right="279"/>
        <w:spacing w:after="0" w:line="282" w:lineRule="auto"/>
        <w:rPr>
          <w:sz w:val="20"/>
          <w:szCs w:val="20"/>
          <w:color w:val="auto"/>
        </w:rPr>
      </w:pPr>
      <w:r>
        <w:rPr>
          <w:rFonts w:ascii="Arial" w:cs="Arial" w:eastAsia="Arial" w:hAnsi="Arial"/>
          <w:sz w:val="14"/>
          <w:szCs w:val="14"/>
          <w:b w:val="1"/>
          <w:bCs w:val="1"/>
          <w:color w:val="auto"/>
        </w:rPr>
        <w:t>Encore Boston Harbor has come into its own</w:t>
      </w:r>
      <w:r>
        <w:rPr>
          <w:rFonts w:ascii="Arial" w:cs="Arial" w:eastAsia="Arial" w:hAnsi="Arial"/>
          <w:sz w:val="14"/>
          <w:szCs w:val="14"/>
          <w:color w:val="auto"/>
        </w:rPr>
        <w:t>. In its first year of being rated by Forbes</w:t>
      </w:r>
      <w:r>
        <w:rPr>
          <w:rFonts w:ascii="Arial" w:cs="Arial" w:eastAsia="Arial" w:hAnsi="Arial"/>
          <w:sz w:val="14"/>
          <w:szCs w:val="14"/>
          <w:b w:val="1"/>
          <w:bCs w:val="1"/>
          <w:color w:val="auto"/>
        </w:rPr>
        <w:t xml:space="preserve"> </w:t>
      </w:r>
      <w:r>
        <w:rPr>
          <w:rFonts w:ascii="Arial" w:cs="Arial" w:eastAsia="Arial" w:hAnsi="Arial"/>
          <w:sz w:val="14"/>
          <w:szCs w:val="14"/>
          <w:color w:val="auto"/>
        </w:rPr>
        <w:t>Travel Guide</w:t>
      </w:r>
      <w:r>
        <w:rPr>
          <w:rFonts w:ascii="Arial" w:cs="Arial" w:eastAsia="Arial" w:hAnsi="Arial"/>
          <w:sz w:val="14"/>
          <w:szCs w:val="14"/>
          <w:b w:val="1"/>
          <w:bCs w:val="1"/>
          <w:color w:val="auto"/>
        </w:rPr>
        <w:t>, the resort was awarded five stars—Wynn Resorts continues to hold</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more Forbes Five Stars than any independent hotel company in the world. </w:t>
      </w:r>
      <w:r>
        <w:rPr>
          <w:rFonts w:ascii="Arial" w:cs="Arial" w:eastAsia="Arial" w:hAnsi="Arial"/>
          <w:sz w:val="14"/>
          <w:szCs w:val="14"/>
          <w:color w:val="auto"/>
        </w:rPr>
        <w:t>In a city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where sports are social currency, fans are enthusiastic about the recent launch of our WynnBET Sportsbook at Encore, and we’ll break ground on our Broadway Entertainment District later this year. </w:t>
      </w:r>
      <w:r>
        <w:rPr>
          <w:rFonts w:ascii="Arial" w:cs="Arial" w:eastAsia="Arial" w:hAnsi="Arial"/>
          <w:sz w:val="14"/>
          <w:szCs w:val="14"/>
          <w:b w:val="1"/>
          <w:bCs w:val="1"/>
          <w:color w:val="auto"/>
        </w:rPr>
        <w:t>Record-breaking revenues</w:t>
      </w:r>
      <w:r>
        <w:rPr>
          <w:rFonts w:ascii="Arial" w:cs="Arial" w:eastAsia="Arial" w:hAnsi="Arial"/>
          <w:sz w:val="14"/>
          <w:szCs w:val="14"/>
          <w:color w:val="auto"/>
        </w:rPr>
        <w:t xml:space="preserve"> and increases in our loyalty program demonstrate that Encore is solidly Boston’s hometown casino.</w:t>
      </w:r>
    </w:p>
    <w:p>
      <w:pPr>
        <w:spacing w:after="0" w:line="81" w:lineRule="exact"/>
        <w:rPr>
          <w:sz w:val="20"/>
          <w:szCs w:val="20"/>
          <w:color w:val="auto"/>
        </w:rPr>
      </w:pPr>
    </w:p>
    <w:p>
      <w:pPr>
        <w:ind w:left="3720" w:right="179"/>
        <w:spacing w:after="0" w:line="243" w:lineRule="auto"/>
        <w:rPr>
          <w:sz w:val="20"/>
          <w:szCs w:val="20"/>
          <w:color w:val="auto"/>
        </w:rPr>
      </w:pPr>
      <w:r>
        <w:rPr>
          <w:rFonts w:ascii="Arial" w:cs="Arial" w:eastAsia="Arial" w:hAnsi="Arial"/>
          <w:sz w:val="16"/>
          <w:szCs w:val="16"/>
          <w:b w:val="1"/>
          <w:bCs w:val="1"/>
          <w:color w:val="auto"/>
        </w:rPr>
        <w:t xml:space="preserve">Macau is back. </w:t>
      </w:r>
      <w:r>
        <w:rPr>
          <w:rFonts w:ascii="Arial" w:cs="Arial" w:eastAsia="Arial" w:hAnsi="Arial"/>
          <w:sz w:val="16"/>
          <w:szCs w:val="16"/>
          <w:color w:val="auto"/>
        </w:rPr>
        <w:t>At Wynn Macau and Wynn Palace,</w:t>
      </w:r>
      <w:r>
        <w:rPr>
          <w:rFonts w:ascii="Arial" w:cs="Arial" w:eastAsia="Arial" w:hAnsi="Arial"/>
          <w:sz w:val="16"/>
          <w:szCs w:val="16"/>
          <w:b w:val="1"/>
          <w:bCs w:val="1"/>
          <w:color w:val="auto"/>
        </w:rPr>
        <w:t xml:space="preserve"> we successfully negotiated a new, 10-year gaming concession agreement with the government on favorable terms</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recent changes in local COVID policy have unlocked the pent-up consumer demand we had anticipated and prepared for. We’ll borrow a page from the Las Vegas playbook for fresh, relevant events in Macau as we design the destination’s next generation of non-gaming amenities.</w:t>
      </w:r>
    </w:p>
    <w:p>
      <w:pPr>
        <w:spacing w:after="0" w:line="123" w:lineRule="exact"/>
        <w:rPr>
          <w:sz w:val="20"/>
          <w:szCs w:val="20"/>
          <w:color w:val="auto"/>
        </w:rPr>
      </w:pPr>
    </w:p>
    <w:p>
      <w:pPr>
        <w:jc w:val="both"/>
        <w:ind w:left="3720" w:right="299"/>
        <w:spacing w:after="0" w:line="239" w:lineRule="auto"/>
        <w:rPr>
          <w:sz w:val="20"/>
          <w:szCs w:val="20"/>
          <w:color w:val="auto"/>
        </w:rPr>
      </w:pPr>
      <w:r>
        <w:rPr>
          <w:rFonts w:ascii="Arial" w:cs="Arial" w:eastAsia="Arial" w:hAnsi="Arial"/>
          <w:sz w:val="16"/>
          <w:szCs w:val="16"/>
          <w:color w:val="auto"/>
        </w:rPr>
        <w:t xml:space="preserve">Our Wynn Design and Development team is fully engaged and drawing on their decades of expertise in designing singular guest experiences to create </w:t>
      </w:r>
      <w:r>
        <w:rPr>
          <w:rFonts w:ascii="Arial" w:cs="Arial" w:eastAsia="Arial" w:hAnsi="Arial"/>
          <w:sz w:val="16"/>
          <w:szCs w:val="16"/>
          <w:b w:val="1"/>
          <w:bCs w:val="1"/>
          <w:color w:val="auto"/>
        </w:rPr>
        <w:t>Wynn Al Marjan Island in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the United Arab Emirates. </w:t>
      </w:r>
      <w:r>
        <w:rPr>
          <w:rFonts w:ascii="Arial" w:cs="Arial" w:eastAsia="Arial" w:hAnsi="Arial"/>
          <w:sz w:val="16"/>
          <w:szCs w:val="16"/>
          <w:color w:val="auto"/>
        </w:rPr>
        <w:t>We also are aggressively pursuing a gaming license in</w:t>
      </w:r>
      <w:r>
        <w:rPr>
          <w:rFonts w:ascii="Arial" w:cs="Arial" w:eastAsia="Arial" w:hAnsi="Arial"/>
          <w:sz w:val="16"/>
          <w:szCs w:val="16"/>
          <w:b w:val="1"/>
          <w:bCs w:val="1"/>
          <w:color w:val="auto"/>
        </w:rPr>
        <w:t xml:space="preserve"> New York City </w:t>
      </w:r>
      <w:r>
        <w:rPr>
          <w:rFonts w:ascii="Arial" w:cs="Arial" w:eastAsia="Arial" w:hAnsi="Arial"/>
          <w:sz w:val="16"/>
          <w:szCs w:val="16"/>
          <w:color w:val="auto"/>
        </w:rPr>
        <w:t>at our proposed location of</w:t>
      </w:r>
      <w:r>
        <w:rPr>
          <w:rFonts w:ascii="Arial" w:cs="Arial" w:eastAsia="Arial" w:hAnsi="Arial"/>
          <w:sz w:val="16"/>
          <w:szCs w:val="16"/>
          <w:b w:val="1"/>
          <w:bCs w:val="1"/>
          <w:color w:val="auto"/>
        </w:rPr>
        <w:t xml:space="preserve"> Hudson Yards</w:t>
      </w:r>
      <w:r>
        <w:rPr>
          <w:rFonts w:ascii="Arial" w:cs="Arial" w:eastAsia="Arial" w:hAnsi="Arial"/>
          <w:sz w:val="16"/>
          <w:szCs w:val="16"/>
          <w:color w:val="auto"/>
        </w:rPr>
        <w:t>.</w:t>
      </w:r>
    </w:p>
    <w:p>
      <w:pPr>
        <w:spacing w:after="0" w:line="126" w:lineRule="exact"/>
        <w:rPr>
          <w:sz w:val="20"/>
          <w:szCs w:val="20"/>
          <w:color w:val="auto"/>
        </w:rPr>
      </w:pPr>
    </w:p>
    <w:p>
      <w:pPr>
        <w:ind w:left="3720" w:right="199"/>
        <w:spacing w:after="0" w:line="310" w:lineRule="auto"/>
        <w:rPr>
          <w:sz w:val="20"/>
          <w:szCs w:val="20"/>
          <w:color w:val="auto"/>
        </w:rPr>
      </w:pPr>
      <w:r>
        <w:rPr>
          <w:rFonts w:ascii="Arial" w:cs="Arial" w:eastAsia="Arial" w:hAnsi="Arial"/>
          <w:sz w:val="14"/>
          <w:szCs w:val="14"/>
          <w:color w:val="auto"/>
        </w:rPr>
        <w:t>We have tremendous opportunities ahead, and no team is better prepared for them than the team at Wynn Resorts—you can meet them yourself by visiting any one of our resorts.</w:t>
      </w:r>
    </w:p>
    <w:p>
      <w:pPr>
        <w:spacing w:after="0" w:line="78" w:lineRule="exact"/>
        <w:rPr>
          <w:sz w:val="20"/>
          <w:szCs w:val="20"/>
          <w:color w:val="auto"/>
        </w:rPr>
      </w:pPr>
    </w:p>
    <w:p>
      <w:pPr>
        <w:ind w:left="3720" w:right="239"/>
        <w:spacing w:after="0" w:line="241" w:lineRule="auto"/>
        <w:rPr>
          <w:sz w:val="20"/>
          <w:szCs w:val="20"/>
          <w:color w:val="auto"/>
        </w:rPr>
      </w:pPr>
      <w:r>
        <w:rPr>
          <w:rFonts w:ascii="Arial" w:cs="Arial" w:eastAsia="Arial" w:hAnsi="Arial"/>
          <w:sz w:val="16"/>
          <w:szCs w:val="16"/>
          <w:color w:val="auto"/>
        </w:rPr>
        <w:t>I urge you to vote in support of the items described in this proxy statement and invite your input on an ongoing basis.</w:t>
      </w:r>
    </w:p>
    <w:p>
      <w:pPr>
        <w:spacing w:after="0" w:line="125"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Thank you for your investment in Wynn Resorts.</w:t>
      </w:r>
    </w:p>
    <w:p>
      <w:pPr>
        <w:spacing w:after="0" w:line="128"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Craig S. Billings</w:t>
      </w:r>
    </w:p>
    <w:p>
      <w:pPr>
        <w:ind w:left="372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0139"/>
          </w:cols>
          <w:pgMar w:left="320" w:top="473" w:right="1440"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52" w:lineRule="exact"/>
        <w:rPr>
          <w:sz w:val="20"/>
          <w:szCs w:val="20"/>
          <w:color w:val="auto"/>
        </w:rPr>
      </w:pPr>
    </w:p>
    <w:p>
      <w:pPr>
        <w:ind w:left="1600"/>
        <w:spacing w:after="0"/>
        <w:rPr>
          <w:sz w:val="20"/>
          <w:szCs w:val="20"/>
          <w:color w:val="auto"/>
        </w:rPr>
      </w:pPr>
      <w:r>
        <w:rPr>
          <w:rFonts w:ascii="Arial" w:cs="Arial" w:eastAsia="Arial" w:hAnsi="Arial"/>
          <w:sz w:val="45"/>
          <w:szCs w:val="45"/>
          <w:i w:val="1"/>
          <w:iCs w:val="1"/>
          <w:color w:val="D59D18"/>
        </w:rPr>
        <w:t xml:space="preserve">Notice of </w:t>
      </w:r>
      <w:r>
        <w:rPr>
          <w:rFonts w:ascii="Arial" w:cs="Arial" w:eastAsia="Arial" w:hAnsi="Arial"/>
          <w:sz w:val="45"/>
          <w:szCs w:val="45"/>
          <w:color w:val="D59D18"/>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-287020</wp:posOffset>
            </wp:positionV>
            <wp:extent cx="6939280" cy="8921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39280" cy="8921750"/>
                    </a:xfrm>
                    <a:prstGeom prst="rect">
                      <a:avLst/>
                    </a:prstGeom>
                    <a:noFill/>
                  </pic:spPr>
                </pic:pic>
              </a:graphicData>
            </a:graphic>
          </wp:anchor>
        </w:drawing>
      </w:r>
    </w:p>
    <w:p>
      <w:pPr>
        <w:spacing w:after="0" w:line="205" w:lineRule="exact"/>
        <w:rPr>
          <w:sz w:val="20"/>
          <w:szCs w:val="20"/>
          <w:color w:val="auto"/>
        </w:rPr>
      </w:pPr>
    </w:p>
    <w:p>
      <w:pPr>
        <w:ind w:left="1600"/>
        <w:spacing w:after="0"/>
        <w:rPr>
          <w:sz w:val="20"/>
          <w:szCs w:val="20"/>
          <w:color w:val="auto"/>
        </w:rPr>
      </w:pPr>
      <w:r>
        <w:rPr>
          <w:rFonts w:ascii="Arial" w:cs="Arial" w:eastAsia="Arial" w:hAnsi="Arial"/>
          <w:sz w:val="16"/>
          <w:szCs w:val="16"/>
          <w:color w:val="333D3F"/>
        </w:rPr>
        <w:t>Our 2023 Annual Meeting of Shareholders (“Annual Meeting”) will be held online on May 4, 2023, at 9:00 a.m. PT.</w:t>
      </w:r>
    </w:p>
    <w:p>
      <w:pPr>
        <w:spacing w:after="0" w:line="180"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71655E"/>
        </w:rPr>
        <w:t>PURPOSE OF THE MEETING</w:t>
      </w:r>
    </w:p>
    <w:p>
      <w:pPr>
        <w:spacing w:after="0" w:line="190"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71655E"/>
        </w:rPr>
        <w:t>THE ANNUAL MEETING WILL BE HELD FOR THE FOLLOWING PURPOSES:</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16"/>
          <w:szCs w:val="16"/>
          <w:color w:val="333D3F"/>
        </w:rPr>
        <w:t>1.    To elect three Class III directors to serve until the 2026 Annual Meeting of Shareholders;</w:t>
      </w:r>
    </w:p>
    <w:p>
      <w:pPr>
        <w:spacing w:after="0" w:line="193" w:lineRule="exact"/>
        <w:rPr>
          <w:sz w:val="20"/>
          <w:szCs w:val="20"/>
          <w:color w:val="auto"/>
        </w:rPr>
      </w:pPr>
    </w:p>
    <w:p>
      <w:pPr>
        <w:ind w:left="1820" w:right="519" w:hanging="233"/>
        <w:spacing w:after="0" w:line="241" w:lineRule="auto"/>
        <w:rPr>
          <w:sz w:val="20"/>
          <w:szCs w:val="20"/>
          <w:color w:val="auto"/>
        </w:rPr>
      </w:pPr>
      <w:r>
        <w:rPr>
          <w:rFonts w:ascii="Arial" w:cs="Arial" w:eastAsia="Arial" w:hAnsi="Arial"/>
          <w:sz w:val="16"/>
          <w:szCs w:val="16"/>
          <w:color w:val="333D3F"/>
        </w:rPr>
        <w:t>2.   To ratify the appointment of Ernst &amp; Young LLP as our independent registered public accounting firm for the fiscal year ending December 31, 2023;</w:t>
      </w:r>
    </w:p>
    <w:p>
      <w:pPr>
        <w:spacing w:after="0" w:line="190" w:lineRule="exact"/>
        <w:rPr>
          <w:sz w:val="20"/>
          <w:szCs w:val="20"/>
          <w:color w:val="auto"/>
        </w:rPr>
      </w:pPr>
    </w:p>
    <w:p>
      <w:pPr>
        <w:ind w:left="1820" w:right="399" w:hanging="233"/>
        <w:spacing w:after="0" w:line="241" w:lineRule="auto"/>
        <w:rPr>
          <w:sz w:val="20"/>
          <w:szCs w:val="20"/>
          <w:color w:val="auto"/>
        </w:rPr>
      </w:pPr>
      <w:r>
        <w:rPr>
          <w:rFonts w:ascii="Arial" w:cs="Arial" w:eastAsia="Arial" w:hAnsi="Arial"/>
          <w:sz w:val="16"/>
          <w:szCs w:val="16"/>
          <w:color w:val="333D3F"/>
        </w:rPr>
        <w:t>3.   To approve, on a non-binding advisory basis, the compensation of our named executive officers as described in the Proxy Statement;</w:t>
      </w:r>
    </w:p>
    <w:p>
      <w:pPr>
        <w:spacing w:after="0" w:line="190" w:lineRule="exact"/>
        <w:rPr>
          <w:sz w:val="20"/>
          <w:szCs w:val="20"/>
          <w:color w:val="auto"/>
        </w:rPr>
      </w:pPr>
    </w:p>
    <w:p>
      <w:pPr>
        <w:ind w:left="1820" w:right="359" w:hanging="233"/>
        <w:spacing w:after="0" w:line="241" w:lineRule="auto"/>
        <w:rPr>
          <w:sz w:val="20"/>
          <w:szCs w:val="20"/>
          <w:color w:val="auto"/>
        </w:rPr>
      </w:pPr>
      <w:r>
        <w:rPr>
          <w:rFonts w:ascii="Arial" w:cs="Arial" w:eastAsia="Arial" w:hAnsi="Arial"/>
          <w:sz w:val="16"/>
          <w:szCs w:val="16"/>
          <w:color w:val="333D3F"/>
        </w:rPr>
        <w:t>4.   To approve, on a non-binding advisory basis, the frequency of future advisory votes to approve the compensation of our named executive officers; and</w:t>
      </w:r>
    </w:p>
    <w:p>
      <w:pPr>
        <w:spacing w:after="0" w:line="190" w:lineRule="exact"/>
        <w:rPr>
          <w:sz w:val="20"/>
          <w:szCs w:val="20"/>
          <w:color w:val="auto"/>
        </w:rPr>
      </w:pPr>
    </w:p>
    <w:p>
      <w:pPr>
        <w:ind w:left="1820" w:right="1059" w:hanging="233"/>
        <w:spacing w:after="0" w:line="241" w:lineRule="auto"/>
        <w:rPr>
          <w:sz w:val="20"/>
          <w:szCs w:val="20"/>
          <w:color w:val="auto"/>
        </w:rPr>
      </w:pPr>
      <w:r>
        <w:rPr>
          <w:rFonts w:ascii="Arial" w:cs="Arial" w:eastAsia="Arial" w:hAnsi="Arial"/>
          <w:sz w:val="16"/>
          <w:szCs w:val="16"/>
          <w:color w:val="333D3F"/>
        </w:rPr>
        <w:t>5.   To consider and transact such other business as may properly come before the Annual Meeting, or at any adjournments or postponements thereof.</w:t>
      </w:r>
    </w:p>
    <w:p>
      <w:pPr>
        <w:spacing w:after="0" w:line="203" w:lineRule="exact"/>
        <w:rPr>
          <w:sz w:val="20"/>
          <w:szCs w:val="20"/>
          <w:color w:val="auto"/>
        </w:rPr>
      </w:pPr>
    </w:p>
    <w:p>
      <w:pPr>
        <w:ind w:left="1600" w:right="359"/>
        <w:spacing w:after="0" w:line="238" w:lineRule="auto"/>
        <w:rPr>
          <w:sz w:val="20"/>
          <w:szCs w:val="20"/>
          <w:color w:val="auto"/>
        </w:rPr>
      </w:pPr>
      <w:r>
        <w:rPr>
          <w:rFonts w:ascii="Arial" w:cs="Arial" w:eastAsia="Arial" w:hAnsi="Arial"/>
          <w:sz w:val="16"/>
          <w:szCs w:val="16"/>
          <w:color w:val="auto"/>
        </w:rPr>
        <w:t>These items of business are more fully described in the Proxy Statement accompanying this Notice of Annual Meeting. Only the Company’s shareholders of record at the close of business on March 10, 2023, the record date fixed by the Board of Directors, are entitled to notice of, and to vote at, the Annual Meeting, and at any adjournments or postponements thereof. Only such shareholders, their proxy holders, and our invited guests may attend the Annual Meeting.</w:t>
      </w:r>
    </w:p>
    <w:p>
      <w:pPr>
        <w:spacing w:after="0" w:line="180" w:lineRule="exact"/>
        <w:rPr>
          <w:sz w:val="20"/>
          <w:szCs w:val="20"/>
          <w:color w:val="auto"/>
        </w:rPr>
      </w:pPr>
    </w:p>
    <w:p>
      <w:pPr>
        <w:ind w:left="1600" w:right="659"/>
        <w:spacing w:after="0" w:line="242" w:lineRule="auto"/>
        <w:rPr>
          <w:sz w:val="20"/>
          <w:szCs w:val="20"/>
          <w:color w:val="auto"/>
        </w:rPr>
      </w:pPr>
      <w:r>
        <w:rPr>
          <w:rFonts w:ascii="Arial" w:cs="Arial" w:eastAsia="Arial" w:hAnsi="Arial"/>
          <w:sz w:val="14"/>
          <w:szCs w:val="14"/>
          <w:b w:val="1"/>
          <w:bCs w:val="1"/>
          <w:color w:val="71655E"/>
        </w:rPr>
        <w:t>IMPORTANT NOTICE REGARDING AVAILABILITY OF PROXY MATERIALS FOR THE ANNUAL MEETING TO BE HELD ON MAY 4, 2023</w:t>
      </w:r>
    </w:p>
    <w:p>
      <w:pPr>
        <w:spacing w:after="0" w:line="1" w:lineRule="exact"/>
        <w:rPr>
          <w:sz w:val="20"/>
          <w:szCs w:val="20"/>
          <w:color w:val="auto"/>
        </w:rPr>
      </w:pPr>
    </w:p>
    <w:p>
      <w:pPr>
        <w:ind w:left="1600" w:right="339"/>
        <w:spacing w:after="0" w:line="281" w:lineRule="auto"/>
        <w:rPr>
          <w:sz w:val="20"/>
          <w:szCs w:val="20"/>
          <w:color w:val="auto"/>
        </w:rPr>
      </w:pPr>
      <w:r>
        <w:rPr>
          <w:rFonts w:ascii="Arial" w:cs="Arial" w:eastAsia="Arial" w:hAnsi="Arial"/>
          <w:sz w:val="14"/>
          <w:szCs w:val="14"/>
          <w:color w:val="auto"/>
        </w:rPr>
        <w:t>This Proxy Statement and our Annual Report for the fiscal year ended December 31, 2022, are available at http://www.wynnresorts.com on the Company Information page under the “Annual Meeting” heading. Beginning on or about March 22, 2023, we sent to our shareholders either a printed copy of our Annual Meeting materials or a Notice of Internet Availability containing instructions on how to access our Annual Meeting materials electronically. The Annual Meeting materials include this Proxy Statement and our Annual Report for the fiscal year ended December 31, 2022.</w:t>
      </w:r>
    </w:p>
    <w:p>
      <w:pPr>
        <w:spacing w:after="0" w:line="150"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71655E"/>
        </w:rPr>
        <w:t>PARTICIPATING IN THE VIRTUAL ANNUAL MEETING</w:t>
      </w:r>
    </w:p>
    <w:p>
      <w:pPr>
        <w:spacing w:after="0" w:line="8" w:lineRule="exact"/>
        <w:rPr>
          <w:sz w:val="20"/>
          <w:szCs w:val="20"/>
          <w:color w:val="auto"/>
        </w:rPr>
      </w:pPr>
    </w:p>
    <w:p>
      <w:pPr>
        <w:ind w:left="1600" w:right="259"/>
        <w:spacing w:after="0" w:line="239" w:lineRule="auto"/>
        <w:rPr>
          <w:sz w:val="20"/>
          <w:szCs w:val="20"/>
          <w:color w:val="auto"/>
        </w:rPr>
      </w:pPr>
      <w:r>
        <w:rPr>
          <w:rFonts w:ascii="Arial" w:cs="Arial" w:eastAsia="Arial" w:hAnsi="Arial"/>
          <w:sz w:val="16"/>
          <w:szCs w:val="16"/>
          <w:color w:val="auto"/>
        </w:rPr>
        <w:t>To participate in the virtual Annual Meeting, visit http://www.virtualshareholdermeeting.com/WYNN2023, and log in using the 16-digit control number printed in the box marked by the arrow on your Notice of Internet Availability, proxy card or voter instruction form.</w:t>
      </w:r>
    </w:p>
    <w:p>
      <w:pPr>
        <w:spacing w:after="0" w:line="179"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71655E"/>
        </w:rPr>
        <w:t>YOUR VOTE IS IMPORTANT</w:t>
      </w:r>
    </w:p>
    <w:p>
      <w:pPr>
        <w:spacing w:after="0" w:line="8" w:lineRule="exact"/>
        <w:rPr>
          <w:sz w:val="20"/>
          <w:szCs w:val="20"/>
          <w:color w:val="auto"/>
        </w:rPr>
      </w:pPr>
    </w:p>
    <w:p>
      <w:pPr>
        <w:ind w:left="1600" w:right="259"/>
        <w:spacing w:after="0" w:line="275" w:lineRule="auto"/>
        <w:rPr>
          <w:sz w:val="20"/>
          <w:szCs w:val="20"/>
          <w:color w:val="auto"/>
        </w:rPr>
      </w:pPr>
      <w:r>
        <w:rPr>
          <w:rFonts w:ascii="Arial" w:cs="Arial" w:eastAsia="Arial" w:hAnsi="Arial"/>
          <w:sz w:val="14"/>
          <w:szCs w:val="14"/>
          <w:color w:val="auto"/>
        </w:rPr>
        <w:t>You are encouraged to read the attached Proxy Statement and then cast your vote as promptly as possible by following the instructions on the Notice of Internet Availability, your proxy card or the voter instruction form you received from your bank or broker. Even if you have given your proxy, you may still vote electronically during the virtual Annual Meeting by visiting http://www.virtualshareholdermeeting.com/WYNN2023, logging in using the 16-digit control number printed in the box marked by the arrow on your Notice of Internet Availability, proxy card or voter instruction form, clicking on the vote button on the screen and following the instructions provided. If your shares are held through an intermediary, such as a bank, broker or other nominee, your shares will not be voted on most matters being considered at the Annual Meeting unless you provide voting instructions to such person. If you hold your shares in your name, you can vote by proxy before the Annual Meeting by signing and returning the proxy card or voting via the internet or by telephone as further explained in the accompanying Proxy Statement. If you submit a proxy but do not provide any voting instructions, the persons named as proxies will vote your shares in accordance with the Board of Directors’ nominations.</w:t>
      </w:r>
    </w:p>
    <w:p>
      <w:pPr>
        <w:sectPr>
          <w:pgSz w:w="11900" w:h="16838" w:orient="portrait"/>
          <w:cols w:equalWidth="0" w:num="1">
            <w:col w:w="10139"/>
          </w:cols>
          <w:pgMar w:left="320" w:top="473" w:right="1440" w:bottom="1440" w:gutter="0" w:footer="0" w:header="0"/>
        </w:sectPr>
      </w:pPr>
    </w:p>
    <w:p>
      <w:pPr>
        <w:spacing w:after="0" w:line="169"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Ellen F. Whittemore</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Secretary</w:t>
      </w:r>
    </w:p>
    <w:p>
      <w:pPr>
        <w:ind w:left="1600"/>
        <w:spacing w:after="0" w:line="237" w:lineRule="auto"/>
        <w:rPr>
          <w:sz w:val="20"/>
          <w:szCs w:val="20"/>
          <w:color w:val="auto"/>
        </w:rPr>
      </w:pPr>
      <w:r>
        <w:rPr>
          <w:rFonts w:ascii="Arial" w:cs="Arial" w:eastAsia="Arial" w:hAnsi="Arial"/>
          <w:sz w:val="16"/>
          <w:szCs w:val="16"/>
          <w:color w:val="auto"/>
        </w:rPr>
        <w:t>Las Vegas, Nevada</w:t>
      </w:r>
    </w:p>
    <w:p>
      <w:pPr>
        <w:ind w:left="1600"/>
        <w:spacing w:after="0"/>
        <w:rPr>
          <w:sz w:val="20"/>
          <w:szCs w:val="20"/>
          <w:color w:val="auto"/>
        </w:rPr>
      </w:pPr>
      <w:r>
        <w:rPr>
          <w:rFonts w:ascii="Arial" w:cs="Arial" w:eastAsia="Arial" w:hAnsi="Arial"/>
          <w:sz w:val="16"/>
          <w:szCs w:val="16"/>
          <w:color w:val="auto"/>
        </w:rPr>
        <w:t>March 22, 2023</w:t>
      </w:r>
    </w:p>
    <w:p>
      <w:pPr>
        <w:spacing w:after="0" w:line="326" w:lineRule="exact"/>
        <w:rPr>
          <w:sz w:val="20"/>
          <w:szCs w:val="20"/>
          <w:color w:val="auto"/>
        </w:rPr>
      </w:pPr>
    </w:p>
    <w:p>
      <w:pPr>
        <w:ind w:left="1740"/>
        <w:spacing w:after="0"/>
        <w:rPr>
          <w:sz w:val="20"/>
          <w:szCs w:val="20"/>
          <w:color w:val="auto"/>
        </w:rPr>
      </w:pPr>
      <w:r>
        <w:rPr>
          <w:rFonts w:ascii="Arial" w:cs="Arial" w:eastAsia="Arial" w:hAnsi="Arial"/>
          <w:sz w:val="14"/>
          <w:szCs w:val="14"/>
          <w:color w:val="FFFFFF"/>
        </w:rPr>
        <w:t>DATE AND TIME</w:t>
      </w:r>
    </w:p>
    <w:p>
      <w:pPr>
        <w:spacing w:after="0" w:line="29" w:lineRule="exact"/>
        <w:rPr>
          <w:sz w:val="20"/>
          <w:szCs w:val="20"/>
          <w:color w:val="auto"/>
        </w:rPr>
      </w:pPr>
    </w:p>
    <w:p>
      <w:pPr>
        <w:ind w:left="1720"/>
        <w:spacing w:after="0"/>
        <w:rPr>
          <w:sz w:val="20"/>
          <w:szCs w:val="20"/>
          <w:color w:val="auto"/>
        </w:rPr>
      </w:pPr>
      <w:r>
        <w:rPr>
          <w:rFonts w:ascii="Arial" w:cs="Arial" w:eastAsia="Arial" w:hAnsi="Arial"/>
          <w:sz w:val="21"/>
          <w:szCs w:val="21"/>
          <w:color w:val="FFFFFF"/>
        </w:rPr>
        <w:t>May 4, 2023</w:t>
      </w:r>
    </w:p>
    <w:p>
      <w:pPr>
        <w:ind w:left="1720"/>
        <w:spacing w:after="0"/>
        <w:rPr>
          <w:sz w:val="20"/>
          <w:szCs w:val="20"/>
          <w:color w:val="auto"/>
        </w:rPr>
      </w:pPr>
      <w:r>
        <w:rPr>
          <w:rFonts w:ascii="Arial" w:cs="Arial" w:eastAsia="Arial" w:hAnsi="Arial"/>
          <w:sz w:val="21"/>
          <w:szCs w:val="21"/>
          <w:color w:val="FFFFFF"/>
        </w:rPr>
        <w:t>9:00 am PT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FFFFFF"/>
        </w:rPr>
        <w:t>PLACE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FFFFFF"/>
        </w:rPr>
        <w:t>Virtual meeting conducted via live webcast accessed at this website:</w:t>
      </w:r>
    </w:p>
    <w:p>
      <w:pPr>
        <w:spacing w:after="0"/>
        <w:rPr>
          <w:sz w:val="20"/>
          <w:szCs w:val="20"/>
          <w:color w:val="auto"/>
        </w:rPr>
      </w:pPr>
      <w:r>
        <w:rPr>
          <w:rFonts w:ascii="Arial" w:cs="Arial" w:eastAsia="Arial" w:hAnsi="Arial"/>
          <w:sz w:val="17"/>
          <w:szCs w:val="17"/>
          <w:color w:val="FFFFFF"/>
        </w:rPr>
        <w:t>http://www.virtualshareholdermeeting.com/WYNN2023</w:t>
      </w:r>
    </w:p>
    <w:p>
      <w:pPr>
        <w:sectPr>
          <w:pgSz w:w="11900" w:h="16838" w:orient="portrait"/>
          <w:cols w:equalWidth="0" w:num="2">
            <w:col w:w="4000" w:space="220"/>
            <w:col w:w="5919"/>
          </w:cols>
          <w:pgMar w:left="320" w:top="473"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215900</wp:posOffset>
            </wp:positionV>
            <wp:extent cx="6939280" cy="8921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39280" cy="8921750"/>
                    </a:xfrm>
                    <a:prstGeom prst="rect">
                      <a:avLst/>
                    </a:prstGeom>
                    <a:noFill/>
                  </pic:spPr>
                </pic:pic>
              </a:graphicData>
            </a:graphic>
          </wp:anchor>
        </w:drawing>
      </w:r>
    </w:p>
    <w:p>
      <w:pPr>
        <w:sectPr>
          <w:pgSz w:w="11900" w:h="16838" w:orient="portrait"/>
          <w:cols w:equalWidth="0" w:num="1">
            <w:col w:w="10139"/>
          </w:cols>
          <w:pgMar w:left="320" w:top="473" w:right="1440"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8921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39280" cy="892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80"/>
        <w:spacing w:after="0"/>
        <w:rPr>
          <w:sz w:val="20"/>
          <w:szCs w:val="20"/>
          <w:color w:val="auto"/>
        </w:rPr>
      </w:pPr>
      <w:r>
        <w:rPr>
          <w:rFonts w:ascii="Arial" w:cs="Arial" w:eastAsia="Arial" w:hAnsi="Arial"/>
          <w:sz w:val="69"/>
          <w:szCs w:val="69"/>
          <w:color w:val="71655E"/>
        </w:rPr>
        <w:t xml:space="preserve">Table </w:t>
      </w:r>
      <w:r>
        <w:rPr>
          <w:rFonts w:ascii="Arial" w:cs="Arial" w:eastAsia="Arial" w:hAnsi="Arial"/>
          <w:sz w:val="69"/>
          <w:szCs w:val="69"/>
          <w:i w:val="1"/>
          <w:iCs w:val="1"/>
          <w:color w:val="71655E"/>
        </w:rPr>
        <w:t>of</w:t>
      </w:r>
      <w:r>
        <w:rPr>
          <w:rFonts w:ascii="Arial" w:cs="Arial" w:eastAsia="Arial" w:hAnsi="Arial"/>
          <w:sz w:val="69"/>
          <w:szCs w:val="69"/>
          <w:color w:val="71655E"/>
        </w:rPr>
        <w:t xml:space="preserve"> Contents</w:t>
      </w:r>
    </w:p>
    <w:p>
      <w:pPr>
        <w:spacing w:after="0" w:line="269" w:lineRule="exact"/>
        <w:rPr>
          <w:sz w:val="20"/>
          <w:szCs w:val="20"/>
          <w:color w:val="auto"/>
        </w:rPr>
      </w:pPr>
    </w:p>
    <w:tbl>
      <w:tblPr>
        <w:tblLayout w:type="fixed"/>
        <w:tblInd w:w="3180" w:type="dxa"/>
        <w:tblCellMar>
          <w:top w:w="0" w:type="dxa"/>
          <w:left w:w="0" w:type="dxa"/>
          <w:bottom w:w="0" w:type="dxa"/>
          <w:right w:w="0" w:type="dxa"/>
        </w:tblCellMar>
      </w:tblPr>
      <w:tr>
        <w:trPr>
          <w:trHeight w:val="138"/>
        </w:trPr>
        <w:tc>
          <w:tcPr>
            <w:tcW w:w="2760" w:type="dxa"/>
            <w:vAlign w:val="bottom"/>
            <w:tcBorders>
              <w:bottom w:val="single" w:sz="8" w:color="0000EE"/>
            </w:tcBorders>
            <w:gridSpan w:val="12"/>
          </w:tcPr>
          <w:p>
            <w:pPr>
              <w:spacing w:after="0"/>
              <w:rPr>
                <w:sz w:val="20"/>
                <w:szCs w:val="20"/>
                <w:color w:val="auto"/>
              </w:rPr>
            </w:pPr>
            <w:r>
              <w:rPr>
                <w:rFonts w:ascii="Arial" w:cs="Arial" w:eastAsia="Arial" w:hAnsi="Arial"/>
                <w:sz w:val="12"/>
                <w:szCs w:val="12"/>
                <w:b w:val="1"/>
                <w:bCs w:val="1"/>
                <w:color w:val="0000EE"/>
              </w:rPr>
              <w:t>OUR BOARD AND CORPORATE GOVERNANCE</w:t>
            </w:r>
          </w:p>
        </w:tc>
        <w:tc>
          <w:tcPr>
            <w:tcW w:w="1920" w:type="dxa"/>
            <w:vAlign w:val="bottom"/>
            <w:gridSpan w:val="4"/>
          </w:tcPr>
          <w:p>
            <w:pPr>
              <w:spacing w:after="0"/>
              <w:rPr>
                <w:sz w:val="12"/>
                <w:szCs w:val="12"/>
                <w:color w:val="auto"/>
              </w:rPr>
            </w:pPr>
          </w:p>
        </w:tc>
        <w:tc>
          <w:tcPr>
            <w:tcW w:w="1160" w:type="dxa"/>
            <w:vAlign w:val="bottom"/>
          </w:tcPr>
          <w:p>
            <w:pPr>
              <w:spacing w:after="0"/>
              <w:rPr>
                <w:sz w:val="12"/>
                <w:szCs w:val="12"/>
                <w:color w:val="auto"/>
              </w:rPr>
            </w:pPr>
          </w:p>
        </w:tc>
      </w:tr>
      <w:tr>
        <w:trPr>
          <w:trHeight w:val="227"/>
        </w:trPr>
        <w:tc>
          <w:tcPr>
            <w:tcW w:w="10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6"/>
              </w:rPr>
              <w:t>2022 Highlights</w:t>
            </w:r>
          </w:p>
        </w:tc>
        <w:tc>
          <w:tcPr>
            <w:tcW w:w="3600" w:type="dxa"/>
            <w:vAlign w:val="bottom"/>
            <w:gridSpan w:val="13"/>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71655E"/>
              </w:rPr>
              <w:t>1</w:t>
            </w:r>
          </w:p>
        </w:tc>
      </w:tr>
      <w:tr>
        <w:trPr>
          <w:trHeight w:val="240"/>
        </w:trPr>
        <w:tc>
          <w:tcPr>
            <w:tcW w:w="8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6"/>
              </w:rPr>
              <w:t>Governance</w:t>
            </w:r>
          </w:p>
        </w:tc>
        <w:tc>
          <w:tcPr>
            <w:tcW w:w="3820" w:type="dxa"/>
            <w:vAlign w:val="bottom"/>
            <w:gridSpan w:val="15"/>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71655E"/>
              </w:rPr>
              <w:t>3</w:t>
            </w:r>
          </w:p>
        </w:tc>
      </w:tr>
      <w:tr>
        <w:trPr>
          <w:trHeight w:val="240"/>
        </w:trPr>
        <w:tc>
          <w:tcPr>
            <w:tcW w:w="4680" w:type="dxa"/>
            <w:vAlign w:val="bottom"/>
            <w:gridSpan w:val="16"/>
          </w:tcPr>
          <w:p>
            <w:pPr>
              <w:spacing w:after="0"/>
              <w:rPr>
                <w:sz w:val="20"/>
                <w:szCs w:val="20"/>
                <w:color w:val="auto"/>
              </w:rPr>
            </w:pPr>
            <w:r>
              <w:rPr>
                <w:rFonts w:ascii="Arial" w:cs="Arial" w:eastAsia="Arial" w:hAnsi="Arial"/>
                <w:sz w:val="16"/>
                <w:szCs w:val="16"/>
                <w:color w:val="0000EE"/>
              </w:rPr>
              <w:t>Board Composition</w:t>
            </w:r>
          </w:p>
        </w:tc>
        <w:tc>
          <w:tcPr>
            <w:tcW w:w="1160" w:type="dxa"/>
            <w:vAlign w:val="bottom"/>
          </w:tcPr>
          <w:p>
            <w:pPr>
              <w:jc w:val="right"/>
              <w:spacing w:after="0"/>
              <w:rPr>
                <w:sz w:val="20"/>
                <w:szCs w:val="20"/>
                <w:color w:val="auto"/>
              </w:rPr>
            </w:pPr>
            <w:r>
              <w:rPr>
                <w:rFonts w:ascii="Arial" w:cs="Arial" w:eastAsia="Arial" w:hAnsi="Arial"/>
                <w:sz w:val="16"/>
                <w:szCs w:val="16"/>
                <w:color w:val="71655E"/>
              </w:rPr>
              <w:t>3</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0"/>
        </w:trPr>
        <w:tc>
          <w:tcPr>
            <w:tcW w:w="142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w w:val="96"/>
              </w:rPr>
              <w:t>Director Biographies</w:t>
            </w:r>
          </w:p>
        </w:tc>
        <w:tc>
          <w:tcPr>
            <w:tcW w:w="3260" w:type="dxa"/>
            <w:vAlign w:val="bottom"/>
            <w:gridSpan w:val="9"/>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71655E"/>
              </w:rPr>
              <w:t>4</w:t>
            </w:r>
          </w:p>
        </w:tc>
      </w:tr>
      <w:tr>
        <w:trPr>
          <w:trHeight w:val="240"/>
        </w:trPr>
        <w:tc>
          <w:tcPr>
            <w:tcW w:w="146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w w:val="96"/>
              </w:rPr>
              <w:t>Board Independence</w:t>
            </w:r>
          </w:p>
        </w:tc>
        <w:tc>
          <w:tcPr>
            <w:tcW w:w="3220" w:type="dxa"/>
            <w:vAlign w:val="bottom"/>
            <w:gridSpan w:val="8"/>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71655E"/>
              </w:rPr>
              <w:t>13</w:t>
            </w:r>
          </w:p>
        </w:tc>
      </w:tr>
      <w:tr>
        <w:trPr>
          <w:trHeight w:val="240"/>
        </w:trPr>
        <w:tc>
          <w:tcPr>
            <w:tcW w:w="468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w w:val="97"/>
              </w:rPr>
              <w:t>Attendance at Board, Committee and Annual Shareholder Meetings</w:t>
            </w:r>
          </w:p>
        </w:tc>
        <w:tc>
          <w:tcPr>
            <w:tcW w:w="1160" w:type="dxa"/>
            <w:vAlign w:val="bottom"/>
          </w:tcPr>
          <w:p>
            <w:pPr>
              <w:jc w:val="right"/>
              <w:spacing w:after="0"/>
              <w:rPr>
                <w:sz w:val="20"/>
                <w:szCs w:val="20"/>
                <w:color w:val="auto"/>
              </w:rPr>
            </w:pPr>
            <w:r>
              <w:rPr>
                <w:rFonts w:ascii="Arial" w:cs="Arial" w:eastAsia="Arial" w:hAnsi="Arial"/>
                <w:sz w:val="16"/>
                <w:szCs w:val="16"/>
                <w:color w:val="71655E"/>
              </w:rPr>
              <w:t>13</w:t>
            </w:r>
          </w:p>
        </w:tc>
      </w:tr>
      <w:tr>
        <w:trPr>
          <w:trHeight w:val="240"/>
        </w:trPr>
        <w:tc>
          <w:tcPr>
            <w:tcW w:w="4680" w:type="dxa"/>
            <w:vAlign w:val="bottom"/>
            <w:gridSpan w:val="16"/>
          </w:tcPr>
          <w:p>
            <w:pPr>
              <w:spacing w:after="0"/>
              <w:rPr>
                <w:sz w:val="20"/>
                <w:szCs w:val="20"/>
                <w:color w:val="auto"/>
              </w:rPr>
            </w:pPr>
            <w:r>
              <w:rPr>
                <w:rFonts w:ascii="Arial" w:cs="Arial" w:eastAsia="Arial" w:hAnsi="Arial"/>
                <w:sz w:val="16"/>
                <w:szCs w:val="16"/>
                <w:color w:val="0000EE"/>
              </w:rPr>
              <w:t>Committees of the Board</w:t>
            </w:r>
          </w:p>
        </w:tc>
        <w:tc>
          <w:tcPr>
            <w:tcW w:w="1160" w:type="dxa"/>
            <w:vAlign w:val="bottom"/>
          </w:tcPr>
          <w:p>
            <w:pPr>
              <w:jc w:val="right"/>
              <w:spacing w:after="0"/>
              <w:rPr>
                <w:sz w:val="20"/>
                <w:szCs w:val="20"/>
                <w:color w:val="auto"/>
              </w:rPr>
            </w:pPr>
            <w:r>
              <w:rPr>
                <w:rFonts w:ascii="Arial" w:cs="Arial" w:eastAsia="Arial" w:hAnsi="Arial"/>
                <w:sz w:val="16"/>
                <w:szCs w:val="16"/>
                <w:color w:val="71655E"/>
              </w:rPr>
              <w:t>14</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0"/>
        </w:trPr>
        <w:tc>
          <w:tcPr>
            <w:tcW w:w="4680" w:type="dxa"/>
            <w:vAlign w:val="bottom"/>
            <w:gridSpan w:val="16"/>
          </w:tcPr>
          <w:p>
            <w:pPr>
              <w:spacing w:after="0"/>
              <w:rPr>
                <w:sz w:val="20"/>
                <w:szCs w:val="20"/>
                <w:color w:val="auto"/>
              </w:rPr>
            </w:pPr>
            <w:r>
              <w:rPr>
                <w:rFonts w:ascii="Arial" w:cs="Arial" w:eastAsia="Arial" w:hAnsi="Arial"/>
                <w:sz w:val="16"/>
                <w:szCs w:val="16"/>
                <w:color w:val="0000EE"/>
              </w:rPr>
              <w:t>Nominating and Corporate Governance Committee</w:t>
            </w:r>
          </w:p>
        </w:tc>
        <w:tc>
          <w:tcPr>
            <w:tcW w:w="1160" w:type="dxa"/>
            <w:vAlign w:val="bottom"/>
          </w:tcPr>
          <w:p>
            <w:pPr>
              <w:jc w:val="right"/>
              <w:spacing w:after="0"/>
              <w:rPr>
                <w:sz w:val="20"/>
                <w:szCs w:val="20"/>
                <w:color w:val="auto"/>
              </w:rPr>
            </w:pPr>
            <w:r>
              <w:rPr>
                <w:rFonts w:ascii="Arial" w:cs="Arial" w:eastAsia="Arial" w:hAnsi="Arial"/>
                <w:sz w:val="16"/>
                <w:szCs w:val="16"/>
                <w:color w:val="71655E"/>
              </w:rPr>
              <w:t>16</w:t>
            </w:r>
          </w:p>
        </w:tc>
      </w:tr>
      <w:tr>
        <w:trPr>
          <w:trHeight w:val="240"/>
        </w:trPr>
        <w:tc>
          <w:tcPr>
            <w:tcW w:w="12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6"/>
                <w:szCs w:val="16"/>
                <w:color w:val="0000EE"/>
                <w:w w:val="96"/>
              </w:rPr>
              <w:t>Board Leadership</w:t>
            </w:r>
          </w:p>
        </w:tc>
        <w:tc>
          <w:tcPr>
            <w:tcW w:w="2280" w:type="dxa"/>
            <w:vAlign w:val="bottom"/>
            <w:tcBorders>
              <w:top w:val="single" w:sz="8" w:color="0000EE"/>
            </w:tcBorders>
            <w:gridSpan w:val="11"/>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71655E"/>
              </w:rPr>
              <w:t>17</w:t>
            </w:r>
          </w:p>
        </w:tc>
      </w:tr>
      <w:tr>
        <w:trPr>
          <w:trHeight w:val="240"/>
        </w:trPr>
        <w:tc>
          <w:tcPr>
            <w:tcW w:w="4680" w:type="dxa"/>
            <w:vAlign w:val="bottom"/>
            <w:gridSpan w:val="16"/>
          </w:tcPr>
          <w:p>
            <w:pPr>
              <w:spacing w:after="0"/>
              <w:rPr>
                <w:sz w:val="20"/>
                <w:szCs w:val="20"/>
                <w:color w:val="auto"/>
              </w:rPr>
            </w:pPr>
            <w:r>
              <w:rPr>
                <w:rFonts w:ascii="Arial" w:cs="Arial" w:eastAsia="Arial" w:hAnsi="Arial"/>
                <w:sz w:val="16"/>
                <w:szCs w:val="16"/>
                <w:color w:val="0000EE"/>
              </w:rPr>
              <w:t>Board Role in Risk Oversight</w:t>
            </w:r>
          </w:p>
        </w:tc>
        <w:tc>
          <w:tcPr>
            <w:tcW w:w="1160" w:type="dxa"/>
            <w:vAlign w:val="bottom"/>
          </w:tcPr>
          <w:p>
            <w:pPr>
              <w:jc w:val="right"/>
              <w:spacing w:after="0"/>
              <w:rPr>
                <w:sz w:val="20"/>
                <w:szCs w:val="20"/>
                <w:color w:val="auto"/>
              </w:rPr>
            </w:pPr>
            <w:r>
              <w:rPr>
                <w:rFonts w:ascii="Arial" w:cs="Arial" w:eastAsia="Arial" w:hAnsi="Arial"/>
                <w:sz w:val="16"/>
                <w:szCs w:val="16"/>
                <w:color w:val="71655E"/>
              </w:rPr>
              <w:t>17</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0"/>
        </w:trPr>
        <w:tc>
          <w:tcPr>
            <w:tcW w:w="4680" w:type="dxa"/>
            <w:vAlign w:val="bottom"/>
            <w:gridSpan w:val="16"/>
          </w:tcPr>
          <w:p>
            <w:pPr>
              <w:spacing w:after="0"/>
              <w:rPr>
                <w:sz w:val="20"/>
                <w:szCs w:val="20"/>
                <w:color w:val="auto"/>
              </w:rPr>
            </w:pPr>
            <w:r>
              <w:rPr>
                <w:rFonts w:ascii="Arial" w:cs="Arial" w:eastAsia="Arial" w:hAnsi="Arial"/>
                <w:sz w:val="16"/>
                <w:szCs w:val="16"/>
                <w:color w:val="0000EE"/>
              </w:rPr>
              <w:t>Prohibition on Hedging and Pledging Transactions</w:t>
            </w:r>
          </w:p>
        </w:tc>
        <w:tc>
          <w:tcPr>
            <w:tcW w:w="1160" w:type="dxa"/>
            <w:vAlign w:val="bottom"/>
          </w:tcPr>
          <w:p>
            <w:pPr>
              <w:jc w:val="right"/>
              <w:spacing w:after="0"/>
              <w:rPr>
                <w:sz w:val="20"/>
                <w:szCs w:val="20"/>
                <w:color w:val="auto"/>
              </w:rPr>
            </w:pPr>
            <w:r>
              <w:rPr>
                <w:rFonts w:ascii="Arial" w:cs="Arial" w:eastAsia="Arial" w:hAnsi="Arial"/>
                <w:sz w:val="16"/>
                <w:szCs w:val="16"/>
                <w:color w:val="71655E"/>
              </w:rPr>
              <w:t>18</w:t>
            </w:r>
          </w:p>
        </w:tc>
      </w:tr>
      <w:tr>
        <w:trPr>
          <w:trHeight w:val="240"/>
        </w:trPr>
        <w:tc>
          <w:tcPr>
            <w:tcW w:w="310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6"/>
                <w:szCs w:val="16"/>
                <w:color w:val="0000EE"/>
                <w:w w:val="96"/>
              </w:rPr>
              <w:t>Non-Employee Director Compensation Table</w:t>
            </w:r>
          </w:p>
        </w:tc>
        <w:tc>
          <w:tcPr>
            <w:tcW w:w="360" w:type="dxa"/>
            <w:vAlign w:val="bottom"/>
            <w:tcBorders>
              <w:top w:val="single" w:sz="8" w:color="0000EE"/>
            </w:tcBorders>
          </w:tcPr>
          <w:p>
            <w:pPr>
              <w:spacing w:after="0"/>
              <w:rPr>
                <w:sz w:val="20"/>
                <w:szCs w:val="20"/>
                <w:color w:val="auto"/>
              </w:rPr>
            </w:pPr>
          </w:p>
        </w:tc>
        <w:tc>
          <w:tcPr>
            <w:tcW w:w="1220" w:type="dxa"/>
            <w:vAlign w:val="bottom"/>
            <w:gridSpan w:val="2"/>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71655E"/>
              </w:rPr>
              <w:t>20</w:t>
            </w:r>
          </w:p>
        </w:tc>
      </w:tr>
      <w:tr>
        <w:trPr>
          <w:trHeight w:val="305"/>
        </w:trPr>
        <w:tc>
          <w:tcPr>
            <w:tcW w:w="4680" w:type="dxa"/>
            <w:vAlign w:val="bottom"/>
            <w:gridSpan w:val="16"/>
          </w:tcPr>
          <w:p>
            <w:pPr>
              <w:spacing w:after="0"/>
              <w:rPr>
                <w:sz w:val="20"/>
                <w:szCs w:val="20"/>
                <w:color w:val="auto"/>
              </w:rPr>
            </w:pPr>
            <w:r>
              <w:rPr>
                <w:rFonts w:ascii="Arial" w:cs="Arial" w:eastAsia="Arial" w:hAnsi="Arial"/>
                <w:sz w:val="12"/>
                <w:szCs w:val="12"/>
                <w:b w:val="1"/>
                <w:bCs w:val="1"/>
                <w:color w:val="0000EE"/>
              </w:rPr>
              <w:t>OUR PEOPLE AND OUR STEWARDSHIP</w:t>
            </w:r>
          </w:p>
        </w:tc>
        <w:tc>
          <w:tcPr>
            <w:tcW w:w="1160" w:type="dxa"/>
            <w:vAlign w:val="bottom"/>
          </w:tcPr>
          <w:p>
            <w:pPr>
              <w:spacing w:after="0"/>
              <w:rPr>
                <w:sz w:val="24"/>
                <w:szCs w:val="24"/>
                <w:color w:val="auto"/>
              </w:rPr>
            </w:pPr>
          </w:p>
        </w:tc>
      </w:tr>
      <w:tr>
        <w:trPr>
          <w:trHeight w:val="227"/>
        </w:trPr>
        <w:tc>
          <w:tcPr>
            <w:tcW w:w="9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6"/>
                <w:szCs w:val="16"/>
                <w:color w:val="0000EE"/>
                <w:w w:val="96"/>
              </w:rPr>
              <w:t>Our Company</w:t>
            </w:r>
          </w:p>
        </w:tc>
        <w:tc>
          <w:tcPr>
            <w:tcW w:w="1340" w:type="dxa"/>
            <w:vAlign w:val="bottom"/>
            <w:tcBorders>
              <w:top w:val="single" w:sz="8" w:color="0000EE"/>
            </w:tcBorders>
            <w:gridSpan w:val="9"/>
          </w:tcPr>
          <w:p>
            <w:pPr>
              <w:spacing w:after="0"/>
              <w:rPr>
                <w:sz w:val="19"/>
                <w:szCs w:val="19"/>
                <w:color w:val="auto"/>
              </w:rPr>
            </w:pPr>
          </w:p>
        </w:tc>
        <w:tc>
          <w:tcPr>
            <w:tcW w:w="2360" w:type="dxa"/>
            <w:vAlign w:val="bottom"/>
            <w:gridSpan w:val="5"/>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71655E"/>
              </w:rPr>
              <w:t>22</w:t>
            </w:r>
          </w:p>
        </w:tc>
      </w:tr>
      <w:tr>
        <w:trPr>
          <w:trHeight w:val="357"/>
        </w:trPr>
        <w:tc>
          <w:tcPr>
            <w:tcW w:w="1340" w:type="dxa"/>
            <w:vAlign w:val="bottom"/>
            <w:tcBorders>
              <w:bottom w:val="single" w:sz="8" w:color="0000EE"/>
            </w:tcBorders>
            <w:gridSpan w:val="6"/>
          </w:tcPr>
          <w:p>
            <w:pPr>
              <w:spacing w:after="0"/>
              <w:rPr>
                <w:sz w:val="20"/>
                <w:szCs w:val="20"/>
                <w:color w:val="auto"/>
              </w:rPr>
            </w:pPr>
            <w:r>
              <w:rPr>
                <w:rFonts w:ascii="Arial" w:cs="Arial" w:eastAsia="Arial" w:hAnsi="Arial"/>
                <w:sz w:val="12"/>
                <w:szCs w:val="12"/>
                <w:b w:val="1"/>
                <w:bCs w:val="1"/>
                <w:color w:val="0000EE"/>
                <w:w w:val="99"/>
              </w:rPr>
              <w:t>EXECUTIVE OFFICERS</w:t>
            </w:r>
          </w:p>
        </w:tc>
        <w:tc>
          <w:tcPr>
            <w:tcW w:w="3340" w:type="dxa"/>
            <w:vAlign w:val="bottom"/>
            <w:gridSpan w:val="10"/>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71655E"/>
              </w:rPr>
              <w:t>23</w:t>
            </w:r>
          </w:p>
        </w:tc>
      </w:tr>
    </w:tbl>
    <w:p>
      <w:pPr>
        <w:sectPr>
          <w:pgSz w:w="11900" w:h="16838" w:orient="portrait"/>
          <w:cols w:equalWidth="0" w:num="1">
            <w:col w:w="10139"/>
          </w:cols>
          <w:pgMar w:left="320" w:top="473" w:right="1440" w:bottom="679"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349885</wp:posOffset>
            </wp:positionV>
            <wp:extent cx="6939280" cy="892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9280" cy="892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3180" w:type="dxa"/>
        <w:tblCellMar>
          <w:top w:w="0" w:type="dxa"/>
          <w:left w:w="0" w:type="dxa"/>
          <w:bottom w:w="0" w:type="dxa"/>
          <w:right w:w="0" w:type="dxa"/>
        </w:tblCellMar>
      </w:tblPr>
      <w:tr>
        <w:trPr>
          <w:trHeight w:val="138"/>
        </w:trPr>
        <w:tc>
          <w:tcPr>
            <w:tcW w:w="5340" w:type="dxa"/>
            <w:vAlign w:val="bottom"/>
            <w:gridSpan w:val="35"/>
          </w:tcPr>
          <w:p>
            <w:pPr>
              <w:spacing w:after="0"/>
              <w:rPr>
                <w:sz w:val="20"/>
                <w:szCs w:val="20"/>
                <w:color w:val="auto"/>
              </w:rPr>
            </w:pPr>
            <w:r>
              <w:rPr>
                <w:rFonts w:ascii="Arial" w:cs="Arial" w:eastAsia="Arial" w:hAnsi="Arial"/>
                <w:sz w:val="12"/>
                <w:szCs w:val="12"/>
                <w:b w:val="1"/>
                <w:bCs w:val="1"/>
                <w:color w:val="0000EE"/>
              </w:rPr>
              <w:t>COMPENSATION DISCUSSION AND ANALYSIS</w:t>
            </w:r>
          </w:p>
        </w:tc>
        <w:tc>
          <w:tcPr>
            <w:tcW w:w="500" w:type="dxa"/>
            <w:vAlign w:val="bottom"/>
          </w:tcPr>
          <w:p>
            <w:pPr>
              <w:spacing w:after="0"/>
              <w:rPr>
                <w:sz w:val="12"/>
                <w:szCs w:val="12"/>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7"/>
        </w:trPr>
        <w:tc>
          <w:tcPr>
            <w:tcW w:w="5340" w:type="dxa"/>
            <w:vAlign w:val="bottom"/>
            <w:gridSpan w:val="35"/>
          </w:tcPr>
          <w:p>
            <w:pPr>
              <w:spacing w:after="0"/>
              <w:rPr>
                <w:sz w:val="20"/>
                <w:szCs w:val="20"/>
                <w:color w:val="auto"/>
              </w:rPr>
            </w:pPr>
            <w:r>
              <w:rPr>
                <w:rFonts w:ascii="Arial" w:cs="Arial" w:eastAsia="Arial" w:hAnsi="Arial"/>
                <w:sz w:val="16"/>
                <w:szCs w:val="16"/>
                <w:color w:val="0000EE"/>
              </w:rPr>
              <w:t>Overview of Our Executive Compensation Program</w:t>
            </w:r>
          </w:p>
        </w:tc>
        <w:tc>
          <w:tcPr>
            <w:tcW w:w="500" w:type="dxa"/>
            <w:vAlign w:val="bottom"/>
          </w:tcPr>
          <w:p>
            <w:pPr>
              <w:jc w:val="right"/>
              <w:spacing w:after="0"/>
              <w:rPr>
                <w:sz w:val="20"/>
                <w:szCs w:val="20"/>
                <w:color w:val="auto"/>
              </w:rPr>
            </w:pPr>
            <w:r>
              <w:rPr>
                <w:rFonts w:ascii="Arial" w:cs="Arial" w:eastAsia="Arial" w:hAnsi="Arial"/>
                <w:sz w:val="16"/>
                <w:szCs w:val="16"/>
                <w:color w:val="71655E"/>
              </w:rPr>
              <w:t>28</w:t>
            </w:r>
          </w:p>
        </w:tc>
      </w:tr>
      <w:tr>
        <w:trPr>
          <w:trHeight w:val="240"/>
        </w:trPr>
        <w:tc>
          <w:tcPr>
            <w:tcW w:w="3080" w:type="dxa"/>
            <w:vAlign w:val="bottom"/>
            <w:tcBorders>
              <w:top w:val="single" w:sz="8" w:color="0000EE"/>
              <w:bottom w:val="single" w:sz="8" w:color="0000EE"/>
            </w:tcBorders>
            <w:gridSpan w:val="24"/>
          </w:tcPr>
          <w:p>
            <w:pPr>
              <w:spacing w:after="0"/>
              <w:rPr>
                <w:sz w:val="20"/>
                <w:szCs w:val="20"/>
                <w:color w:val="auto"/>
              </w:rPr>
            </w:pPr>
            <w:r>
              <w:rPr>
                <w:rFonts w:ascii="Arial" w:cs="Arial" w:eastAsia="Arial" w:hAnsi="Arial"/>
                <w:sz w:val="16"/>
                <w:szCs w:val="16"/>
                <w:color w:val="0000EE"/>
                <w:w w:val="97"/>
              </w:rPr>
              <w:t>How We Approach Executive Compensation</w:t>
            </w:r>
          </w:p>
        </w:tc>
        <w:tc>
          <w:tcPr>
            <w:tcW w:w="460" w:type="dxa"/>
            <w:vAlign w:val="bottom"/>
            <w:tcBorders>
              <w:top w:val="single" w:sz="8" w:color="0000EE"/>
            </w:tcBorders>
            <w:gridSpan w:val="7"/>
          </w:tcPr>
          <w:p>
            <w:pPr>
              <w:spacing w:after="0"/>
              <w:rPr>
                <w:sz w:val="20"/>
                <w:szCs w:val="20"/>
                <w:color w:val="auto"/>
              </w:rPr>
            </w:pPr>
          </w:p>
        </w:tc>
        <w:tc>
          <w:tcPr>
            <w:tcW w:w="1800" w:type="dxa"/>
            <w:vAlign w:val="bottom"/>
            <w:gridSpan w:val="4"/>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71655E"/>
              </w:rPr>
              <w:t>29</w:t>
            </w:r>
          </w:p>
        </w:tc>
      </w:tr>
      <w:tr>
        <w:trPr>
          <w:trHeight w:val="240"/>
        </w:trPr>
        <w:tc>
          <w:tcPr>
            <w:tcW w:w="260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w w:val="97"/>
              </w:rPr>
              <w:t>How We Designed Incentives in 2022</w:t>
            </w:r>
          </w:p>
        </w:tc>
        <w:tc>
          <w:tcPr>
            <w:tcW w:w="2740" w:type="dxa"/>
            <w:vAlign w:val="bottom"/>
            <w:gridSpan w:val="17"/>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71655E"/>
              </w:rPr>
              <w:t>32</w:t>
            </w:r>
          </w:p>
        </w:tc>
      </w:tr>
      <w:tr>
        <w:trPr>
          <w:trHeight w:val="240"/>
        </w:trPr>
        <w:tc>
          <w:tcPr>
            <w:tcW w:w="280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w w:val="97"/>
              </w:rPr>
              <w:t>2022 Compensation Design &amp; Decisions</w:t>
            </w:r>
          </w:p>
        </w:tc>
        <w:tc>
          <w:tcPr>
            <w:tcW w:w="2540" w:type="dxa"/>
            <w:vAlign w:val="bottom"/>
            <w:gridSpan w:val="15"/>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71655E"/>
              </w:rPr>
              <w:t>33</w:t>
            </w:r>
          </w:p>
        </w:tc>
      </w:tr>
      <w:tr>
        <w:trPr>
          <w:trHeight w:val="240"/>
        </w:trPr>
        <w:tc>
          <w:tcPr>
            <w:tcW w:w="3200" w:type="dxa"/>
            <w:vAlign w:val="bottom"/>
            <w:tcBorders>
              <w:bottom w:val="single" w:sz="8" w:color="0000EE"/>
            </w:tcBorders>
            <w:gridSpan w:val="28"/>
          </w:tcPr>
          <w:p>
            <w:pPr>
              <w:spacing w:after="0"/>
              <w:rPr>
                <w:sz w:val="20"/>
                <w:szCs w:val="20"/>
                <w:color w:val="auto"/>
              </w:rPr>
            </w:pPr>
            <w:r>
              <w:rPr>
                <w:rFonts w:ascii="Arial" w:cs="Arial" w:eastAsia="Arial" w:hAnsi="Arial"/>
                <w:sz w:val="16"/>
                <w:szCs w:val="16"/>
                <w:color w:val="0000EE"/>
                <w:w w:val="96"/>
              </w:rPr>
              <w:t>Non-Disclosure of Certain Metrics and Targets</w:t>
            </w:r>
          </w:p>
        </w:tc>
        <w:tc>
          <w:tcPr>
            <w:tcW w:w="2140" w:type="dxa"/>
            <w:vAlign w:val="bottom"/>
            <w:gridSpan w:val="7"/>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71655E"/>
              </w:rPr>
              <w:t>40</w:t>
            </w:r>
          </w:p>
        </w:tc>
      </w:tr>
      <w:tr>
        <w:trPr>
          <w:trHeight w:val="240"/>
        </w:trPr>
        <w:tc>
          <w:tcPr>
            <w:tcW w:w="3240" w:type="dxa"/>
            <w:vAlign w:val="bottom"/>
            <w:tcBorders>
              <w:bottom w:val="single" w:sz="8" w:color="0000EE"/>
            </w:tcBorders>
            <w:gridSpan w:val="29"/>
          </w:tcPr>
          <w:p>
            <w:pPr>
              <w:spacing w:after="0"/>
              <w:rPr>
                <w:sz w:val="20"/>
                <w:szCs w:val="20"/>
                <w:color w:val="auto"/>
              </w:rPr>
            </w:pPr>
            <w:r>
              <w:rPr>
                <w:rFonts w:ascii="Arial" w:cs="Arial" w:eastAsia="Arial" w:hAnsi="Arial"/>
                <w:sz w:val="16"/>
                <w:szCs w:val="16"/>
                <w:color w:val="0000EE"/>
                <w:w w:val="97"/>
              </w:rPr>
              <w:t>Other Aspects of Our Executive Compensation</w:t>
            </w:r>
          </w:p>
        </w:tc>
        <w:tc>
          <w:tcPr>
            <w:tcW w:w="2100" w:type="dxa"/>
            <w:vAlign w:val="bottom"/>
            <w:gridSpan w:val="6"/>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71655E"/>
              </w:rPr>
              <w:t>40</w:t>
            </w:r>
          </w:p>
        </w:tc>
      </w:tr>
      <w:tr>
        <w:trPr>
          <w:trHeight w:val="240"/>
        </w:trPr>
        <w:tc>
          <w:tcPr>
            <w:tcW w:w="232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w w:val="96"/>
              </w:rPr>
              <w:t>Compensation Committee Report</w:t>
            </w:r>
          </w:p>
        </w:tc>
        <w:tc>
          <w:tcPr>
            <w:tcW w:w="3020" w:type="dxa"/>
            <w:vAlign w:val="bottom"/>
            <w:gridSpan w:val="19"/>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71655E"/>
              </w:rPr>
              <w:t>41</w:t>
            </w:r>
          </w:p>
        </w:tc>
      </w:tr>
      <w:tr>
        <w:trPr>
          <w:trHeight w:val="305"/>
        </w:trPr>
        <w:tc>
          <w:tcPr>
            <w:tcW w:w="2160" w:type="dxa"/>
            <w:vAlign w:val="bottom"/>
            <w:tcBorders>
              <w:bottom w:val="single" w:sz="8" w:color="0000EE"/>
            </w:tcBorders>
            <w:gridSpan w:val="13"/>
          </w:tcPr>
          <w:p>
            <w:pPr>
              <w:spacing w:after="0"/>
              <w:rPr>
                <w:sz w:val="20"/>
                <w:szCs w:val="20"/>
                <w:color w:val="auto"/>
              </w:rPr>
            </w:pPr>
            <w:r>
              <w:rPr>
                <w:rFonts w:ascii="Arial" w:cs="Arial" w:eastAsia="Arial" w:hAnsi="Arial"/>
                <w:sz w:val="12"/>
                <w:szCs w:val="12"/>
                <w:b w:val="1"/>
                <w:bCs w:val="1"/>
                <w:color w:val="0000EE"/>
                <w:w w:val="99"/>
              </w:rPr>
              <w:t>SUMMARY COMPENSATION TABLES</w:t>
            </w:r>
          </w:p>
        </w:tc>
        <w:tc>
          <w:tcPr>
            <w:tcW w:w="3180" w:type="dxa"/>
            <w:vAlign w:val="bottom"/>
            <w:gridSpan w:val="22"/>
          </w:tcPr>
          <w:p>
            <w:pPr>
              <w:spacing w:after="0"/>
              <w:rPr>
                <w:sz w:val="24"/>
                <w:szCs w:val="24"/>
                <w:color w:val="auto"/>
              </w:rPr>
            </w:pPr>
          </w:p>
        </w:tc>
        <w:tc>
          <w:tcPr>
            <w:tcW w:w="500" w:type="dxa"/>
            <w:vAlign w:val="bottom"/>
          </w:tcPr>
          <w:p>
            <w:pPr>
              <w:spacing w:after="0"/>
              <w:rPr>
                <w:sz w:val="24"/>
                <w:szCs w:val="24"/>
                <w:color w:val="auto"/>
              </w:rPr>
            </w:pPr>
          </w:p>
        </w:tc>
      </w:tr>
      <w:tr>
        <w:trPr>
          <w:trHeight w:val="227"/>
        </w:trPr>
        <w:tc>
          <w:tcPr>
            <w:tcW w:w="214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w w:val="96"/>
              </w:rPr>
              <w:t>Summary Compensation Table</w:t>
            </w:r>
          </w:p>
        </w:tc>
        <w:tc>
          <w:tcPr>
            <w:tcW w:w="3200" w:type="dxa"/>
            <w:vAlign w:val="bottom"/>
            <w:gridSpan w:val="23"/>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71655E"/>
              </w:rPr>
              <w:t>43</w:t>
            </w:r>
          </w:p>
        </w:tc>
      </w:tr>
      <w:tr>
        <w:trPr>
          <w:trHeight w:val="240"/>
        </w:trPr>
        <w:tc>
          <w:tcPr>
            <w:tcW w:w="5340" w:type="dxa"/>
            <w:vAlign w:val="bottom"/>
            <w:gridSpan w:val="35"/>
          </w:tcPr>
          <w:p>
            <w:pPr>
              <w:spacing w:after="0"/>
              <w:rPr>
                <w:sz w:val="20"/>
                <w:szCs w:val="20"/>
                <w:color w:val="auto"/>
              </w:rPr>
            </w:pPr>
            <w:r>
              <w:rPr>
                <w:rFonts w:ascii="Arial" w:cs="Arial" w:eastAsia="Arial" w:hAnsi="Arial"/>
                <w:sz w:val="16"/>
                <w:szCs w:val="16"/>
                <w:color w:val="0000EE"/>
              </w:rPr>
              <w:t>Discussion of Summary Compensation Table</w:t>
            </w:r>
          </w:p>
        </w:tc>
        <w:tc>
          <w:tcPr>
            <w:tcW w:w="500" w:type="dxa"/>
            <w:vAlign w:val="bottom"/>
          </w:tcPr>
          <w:p>
            <w:pPr>
              <w:jc w:val="right"/>
              <w:spacing w:after="0"/>
              <w:rPr>
                <w:sz w:val="20"/>
                <w:szCs w:val="20"/>
                <w:color w:val="auto"/>
              </w:rPr>
            </w:pPr>
            <w:r>
              <w:rPr>
                <w:rFonts w:ascii="Arial" w:cs="Arial" w:eastAsia="Arial" w:hAnsi="Arial"/>
                <w:sz w:val="16"/>
                <w:szCs w:val="16"/>
                <w:color w:val="71655E"/>
              </w:rPr>
              <w:t>44</w:t>
            </w:r>
          </w:p>
        </w:tc>
      </w:tr>
      <w:tr>
        <w:trPr>
          <w:trHeight w:val="240"/>
        </w:trPr>
        <w:tc>
          <w:tcPr>
            <w:tcW w:w="146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6"/>
                <w:szCs w:val="16"/>
                <w:color w:val="0000EE"/>
                <w:w w:val="96"/>
              </w:rPr>
              <w:t>Pay vs. Performance</w:t>
            </w:r>
          </w:p>
        </w:tc>
        <w:tc>
          <w:tcPr>
            <w:tcW w:w="1640" w:type="dxa"/>
            <w:vAlign w:val="bottom"/>
            <w:tcBorders>
              <w:top w:val="single" w:sz="8" w:color="0000EE"/>
            </w:tcBorders>
            <w:gridSpan w:val="17"/>
          </w:tcPr>
          <w:p>
            <w:pPr>
              <w:spacing w:after="0"/>
              <w:rPr>
                <w:sz w:val="20"/>
                <w:szCs w:val="20"/>
                <w:color w:val="auto"/>
              </w:rPr>
            </w:pPr>
          </w:p>
        </w:tc>
        <w:tc>
          <w:tcPr>
            <w:tcW w:w="2240" w:type="dxa"/>
            <w:vAlign w:val="bottom"/>
            <w:gridSpan w:val="10"/>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71655E"/>
              </w:rPr>
              <w:t>44</w:t>
            </w:r>
          </w:p>
        </w:tc>
      </w:tr>
      <w:tr>
        <w:trPr>
          <w:trHeight w:val="240"/>
        </w:trPr>
        <w:tc>
          <w:tcPr>
            <w:tcW w:w="5340" w:type="dxa"/>
            <w:vAlign w:val="bottom"/>
            <w:gridSpan w:val="35"/>
          </w:tcPr>
          <w:p>
            <w:pPr>
              <w:spacing w:after="0"/>
              <w:rPr>
                <w:sz w:val="20"/>
                <w:szCs w:val="20"/>
                <w:color w:val="auto"/>
              </w:rPr>
            </w:pPr>
            <w:r>
              <w:rPr>
                <w:rFonts w:ascii="Arial" w:cs="Arial" w:eastAsia="Arial" w:hAnsi="Arial"/>
                <w:sz w:val="16"/>
                <w:szCs w:val="16"/>
                <w:color w:val="0000EE"/>
              </w:rPr>
              <w:t>2022 Grants of Plan-Based Awards Table</w:t>
            </w:r>
          </w:p>
        </w:tc>
        <w:tc>
          <w:tcPr>
            <w:tcW w:w="500" w:type="dxa"/>
            <w:vAlign w:val="bottom"/>
          </w:tcPr>
          <w:p>
            <w:pPr>
              <w:jc w:val="right"/>
              <w:spacing w:after="0"/>
              <w:rPr>
                <w:sz w:val="20"/>
                <w:szCs w:val="20"/>
                <w:color w:val="auto"/>
              </w:rPr>
            </w:pPr>
            <w:r>
              <w:rPr>
                <w:rFonts w:ascii="Arial" w:cs="Arial" w:eastAsia="Arial" w:hAnsi="Arial"/>
                <w:sz w:val="16"/>
                <w:szCs w:val="16"/>
                <w:color w:val="71655E"/>
              </w:rPr>
              <w:t>47</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40"/>
        </w:trPr>
        <w:tc>
          <w:tcPr>
            <w:tcW w:w="3180" w:type="dxa"/>
            <w:vAlign w:val="bottom"/>
            <w:tcBorders>
              <w:bottom w:val="single" w:sz="8" w:color="0000EE"/>
            </w:tcBorders>
            <w:gridSpan w:val="27"/>
          </w:tcPr>
          <w:p>
            <w:pPr>
              <w:spacing w:after="0"/>
              <w:rPr>
                <w:sz w:val="20"/>
                <w:szCs w:val="20"/>
                <w:color w:val="auto"/>
              </w:rPr>
            </w:pPr>
            <w:r>
              <w:rPr>
                <w:rFonts w:ascii="Arial" w:cs="Arial" w:eastAsia="Arial" w:hAnsi="Arial"/>
                <w:sz w:val="16"/>
                <w:szCs w:val="16"/>
                <w:color w:val="0000EE"/>
                <w:w w:val="96"/>
              </w:rPr>
              <w:t>Outstanding Equity Awards at Fiscal Year-end</w:t>
            </w:r>
          </w:p>
        </w:tc>
        <w:tc>
          <w:tcPr>
            <w:tcW w:w="2160" w:type="dxa"/>
            <w:vAlign w:val="bottom"/>
            <w:gridSpan w:val="8"/>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71655E"/>
              </w:rPr>
              <w:t>48</w:t>
            </w:r>
          </w:p>
        </w:tc>
      </w:tr>
      <w:tr>
        <w:trPr>
          <w:trHeight w:val="240"/>
        </w:trPr>
        <w:tc>
          <w:tcPr>
            <w:tcW w:w="3000" w:type="dxa"/>
            <w:vAlign w:val="bottom"/>
            <w:tcBorders>
              <w:bottom w:val="single" w:sz="8" w:color="0000EE"/>
            </w:tcBorders>
            <w:gridSpan w:val="23"/>
          </w:tcPr>
          <w:p>
            <w:pPr>
              <w:spacing w:after="0"/>
              <w:rPr>
                <w:sz w:val="20"/>
                <w:szCs w:val="20"/>
                <w:color w:val="auto"/>
              </w:rPr>
            </w:pPr>
            <w:r>
              <w:rPr>
                <w:rFonts w:ascii="Arial" w:cs="Arial" w:eastAsia="Arial" w:hAnsi="Arial"/>
                <w:sz w:val="16"/>
                <w:szCs w:val="16"/>
                <w:color w:val="0000EE"/>
                <w:w w:val="96"/>
              </w:rPr>
              <w:t>Option Exercises and Stock Vested in 2022</w:t>
            </w:r>
          </w:p>
        </w:tc>
        <w:tc>
          <w:tcPr>
            <w:tcW w:w="2340" w:type="dxa"/>
            <w:vAlign w:val="bottom"/>
            <w:gridSpan w:val="12"/>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71655E"/>
              </w:rPr>
              <w:t>49</w:t>
            </w:r>
          </w:p>
        </w:tc>
      </w:tr>
      <w:tr>
        <w:trPr>
          <w:trHeight w:val="240"/>
        </w:trPr>
        <w:tc>
          <w:tcPr>
            <w:tcW w:w="4100" w:type="dxa"/>
            <w:vAlign w:val="bottom"/>
            <w:tcBorders>
              <w:bottom w:val="single" w:sz="8" w:color="0000EE"/>
            </w:tcBorders>
            <w:gridSpan w:val="32"/>
          </w:tcPr>
          <w:p>
            <w:pPr>
              <w:spacing w:after="0"/>
              <w:rPr>
                <w:sz w:val="20"/>
                <w:szCs w:val="20"/>
                <w:color w:val="auto"/>
              </w:rPr>
            </w:pPr>
            <w:r>
              <w:rPr>
                <w:rFonts w:ascii="Arial" w:cs="Arial" w:eastAsia="Arial" w:hAnsi="Arial"/>
                <w:sz w:val="16"/>
                <w:szCs w:val="16"/>
                <w:color w:val="0000EE"/>
                <w:w w:val="96"/>
              </w:rPr>
              <w:t>Potential Payments Upon Termination or Change in Control</w:t>
            </w:r>
          </w:p>
        </w:tc>
        <w:tc>
          <w:tcPr>
            <w:tcW w:w="1240" w:type="dxa"/>
            <w:vAlign w:val="bottom"/>
            <w:gridSpan w:val="3"/>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71655E"/>
              </w:rPr>
              <w:t>49</w:t>
            </w:r>
          </w:p>
        </w:tc>
      </w:tr>
      <w:tr>
        <w:trPr>
          <w:trHeight w:val="357"/>
        </w:trPr>
        <w:tc>
          <w:tcPr>
            <w:tcW w:w="2860" w:type="dxa"/>
            <w:vAlign w:val="bottom"/>
            <w:tcBorders>
              <w:bottom w:val="single" w:sz="8" w:color="0000EE"/>
            </w:tcBorders>
            <w:gridSpan w:val="21"/>
          </w:tcPr>
          <w:p>
            <w:pPr>
              <w:spacing w:after="0"/>
              <w:rPr>
                <w:sz w:val="20"/>
                <w:szCs w:val="20"/>
                <w:color w:val="auto"/>
              </w:rPr>
            </w:pPr>
            <w:r>
              <w:rPr>
                <w:rFonts w:ascii="Arial" w:cs="Arial" w:eastAsia="Arial" w:hAnsi="Arial"/>
                <w:sz w:val="12"/>
                <w:szCs w:val="12"/>
                <w:b w:val="1"/>
                <w:bCs w:val="1"/>
                <w:color w:val="0000EE"/>
                <w:w w:val="99"/>
              </w:rPr>
              <w:t>CERTAIN RELATIONSHIPS AND TRANSACTIONS</w:t>
            </w:r>
          </w:p>
        </w:tc>
        <w:tc>
          <w:tcPr>
            <w:tcW w:w="2480" w:type="dxa"/>
            <w:vAlign w:val="bottom"/>
            <w:gridSpan w:val="1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71655E"/>
              </w:rPr>
              <w:t>53</w:t>
            </w:r>
          </w:p>
        </w:tc>
      </w:tr>
      <w:tr>
        <w:trPr>
          <w:trHeight w:val="344"/>
        </w:trPr>
        <w:tc>
          <w:tcPr>
            <w:tcW w:w="5340" w:type="dxa"/>
            <w:vAlign w:val="bottom"/>
            <w:gridSpan w:val="35"/>
          </w:tcPr>
          <w:p>
            <w:pPr>
              <w:spacing w:after="0"/>
              <w:rPr>
                <w:sz w:val="20"/>
                <w:szCs w:val="20"/>
                <w:color w:val="auto"/>
              </w:rPr>
            </w:pPr>
            <w:r>
              <w:rPr>
                <w:rFonts w:ascii="Arial" w:cs="Arial" w:eastAsia="Arial" w:hAnsi="Arial"/>
                <w:sz w:val="12"/>
                <w:szCs w:val="12"/>
                <w:b w:val="1"/>
                <w:bCs w:val="1"/>
                <w:color w:val="0000EE"/>
              </w:rPr>
              <w:t>PAY RATIO DISCLOSURE</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71655E"/>
              </w:rPr>
              <w:t>54</w:t>
            </w:r>
          </w:p>
        </w:tc>
      </w:tr>
      <w:tr>
        <w:trPr>
          <w:trHeight w:val="344"/>
        </w:trPr>
        <w:tc>
          <w:tcPr>
            <w:tcW w:w="14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2"/>
                <w:szCs w:val="12"/>
                <w:b w:val="1"/>
                <w:bCs w:val="1"/>
                <w:color w:val="0000EE"/>
                <w:w w:val="99"/>
              </w:rPr>
              <w:t>SECURITY OWNERSHIP</w:t>
            </w:r>
          </w:p>
        </w:tc>
        <w:tc>
          <w:tcPr>
            <w:tcW w:w="60" w:type="dxa"/>
            <w:vAlign w:val="bottom"/>
            <w:tcBorders>
              <w:top w:val="single" w:sz="8" w:color="0000EE"/>
            </w:tcBorders>
            <w:gridSpan w:val="2"/>
          </w:tcPr>
          <w:p>
            <w:pPr>
              <w:spacing w:after="0"/>
              <w:rPr>
                <w:sz w:val="24"/>
                <w:szCs w:val="24"/>
                <w:color w:val="auto"/>
              </w:rPr>
            </w:pPr>
          </w:p>
        </w:tc>
        <w:tc>
          <w:tcPr>
            <w:tcW w:w="3880" w:type="dxa"/>
            <w:vAlign w:val="bottom"/>
            <w:gridSpan w:val="2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71655E"/>
              </w:rPr>
              <w:t>55</w:t>
            </w:r>
          </w:p>
        </w:tc>
      </w:tr>
      <w:tr>
        <w:trPr>
          <w:trHeight w:val="227"/>
        </w:trPr>
        <w:tc>
          <w:tcPr>
            <w:tcW w:w="3280" w:type="dxa"/>
            <w:vAlign w:val="bottom"/>
            <w:tcBorders>
              <w:bottom w:val="single" w:sz="8" w:color="0000EE"/>
            </w:tcBorders>
            <w:gridSpan w:val="30"/>
          </w:tcPr>
          <w:p>
            <w:pPr>
              <w:spacing w:after="0"/>
              <w:rPr>
                <w:sz w:val="20"/>
                <w:szCs w:val="20"/>
                <w:color w:val="auto"/>
              </w:rPr>
            </w:pPr>
            <w:r>
              <w:rPr>
                <w:rFonts w:ascii="Arial" w:cs="Arial" w:eastAsia="Arial" w:hAnsi="Arial"/>
                <w:sz w:val="16"/>
                <w:szCs w:val="16"/>
                <w:color w:val="0000EE"/>
                <w:w w:val="97"/>
              </w:rPr>
              <w:t>Certain Beneficial Ownership and Management</w:t>
            </w:r>
          </w:p>
        </w:tc>
        <w:tc>
          <w:tcPr>
            <w:tcW w:w="2060" w:type="dxa"/>
            <w:vAlign w:val="bottom"/>
            <w:gridSpan w:val="5"/>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71655E"/>
              </w:rPr>
              <w:t>55</w:t>
            </w:r>
          </w:p>
        </w:tc>
      </w:tr>
      <w:tr>
        <w:trPr>
          <w:trHeight w:val="240"/>
        </w:trPr>
        <w:tc>
          <w:tcPr>
            <w:tcW w:w="5340" w:type="dxa"/>
            <w:vAlign w:val="bottom"/>
            <w:gridSpan w:val="35"/>
          </w:tcPr>
          <w:p>
            <w:pPr>
              <w:spacing w:after="0"/>
              <w:rPr>
                <w:sz w:val="20"/>
                <w:szCs w:val="20"/>
                <w:color w:val="auto"/>
              </w:rPr>
            </w:pPr>
            <w:r>
              <w:rPr>
                <w:rFonts w:ascii="Arial" w:cs="Arial" w:eastAsia="Arial" w:hAnsi="Arial"/>
                <w:sz w:val="16"/>
                <w:szCs w:val="16"/>
                <w:color w:val="0000EE"/>
              </w:rPr>
              <w:t>Deliquent Section 16(a) Reports</w:t>
            </w:r>
          </w:p>
        </w:tc>
        <w:tc>
          <w:tcPr>
            <w:tcW w:w="500" w:type="dxa"/>
            <w:vAlign w:val="bottom"/>
          </w:tcPr>
          <w:p>
            <w:pPr>
              <w:jc w:val="right"/>
              <w:spacing w:after="0"/>
              <w:rPr>
                <w:sz w:val="20"/>
                <w:szCs w:val="20"/>
                <w:color w:val="auto"/>
              </w:rPr>
            </w:pPr>
            <w:r>
              <w:rPr>
                <w:rFonts w:ascii="Arial" w:cs="Arial" w:eastAsia="Arial" w:hAnsi="Arial"/>
                <w:sz w:val="16"/>
                <w:szCs w:val="16"/>
                <w:color w:val="71655E"/>
              </w:rPr>
              <w:t>56</w:t>
            </w:r>
          </w:p>
        </w:tc>
      </w:tr>
      <w:tr>
        <w:trPr>
          <w:trHeight w:val="305"/>
        </w:trPr>
        <w:tc>
          <w:tcPr>
            <w:tcW w:w="2220" w:type="dxa"/>
            <w:vAlign w:val="bottom"/>
            <w:tcBorders>
              <w:top w:val="single" w:sz="8" w:color="0000EE"/>
            </w:tcBorders>
            <w:gridSpan w:val="14"/>
          </w:tcPr>
          <w:p>
            <w:pPr>
              <w:spacing w:after="0"/>
              <w:rPr>
                <w:sz w:val="20"/>
                <w:szCs w:val="20"/>
                <w:color w:val="auto"/>
              </w:rPr>
            </w:pPr>
            <w:r>
              <w:rPr>
                <w:rFonts w:ascii="Arial" w:cs="Arial" w:eastAsia="Arial" w:hAnsi="Arial"/>
                <w:sz w:val="12"/>
                <w:szCs w:val="12"/>
                <w:b w:val="1"/>
                <w:bCs w:val="1"/>
                <w:color w:val="0000EE"/>
              </w:rPr>
              <w:t>ITEMS TO BE VOTED ON</w:t>
            </w:r>
          </w:p>
        </w:tc>
        <w:tc>
          <w:tcPr>
            <w:tcW w:w="3120" w:type="dxa"/>
            <w:vAlign w:val="bottom"/>
            <w:gridSpan w:val="21"/>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7"/>
        </w:trPr>
        <w:tc>
          <w:tcPr>
            <w:tcW w:w="224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w w:val="97"/>
              </w:rPr>
              <w:t>Proposal 1: Election of Directors</w:t>
            </w:r>
          </w:p>
        </w:tc>
        <w:tc>
          <w:tcPr>
            <w:tcW w:w="3100" w:type="dxa"/>
            <w:vAlign w:val="bottom"/>
            <w:gridSpan w:val="20"/>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71655E"/>
              </w:rPr>
              <w:t>58</w:t>
            </w:r>
          </w:p>
        </w:tc>
      </w:tr>
      <w:tr>
        <w:trPr>
          <w:trHeight w:val="240"/>
        </w:trPr>
        <w:tc>
          <w:tcPr>
            <w:tcW w:w="5340" w:type="dxa"/>
            <w:vAlign w:val="bottom"/>
            <w:gridSpan w:val="35"/>
          </w:tcPr>
          <w:p>
            <w:pPr>
              <w:spacing w:after="0"/>
              <w:rPr>
                <w:sz w:val="20"/>
                <w:szCs w:val="20"/>
                <w:color w:val="auto"/>
              </w:rPr>
            </w:pPr>
            <w:r>
              <w:rPr>
                <w:rFonts w:ascii="Arial" w:cs="Arial" w:eastAsia="Arial" w:hAnsi="Arial"/>
                <w:sz w:val="16"/>
                <w:szCs w:val="16"/>
                <w:color w:val="0000EE"/>
              </w:rPr>
              <w:t>Proposal 2: Ratification of Appointment of Independent Auditors</w:t>
            </w:r>
          </w:p>
        </w:tc>
        <w:tc>
          <w:tcPr>
            <w:tcW w:w="500" w:type="dxa"/>
            <w:vAlign w:val="bottom"/>
          </w:tcPr>
          <w:p>
            <w:pPr>
              <w:jc w:val="right"/>
              <w:spacing w:after="0"/>
              <w:rPr>
                <w:sz w:val="20"/>
                <w:szCs w:val="20"/>
                <w:color w:val="auto"/>
              </w:rPr>
            </w:pPr>
            <w:r>
              <w:rPr>
                <w:rFonts w:ascii="Arial" w:cs="Arial" w:eastAsia="Arial" w:hAnsi="Arial"/>
                <w:sz w:val="16"/>
                <w:szCs w:val="16"/>
                <w:color w:val="71655E"/>
              </w:rPr>
              <w:t>58</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40"/>
        </w:trPr>
        <w:tc>
          <w:tcPr>
            <w:tcW w:w="5340" w:type="dxa"/>
            <w:vAlign w:val="bottom"/>
            <w:tcBorders>
              <w:bottom w:val="single" w:sz="8" w:color="0000EE"/>
            </w:tcBorders>
            <w:gridSpan w:val="35"/>
          </w:tcPr>
          <w:p>
            <w:pPr>
              <w:spacing w:after="0"/>
              <w:rPr>
                <w:sz w:val="20"/>
                <w:szCs w:val="20"/>
                <w:color w:val="auto"/>
              </w:rPr>
            </w:pPr>
            <w:r>
              <w:rPr>
                <w:rFonts w:ascii="Arial" w:cs="Arial" w:eastAsia="Arial" w:hAnsi="Arial"/>
                <w:sz w:val="16"/>
                <w:szCs w:val="16"/>
                <w:color w:val="0000EE"/>
                <w:w w:val="97"/>
              </w:rPr>
              <w:t>Proposal 3: Advisory Vote to Approve the Compensation of Named Executive</w:t>
            </w:r>
          </w:p>
        </w:tc>
        <w:tc>
          <w:tcPr>
            <w:tcW w:w="500" w:type="dxa"/>
            <w:vAlign w:val="bottom"/>
          </w:tcPr>
          <w:p>
            <w:pPr>
              <w:spacing w:after="0"/>
              <w:rPr>
                <w:sz w:val="20"/>
                <w:szCs w:val="20"/>
                <w:color w:val="auto"/>
              </w:rPr>
            </w:pPr>
          </w:p>
        </w:tc>
      </w:tr>
      <w:tr>
        <w:trPr>
          <w:trHeight w:val="162"/>
        </w:trPr>
        <w:tc>
          <w:tcPr>
            <w:tcW w:w="540" w:type="dxa"/>
            <w:vAlign w:val="bottom"/>
            <w:tcBorders>
              <w:bottom w:val="single" w:sz="8" w:color="0000EE"/>
            </w:tcBorders>
          </w:tcPr>
          <w:p>
            <w:pPr>
              <w:spacing w:after="0" w:line="162" w:lineRule="exact"/>
              <w:rPr>
                <w:sz w:val="20"/>
                <w:szCs w:val="20"/>
                <w:color w:val="auto"/>
              </w:rPr>
            </w:pPr>
            <w:r>
              <w:rPr>
                <w:rFonts w:ascii="Arial" w:cs="Arial" w:eastAsia="Arial" w:hAnsi="Arial"/>
                <w:sz w:val="16"/>
                <w:szCs w:val="16"/>
                <w:color w:val="0000EE"/>
                <w:w w:val="94"/>
              </w:rPr>
              <w:t>Officers</w:t>
            </w:r>
          </w:p>
        </w:tc>
        <w:tc>
          <w:tcPr>
            <w:tcW w:w="4800" w:type="dxa"/>
            <w:vAlign w:val="bottom"/>
            <w:gridSpan w:val="34"/>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71655E"/>
              </w:rPr>
              <w:t>61</w:t>
            </w:r>
          </w:p>
        </w:tc>
      </w:tr>
      <w:tr>
        <w:trPr>
          <w:trHeight w:val="240"/>
        </w:trPr>
        <w:tc>
          <w:tcPr>
            <w:tcW w:w="5260" w:type="dxa"/>
            <w:vAlign w:val="bottom"/>
            <w:tcBorders>
              <w:bottom w:val="single" w:sz="8" w:color="0000EE"/>
            </w:tcBorders>
            <w:gridSpan w:val="34"/>
          </w:tcPr>
          <w:p>
            <w:pPr>
              <w:spacing w:after="0"/>
              <w:rPr>
                <w:sz w:val="20"/>
                <w:szCs w:val="20"/>
                <w:color w:val="auto"/>
              </w:rPr>
            </w:pPr>
            <w:r>
              <w:rPr>
                <w:rFonts w:ascii="Arial" w:cs="Arial" w:eastAsia="Arial" w:hAnsi="Arial"/>
                <w:sz w:val="16"/>
                <w:szCs w:val="16"/>
                <w:color w:val="0000EE"/>
                <w:w w:val="97"/>
              </w:rPr>
              <w:t>Proposal 4: Advisory Vote to Approve the Frequency of Future “Say-on-Pay”</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162"/>
        </w:trPr>
        <w:tc>
          <w:tcPr>
            <w:tcW w:w="700" w:type="dxa"/>
            <w:vAlign w:val="bottom"/>
            <w:tcBorders>
              <w:bottom w:val="single" w:sz="8" w:color="0000EE"/>
            </w:tcBorders>
            <w:gridSpan w:val="2"/>
          </w:tcPr>
          <w:p>
            <w:pPr>
              <w:spacing w:after="0" w:line="162" w:lineRule="exact"/>
              <w:rPr>
                <w:sz w:val="20"/>
                <w:szCs w:val="20"/>
                <w:color w:val="auto"/>
              </w:rPr>
            </w:pPr>
            <w:r>
              <w:rPr>
                <w:rFonts w:ascii="Arial" w:cs="Arial" w:eastAsia="Arial" w:hAnsi="Arial"/>
                <w:sz w:val="16"/>
                <w:szCs w:val="16"/>
                <w:color w:val="0000EE"/>
                <w:w w:val="95"/>
              </w:rPr>
              <w:t>Proposals</w:t>
            </w:r>
          </w:p>
        </w:tc>
        <w:tc>
          <w:tcPr>
            <w:tcW w:w="4640" w:type="dxa"/>
            <w:vAlign w:val="bottom"/>
            <w:gridSpan w:val="33"/>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71655E"/>
              </w:rPr>
              <w:t>62</w:t>
            </w:r>
          </w:p>
        </w:tc>
      </w:tr>
      <w:tr>
        <w:trPr>
          <w:trHeight w:val="357"/>
        </w:trPr>
        <w:tc>
          <w:tcPr>
            <w:tcW w:w="1480" w:type="dxa"/>
            <w:vAlign w:val="bottom"/>
            <w:tcBorders>
              <w:bottom w:val="single" w:sz="8" w:color="0000EE"/>
            </w:tcBorders>
            <w:gridSpan w:val="9"/>
          </w:tcPr>
          <w:p>
            <w:pPr>
              <w:spacing w:after="0"/>
              <w:rPr>
                <w:sz w:val="20"/>
                <w:szCs w:val="20"/>
                <w:color w:val="auto"/>
              </w:rPr>
            </w:pPr>
            <w:r>
              <w:rPr>
                <w:rFonts w:ascii="Arial" w:cs="Arial" w:eastAsia="Arial" w:hAnsi="Arial"/>
                <w:sz w:val="12"/>
                <w:szCs w:val="12"/>
                <w:b w:val="1"/>
                <w:bCs w:val="1"/>
                <w:color w:val="0000EE"/>
                <w:w w:val="99"/>
              </w:rPr>
              <w:t>GENERAL INFORMATION</w:t>
            </w:r>
          </w:p>
        </w:tc>
        <w:tc>
          <w:tcPr>
            <w:tcW w:w="3860" w:type="dxa"/>
            <w:vAlign w:val="bottom"/>
            <w:gridSpan w:val="2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71655E"/>
              </w:rPr>
              <w:t>63</w:t>
            </w:r>
          </w:p>
        </w:tc>
      </w:tr>
      <w:tr>
        <w:trPr>
          <w:trHeight w:val="227"/>
        </w:trPr>
        <w:tc>
          <w:tcPr>
            <w:tcW w:w="5340" w:type="dxa"/>
            <w:vAlign w:val="bottom"/>
            <w:gridSpan w:val="35"/>
          </w:tcPr>
          <w:p>
            <w:pPr>
              <w:spacing w:after="0"/>
              <w:rPr>
                <w:sz w:val="20"/>
                <w:szCs w:val="20"/>
                <w:color w:val="auto"/>
              </w:rPr>
            </w:pPr>
            <w:r>
              <w:rPr>
                <w:rFonts w:ascii="Arial" w:cs="Arial" w:eastAsia="Arial" w:hAnsi="Arial"/>
                <w:sz w:val="16"/>
                <w:szCs w:val="16"/>
                <w:color w:val="0000EE"/>
              </w:rPr>
              <w:t>Our 2023 Annual Meeting of Shareholders</w:t>
            </w:r>
          </w:p>
        </w:tc>
        <w:tc>
          <w:tcPr>
            <w:tcW w:w="500" w:type="dxa"/>
            <w:vAlign w:val="bottom"/>
          </w:tcPr>
          <w:p>
            <w:pPr>
              <w:jc w:val="right"/>
              <w:spacing w:after="0"/>
              <w:rPr>
                <w:sz w:val="20"/>
                <w:szCs w:val="20"/>
                <w:color w:val="auto"/>
              </w:rPr>
            </w:pPr>
            <w:r>
              <w:rPr>
                <w:rFonts w:ascii="Arial" w:cs="Arial" w:eastAsia="Arial" w:hAnsi="Arial"/>
                <w:sz w:val="16"/>
                <w:szCs w:val="16"/>
                <w:color w:val="71655E"/>
              </w:rPr>
              <w:t>63</w:t>
            </w:r>
          </w:p>
        </w:tc>
      </w:tr>
      <w:tr>
        <w:trPr>
          <w:trHeight w:val="240"/>
        </w:trPr>
        <w:tc>
          <w:tcPr>
            <w:tcW w:w="154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6"/>
                <w:szCs w:val="16"/>
                <w:color w:val="0000EE"/>
                <w:w w:val="95"/>
              </w:rPr>
              <w:t>Voting and Solicitation</w:t>
            </w:r>
          </w:p>
        </w:tc>
        <w:tc>
          <w:tcPr>
            <w:tcW w:w="1380" w:type="dxa"/>
            <w:vAlign w:val="bottom"/>
            <w:tcBorders>
              <w:top w:val="single" w:sz="8" w:color="0000EE"/>
            </w:tcBorders>
            <w:gridSpan w:val="12"/>
          </w:tcPr>
          <w:p>
            <w:pPr>
              <w:spacing w:after="0"/>
              <w:rPr>
                <w:sz w:val="20"/>
                <w:szCs w:val="20"/>
                <w:color w:val="auto"/>
              </w:rPr>
            </w:pPr>
          </w:p>
        </w:tc>
        <w:tc>
          <w:tcPr>
            <w:tcW w:w="2420" w:type="dxa"/>
            <w:vAlign w:val="bottom"/>
            <w:gridSpan w:val="13"/>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71655E"/>
              </w:rPr>
              <w:t>63</w:t>
            </w:r>
          </w:p>
        </w:tc>
      </w:tr>
      <w:tr>
        <w:trPr>
          <w:trHeight w:val="240"/>
        </w:trPr>
        <w:tc>
          <w:tcPr>
            <w:tcW w:w="5340" w:type="dxa"/>
            <w:vAlign w:val="bottom"/>
            <w:gridSpan w:val="35"/>
          </w:tcPr>
          <w:p>
            <w:pPr>
              <w:spacing w:after="0"/>
              <w:rPr>
                <w:sz w:val="20"/>
                <w:szCs w:val="20"/>
                <w:color w:val="auto"/>
              </w:rPr>
            </w:pPr>
            <w:r>
              <w:rPr>
                <w:rFonts w:ascii="Arial" w:cs="Arial" w:eastAsia="Arial" w:hAnsi="Arial"/>
                <w:sz w:val="16"/>
                <w:szCs w:val="16"/>
                <w:color w:val="0000EE"/>
              </w:rPr>
              <w:t>How You Can Vote</w:t>
            </w:r>
          </w:p>
        </w:tc>
        <w:tc>
          <w:tcPr>
            <w:tcW w:w="500" w:type="dxa"/>
            <w:vAlign w:val="bottom"/>
          </w:tcPr>
          <w:p>
            <w:pPr>
              <w:jc w:val="right"/>
              <w:spacing w:after="0"/>
              <w:rPr>
                <w:sz w:val="20"/>
                <w:szCs w:val="20"/>
                <w:color w:val="auto"/>
              </w:rPr>
            </w:pPr>
            <w:r>
              <w:rPr>
                <w:rFonts w:ascii="Arial" w:cs="Arial" w:eastAsia="Arial" w:hAnsi="Arial"/>
                <w:sz w:val="16"/>
                <w:szCs w:val="16"/>
                <w:color w:val="71655E"/>
              </w:rPr>
              <w:t>64</w:t>
            </w: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18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40"/>
        </w:trPr>
        <w:tc>
          <w:tcPr>
            <w:tcW w:w="5340" w:type="dxa"/>
            <w:vAlign w:val="bottom"/>
            <w:gridSpan w:val="35"/>
          </w:tcPr>
          <w:p>
            <w:pPr>
              <w:spacing w:after="0"/>
              <w:rPr>
                <w:sz w:val="20"/>
                <w:szCs w:val="20"/>
                <w:color w:val="auto"/>
              </w:rPr>
            </w:pPr>
            <w:r>
              <w:rPr>
                <w:rFonts w:ascii="Arial" w:cs="Arial" w:eastAsia="Arial" w:hAnsi="Arial"/>
                <w:sz w:val="16"/>
                <w:szCs w:val="16"/>
                <w:color w:val="0000EE"/>
              </w:rPr>
              <w:t>Revocability of Proxies</w:t>
            </w:r>
          </w:p>
        </w:tc>
        <w:tc>
          <w:tcPr>
            <w:tcW w:w="500" w:type="dxa"/>
            <w:vAlign w:val="bottom"/>
          </w:tcPr>
          <w:p>
            <w:pPr>
              <w:jc w:val="right"/>
              <w:spacing w:after="0"/>
              <w:rPr>
                <w:sz w:val="20"/>
                <w:szCs w:val="20"/>
                <w:color w:val="auto"/>
              </w:rPr>
            </w:pPr>
            <w:r>
              <w:rPr>
                <w:rFonts w:ascii="Arial" w:cs="Arial" w:eastAsia="Arial" w:hAnsi="Arial"/>
                <w:sz w:val="16"/>
                <w:szCs w:val="16"/>
                <w:color w:val="71655E"/>
              </w:rPr>
              <w:t>64</w:t>
            </w: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18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40"/>
        </w:trPr>
        <w:tc>
          <w:tcPr>
            <w:tcW w:w="2420" w:type="dxa"/>
            <w:vAlign w:val="bottom"/>
            <w:tcBorders>
              <w:bottom w:val="single" w:sz="8" w:color="0000EE"/>
            </w:tcBorders>
            <w:gridSpan w:val="17"/>
          </w:tcPr>
          <w:p>
            <w:pPr>
              <w:spacing w:after="0"/>
              <w:rPr>
                <w:sz w:val="20"/>
                <w:szCs w:val="20"/>
                <w:color w:val="auto"/>
              </w:rPr>
            </w:pPr>
            <w:r>
              <w:rPr>
                <w:rFonts w:ascii="Arial" w:cs="Arial" w:eastAsia="Arial" w:hAnsi="Arial"/>
                <w:sz w:val="16"/>
                <w:szCs w:val="16"/>
                <w:color w:val="0000EE"/>
                <w:w w:val="97"/>
              </w:rPr>
              <w:t>Participating in the Annual Meeting</w:t>
            </w:r>
          </w:p>
        </w:tc>
        <w:tc>
          <w:tcPr>
            <w:tcW w:w="2920" w:type="dxa"/>
            <w:vAlign w:val="bottom"/>
            <w:gridSpan w:val="18"/>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71655E"/>
              </w:rPr>
              <w:t>65</w:t>
            </w:r>
          </w:p>
        </w:tc>
      </w:tr>
      <w:tr>
        <w:trPr>
          <w:trHeight w:val="240"/>
        </w:trPr>
        <w:tc>
          <w:tcPr>
            <w:tcW w:w="5340" w:type="dxa"/>
            <w:vAlign w:val="bottom"/>
            <w:gridSpan w:val="35"/>
          </w:tcPr>
          <w:p>
            <w:pPr>
              <w:spacing w:after="0"/>
              <w:rPr>
                <w:sz w:val="20"/>
                <w:szCs w:val="20"/>
                <w:color w:val="auto"/>
              </w:rPr>
            </w:pPr>
            <w:r>
              <w:rPr>
                <w:rFonts w:ascii="Arial" w:cs="Arial" w:eastAsia="Arial" w:hAnsi="Arial"/>
                <w:sz w:val="16"/>
                <w:szCs w:val="16"/>
                <w:color w:val="0000EE"/>
              </w:rPr>
              <w:t>Proxy Procedure and Expenses of Solicitation</w:t>
            </w:r>
          </w:p>
        </w:tc>
        <w:tc>
          <w:tcPr>
            <w:tcW w:w="500" w:type="dxa"/>
            <w:vAlign w:val="bottom"/>
          </w:tcPr>
          <w:p>
            <w:pPr>
              <w:jc w:val="right"/>
              <w:spacing w:after="0"/>
              <w:rPr>
                <w:sz w:val="20"/>
                <w:szCs w:val="20"/>
                <w:color w:val="auto"/>
              </w:rPr>
            </w:pPr>
            <w:r>
              <w:rPr>
                <w:rFonts w:ascii="Arial" w:cs="Arial" w:eastAsia="Arial" w:hAnsi="Arial"/>
                <w:sz w:val="16"/>
                <w:szCs w:val="16"/>
                <w:color w:val="71655E"/>
              </w:rPr>
              <w:t>65</w:t>
            </w:r>
          </w:p>
        </w:tc>
      </w:tr>
      <w:tr>
        <w:trPr>
          <w:trHeight w:val="240"/>
        </w:trPr>
        <w:tc>
          <w:tcPr>
            <w:tcW w:w="3160" w:type="dxa"/>
            <w:vAlign w:val="bottom"/>
            <w:tcBorders>
              <w:top w:val="single" w:sz="8" w:color="0000EE"/>
            </w:tcBorders>
            <w:gridSpan w:val="26"/>
          </w:tcPr>
          <w:p>
            <w:pPr>
              <w:spacing w:after="0"/>
              <w:rPr>
                <w:sz w:val="20"/>
                <w:szCs w:val="20"/>
                <w:color w:val="auto"/>
              </w:rPr>
            </w:pPr>
            <w:r>
              <w:rPr>
                <w:rFonts w:ascii="Arial" w:cs="Arial" w:eastAsia="Arial" w:hAnsi="Arial"/>
                <w:sz w:val="16"/>
                <w:szCs w:val="16"/>
                <w:color w:val="0000EE"/>
              </w:rPr>
              <w:t>Shareholder Nominations and Proposals</w:t>
            </w:r>
          </w:p>
        </w:tc>
        <w:tc>
          <w:tcPr>
            <w:tcW w:w="2180" w:type="dxa"/>
            <w:vAlign w:val="bottom"/>
            <w:gridSpan w:val="9"/>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71655E"/>
              </w:rPr>
              <w:t>65</w:t>
            </w:r>
          </w:p>
        </w:tc>
      </w:tr>
      <w:tr>
        <w:trPr>
          <w:trHeight w:val="240"/>
        </w:trPr>
        <w:tc>
          <w:tcPr>
            <w:tcW w:w="10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6"/>
                <w:szCs w:val="16"/>
                <w:color w:val="0000EE"/>
                <w:w w:val="99"/>
              </w:rPr>
              <w:t>Annual Report</w:t>
            </w:r>
          </w:p>
        </w:tc>
        <w:tc>
          <w:tcPr>
            <w:tcW w:w="1740" w:type="dxa"/>
            <w:vAlign w:val="bottom"/>
            <w:tcBorders>
              <w:top w:val="single" w:sz="8" w:color="0000EE"/>
            </w:tcBorders>
            <w:gridSpan w:val="16"/>
          </w:tcPr>
          <w:p>
            <w:pPr>
              <w:spacing w:after="0"/>
              <w:rPr>
                <w:sz w:val="20"/>
                <w:szCs w:val="20"/>
                <w:color w:val="auto"/>
              </w:rPr>
            </w:pPr>
          </w:p>
        </w:tc>
        <w:tc>
          <w:tcPr>
            <w:tcW w:w="2540" w:type="dxa"/>
            <w:vAlign w:val="bottom"/>
            <w:gridSpan w:val="15"/>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71655E"/>
              </w:rPr>
              <w:t>66</w:t>
            </w:r>
          </w:p>
        </w:tc>
      </w:tr>
      <w:tr>
        <w:trPr>
          <w:trHeight w:val="240"/>
        </w:trPr>
        <w:tc>
          <w:tcPr>
            <w:tcW w:w="96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6"/>
              </w:rPr>
              <w:t>Householding</w:t>
            </w:r>
          </w:p>
        </w:tc>
        <w:tc>
          <w:tcPr>
            <w:tcW w:w="4380" w:type="dxa"/>
            <w:vAlign w:val="bottom"/>
            <w:gridSpan w:val="32"/>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71655E"/>
              </w:rPr>
              <w:t>66</w:t>
            </w:r>
          </w:p>
        </w:tc>
      </w:tr>
      <w:tr>
        <w:trPr>
          <w:trHeight w:val="240"/>
        </w:trPr>
        <w:tc>
          <w:tcPr>
            <w:tcW w:w="5340" w:type="dxa"/>
            <w:vAlign w:val="bottom"/>
            <w:gridSpan w:val="35"/>
          </w:tcPr>
          <w:p>
            <w:pPr>
              <w:spacing w:after="0"/>
              <w:rPr>
                <w:sz w:val="20"/>
                <w:szCs w:val="20"/>
                <w:color w:val="auto"/>
              </w:rPr>
            </w:pPr>
            <w:r>
              <w:rPr>
                <w:rFonts w:ascii="Arial" w:cs="Arial" w:eastAsia="Arial" w:hAnsi="Arial"/>
                <w:sz w:val="16"/>
                <w:szCs w:val="16"/>
                <w:color w:val="0000EE"/>
              </w:rPr>
              <w:t>Other Business</w:t>
            </w:r>
          </w:p>
        </w:tc>
        <w:tc>
          <w:tcPr>
            <w:tcW w:w="500" w:type="dxa"/>
            <w:vAlign w:val="bottom"/>
          </w:tcPr>
          <w:p>
            <w:pPr>
              <w:jc w:val="right"/>
              <w:spacing w:after="0"/>
              <w:rPr>
                <w:sz w:val="20"/>
                <w:szCs w:val="20"/>
                <w:color w:val="auto"/>
              </w:rPr>
            </w:pPr>
            <w:r>
              <w:rPr>
                <w:rFonts w:ascii="Arial" w:cs="Arial" w:eastAsia="Arial" w:hAnsi="Arial"/>
                <w:sz w:val="16"/>
                <w:szCs w:val="16"/>
                <w:color w:val="71655E"/>
              </w:rPr>
              <w:t>66</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ectPr>
          <w:pgSz w:w="11900" w:h="16838" w:orient="portrait"/>
          <w:cols w:equalWidth="0" w:num="1">
            <w:col w:w="10139"/>
          </w:cols>
          <w:pgMar w:left="320" w:top="473" w:right="1440" w:bottom="1440" w:gutter="0" w:footer="0" w:header="0"/>
        </w:sectPr>
      </w:pPr>
    </w:p>
    <w:bookmarkStart w:id="10" w:name="page11"/>
    <w:bookmarkEnd w:id="10"/>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224155</wp:posOffset>
            </wp:positionV>
            <wp:extent cx="6939280" cy="8921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39280" cy="8921750"/>
                    </a:xfrm>
                    <a:prstGeom prst="rect">
                      <a:avLst/>
                    </a:prstGeom>
                    <a:noFill/>
                  </pic:spPr>
                </pic:pic>
              </a:graphicData>
            </a:graphic>
          </wp:anchor>
        </w:drawing>
      </w:r>
    </w:p>
    <w:p>
      <w:pPr>
        <w:sectPr>
          <w:pgSz w:w="11900" w:h="16838" w:orient="portrait"/>
          <w:cols w:equalWidth="0" w:num="1">
            <w:col w:w="10139"/>
          </w:cols>
          <w:pgMar w:left="320" w:top="473" w:right="1440"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2022 Highlights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Financial Results</w:t>
      </w:r>
    </w:p>
    <w:p>
      <w:pPr>
        <w:spacing w:after="0" w:line="200" w:lineRule="exact"/>
        <w:rPr>
          <w:sz w:val="20"/>
          <w:szCs w:val="20"/>
          <w:color w:val="auto"/>
        </w:rPr>
      </w:pPr>
    </w:p>
    <w:p>
      <w:pPr>
        <w:spacing w:after="0" w:line="3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Macau Concession</w:t>
      </w:r>
    </w:p>
    <w:p>
      <w:pPr>
        <w:spacing w:after="0" w:line="333" w:lineRule="exact"/>
        <w:rPr>
          <w:sz w:val="20"/>
          <w:szCs w:val="20"/>
          <w:color w:val="auto"/>
        </w:rPr>
      </w:pPr>
    </w:p>
    <w:p>
      <w:pPr>
        <w:jc w:val="right"/>
        <w:ind w:right="2940"/>
        <w:spacing w:after="0"/>
        <w:rPr>
          <w:sz w:val="20"/>
          <w:szCs w:val="20"/>
          <w:color w:val="auto"/>
        </w:rPr>
      </w:pPr>
      <w:r>
        <w:rPr>
          <w:rFonts w:ascii="Arial" w:cs="Arial" w:eastAsia="Arial" w:hAnsi="Arial"/>
          <w:sz w:val="14"/>
          <w:szCs w:val="14"/>
          <w:color w:val="auto"/>
        </w:rPr>
        <w:t>Pursuing Growth Opportunities</w:t>
      </w:r>
    </w:p>
    <w:p>
      <w:pPr>
        <w:spacing w:after="0" w:line="200" w:lineRule="exact"/>
        <w:rPr>
          <w:sz w:val="20"/>
          <w:szCs w:val="20"/>
          <w:color w:val="auto"/>
        </w:rPr>
      </w:pPr>
    </w:p>
    <w:p>
      <w:pPr>
        <w:spacing w:after="0" w:line="22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Enhanced Financial Flexibility</w:t>
      </w:r>
    </w:p>
    <w:p>
      <w:pPr>
        <w:spacing w:after="0" w:line="200" w:lineRule="exact"/>
        <w:rPr>
          <w:sz w:val="20"/>
          <w:szCs w:val="20"/>
          <w:color w:val="auto"/>
        </w:rPr>
      </w:pPr>
    </w:p>
    <w:p>
      <w:pPr>
        <w:spacing w:after="0" w:line="2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Operational Excellence</w:t>
      </w:r>
    </w:p>
    <w:p>
      <w:pPr>
        <w:spacing w:after="0" w:line="200" w:lineRule="exact"/>
        <w:rPr>
          <w:sz w:val="20"/>
          <w:szCs w:val="20"/>
          <w:color w:val="auto"/>
        </w:rPr>
      </w:pPr>
    </w:p>
    <w:p>
      <w:pPr>
        <w:spacing w:after="0" w:line="22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Executive Transition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80"/>
        <w:spacing w:after="0" w:line="276" w:lineRule="auto"/>
        <w:rPr>
          <w:sz w:val="20"/>
          <w:szCs w:val="20"/>
          <w:color w:val="auto"/>
        </w:rPr>
      </w:pPr>
      <w:r>
        <w:rPr>
          <w:rFonts w:ascii="Arial" w:cs="Arial" w:eastAsia="Arial" w:hAnsi="Arial"/>
          <w:sz w:val="13"/>
          <w:szCs w:val="13"/>
          <w:color w:val="auto"/>
        </w:rPr>
        <w:t>Achieved highest-ever Adjusted Property EBITDAR(1) at our Las Vegas Operations at $801.1 million, over 50% greater than the previous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-1112520</wp:posOffset>
            </wp:positionV>
            <wp:extent cx="7179310" cy="53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-245110</wp:posOffset>
            </wp:positionV>
            <wp:extent cx="6740525" cy="793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40525" cy="793115"/>
                    </a:xfrm>
                    <a:prstGeom prst="rect">
                      <a:avLst/>
                    </a:prstGeom>
                    <a:noFill/>
                  </pic:spPr>
                </pic:pic>
              </a:graphicData>
            </a:graphic>
          </wp:anchor>
        </w:drawing>
      </w:r>
    </w:p>
    <w:p>
      <w:pPr>
        <w:spacing w:after="0" w:line="65" w:lineRule="exact"/>
        <w:rPr>
          <w:sz w:val="20"/>
          <w:szCs w:val="20"/>
          <w:color w:val="auto"/>
        </w:rPr>
      </w:pPr>
    </w:p>
    <w:p>
      <w:pPr>
        <w:ind w:right="320"/>
        <w:spacing w:after="0" w:line="239" w:lineRule="auto"/>
        <w:rPr>
          <w:sz w:val="20"/>
          <w:szCs w:val="20"/>
          <w:color w:val="auto"/>
        </w:rPr>
      </w:pPr>
      <w:r>
        <w:rPr>
          <w:rFonts w:ascii="Arial" w:cs="Arial" w:eastAsia="Arial" w:hAnsi="Arial"/>
          <w:sz w:val="14"/>
          <w:szCs w:val="14"/>
          <w:color w:val="auto"/>
        </w:rPr>
        <w:t>Achieved record Adjusted Property EBITDAR(1) at Encore Boston Harbor of $243.4 million</w:t>
      </w:r>
    </w:p>
    <w:p>
      <w:pPr>
        <w:spacing w:after="0" w:line="109" w:lineRule="exact"/>
        <w:rPr>
          <w:sz w:val="20"/>
          <w:szCs w:val="20"/>
          <w:color w:val="auto"/>
        </w:rPr>
      </w:pPr>
    </w:p>
    <w:p>
      <w:pPr>
        <w:ind w:right="340"/>
        <w:spacing w:after="0" w:line="239" w:lineRule="auto"/>
        <w:rPr>
          <w:sz w:val="20"/>
          <w:szCs w:val="20"/>
          <w:color w:val="auto"/>
        </w:rPr>
      </w:pPr>
      <w:r>
        <w:rPr>
          <w:rFonts w:ascii="Arial" w:cs="Arial" w:eastAsia="Arial" w:hAnsi="Arial"/>
          <w:sz w:val="14"/>
          <w:szCs w:val="14"/>
          <w:color w:val="auto"/>
        </w:rPr>
        <w:t>Maintained strong gross gaming revenue (“GGR”) market share in Macau in challenged visitation environment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Awarded one of six new 10-year gaming concessions in Macau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10795</wp:posOffset>
            </wp:positionV>
            <wp:extent cx="6740525" cy="52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40525" cy="52070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Entered into a partnership to develop the first integrated gaming resort in the</w:t>
      </w:r>
    </w:p>
    <w:p>
      <w:pPr>
        <w:spacing w:after="0"/>
        <w:rPr>
          <w:sz w:val="20"/>
          <w:szCs w:val="20"/>
          <w:color w:val="auto"/>
        </w:rPr>
      </w:pPr>
      <w:r>
        <w:rPr>
          <w:rFonts w:ascii="Arial" w:cs="Arial" w:eastAsia="Arial" w:hAnsi="Arial"/>
          <w:sz w:val="14"/>
          <w:szCs w:val="14"/>
          <w:color w:val="auto"/>
        </w:rPr>
        <w:t>UAE</w:t>
      </w:r>
    </w:p>
    <w:p>
      <w:pPr>
        <w:spacing w:after="0" w:line="112"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Announced partnership with Related Companies to develop an integrated resort in Manhattan’s Hudson Yards in New York</w:t>
      </w:r>
    </w:p>
    <w:p>
      <w:pPr>
        <w:spacing w:after="0" w:line="31"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Completed a sale-leaseback of the real estate of Encore Boston Harbor to unlock $1.7 billion to fund accretive development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8255</wp:posOffset>
            </wp:positionV>
            <wp:extent cx="6740525" cy="619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40525" cy="619760"/>
                    </a:xfrm>
                    <a:prstGeom prst="rect">
                      <a:avLst/>
                    </a:prstGeom>
                    <a:noFill/>
                  </pic:spPr>
                </pic:pic>
              </a:graphicData>
            </a:graphic>
          </wp:anchor>
        </w:drawing>
      </w:r>
    </w:p>
    <w:p>
      <w:pPr>
        <w:spacing w:after="0" w:line="37" w:lineRule="exact"/>
        <w:rPr>
          <w:sz w:val="20"/>
          <w:szCs w:val="20"/>
          <w:color w:val="auto"/>
        </w:rPr>
      </w:pPr>
    </w:p>
    <w:p>
      <w:pPr>
        <w:ind w:right="100"/>
        <w:spacing w:after="0" w:line="236" w:lineRule="auto"/>
        <w:rPr>
          <w:sz w:val="20"/>
          <w:szCs w:val="20"/>
          <w:color w:val="auto"/>
        </w:rPr>
      </w:pPr>
      <w:r>
        <w:rPr>
          <w:rFonts w:ascii="Arial" w:cs="Arial" w:eastAsia="Arial" w:hAnsi="Arial"/>
          <w:sz w:val="14"/>
          <w:szCs w:val="14"/>
          <w:color w:val="auto"/>
        </w:rPr>
        <w:t>Awarded 24 Forbes Travel Guide (“FTG”) Five-Star Awards in 2023, the most of any independent hotel company in the world. Wynn Las Vegas and Encore at Wynn Las Vegas remain the largest and the second largest FTG Five-Star resorts in the world, respectively, followed by Wynn Palace as the third largest</w:t>
      </w:r>
    </w:p>
    <w:p>
      <w:pPr>
        <w:spacing w:after="0" w:line="108" w:lineRule="exact"/>
        <w:rPr>
          <w:sz w:val="20"/>
          <w:szCs w:val="20"/>
          <w:color w:val="auto"/>
        </w:rPr>
      </w:pPr>
    </w:p>
    <w:p>
      <w:pPr>
        <w:ind w:right="120"/>
        <w:spacing w:after="0" w:line="297" w:lineRule="auto"/>
        <w:rPr>
          <w:sz w:val="20"/>
          <w:szCs w:val="20"/>
          <w:color w:val="auto"/>
        </w:rPr>
      </w:pPr>
      <w:r>
        <w:rPr>
          <w:rFonts w:ascii="Arial" w:cs="Arial" w:eastAsia="Arial" w:hAnsi="Arial"/>
          <w:sz w:val="14"/>
          <w:szCs w:val="14"/>
          <w:color w:val="auto"/>
        </w:rPr>
        <w:t>Named category leader in FORTUNE’s 2023 World’s Most Admired Companies Seamless transition of new CEO and CFO</w:t>
      </w:r>
    </w:p>
    <w:p>
      <w:pPr>
        <w:spacing w:after="0" w:line="73" w:lineRule="exact"/>
        <w:rPr>
          <w:sz w:val="20"/>
          <w:szCs w:val="20"/>
          <w:color w:val="auto"/>
        </w:rPr>
      </w:pPr>
    </w:p>
    <w:p>
      <w:pPr>
        <w:sectPr>
          <w:pgSz w:w="11900" w:h="16838" w:orient="portrait"/>
          <w:cols w:equalWidth="0" w:num="2">
            <w:col w:w="5220" w:space="720"/>
            <w:col w:w="4980"/>
          </w:cols>
          <w:pgMar w:left="320" w:top="473" w:right="659" w:bottom="1440" w:gutter="0" w:footer="0" w:header="0"/>
        </w:sectPr>
      </w:pPr>
    </w:p>
    <w:p>
      <w:pPr>
        <w:ind w:left="320" w:hanging="4"/>
        <w:spacing w:after="0" w:line="231" w:lineRule="auto"/>
        <w:tabs>
          <w:tab w:leader="none" w:pos="502" w:val="left"/>
        </w:tabs>
        <w:numPr>
          <w:ilvl w:val="0"/>
          <w:numId w:val="6"/>
        </w:numPr>
        <w:rPr>
          <w:rFonts w:ascii="Arial" w:cs="Arial" w:eastAsia="Arial" w:hAnsi="Arial"/>
          <w:sz w:val="12"/>
          <w:szCs w:val="12"/>
          <w:color w:val="auto"/>
        </w:rPr>
      </w:pPr>
      <w:r>
        <w:rPr>
          <w:rFonts w:ascii="Arial" w:cs="Arial" w:eastAsia="Arial" w:hAnsi="Arial"/>
          <w:sz w:val="12"/>
          <w:szCs w:val="12"/>
          <w:color w:val="auto"/>
        </w:rPr>
        <w:t>Adjusted Property EBITDAR is a net income (loss) before interest, income taxes, depreciation and amortization, pre-opening expenses, gain on EBH Transaction, net,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extinguishment of debt, and other non-operating income and expenses. See our Annual Report on Form 10-K for the year ended December 31, 2022 (Item 8, Note 19—“Segment Information” to our Consolidated Financial Statements) for the definition of “Adjusted Property EBITDAR,” a reconciliation of Adjusted Property EBITDAR to net income/loss attributable to Wynn Resorts.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B3AB9D"/>
        </w:rPr>
        <w:t>SHAREHOLDER ENGAGEMENT AND RESPONSIVENESS</w:t>
      </w:r>
    </w:p>
    <w:p>
      <w:pPr>
        <w:spacing w:after="0" w:line="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value the perspective of our shareholders and believe that shareholder engagement leads to enhanced governance practices.</w:t>
      </w:r>
    </w:p>
    <w:p>
      <w:pPr>
        <w:spacing w:after="0" w:line="182" w:lineRule="exact"/>
        <w:rPr>
          <w:sz w:val="20"/>
          <w:szCs w:val="20"/>
          <w:color w:val="auto"/>
        </w:rPr>
      </w:pPr>
    </w:p>
    <w:p>
      <w:pPr>
        <w:ind w:left="320" w:right="20"/>
        <w:spacing w:after="0" w:line="256" w:lineRule="auto"/>
        <w:rPr>
          <w:sz w:val="20"/>
          <w:szCs w:val="20"/>
          <w:color w:val="auto"/>
        </w:rPr>
      </w:pPr>
      <w:r>
        <w:rPr>
          <w:rFonts w:ascii="Arial" w:cs="Arial" w:eastAsia="Arial" w:hAnsi="Arial"/>
          <w:sz w:val="17"/>
          <w:szCs w:val="17"/>
          <w:color w:val="auto"/>
        </w:rPr>
        <w:t>We recognize that the results of our last two advisory votes on our NEOs’ compensation (“Say-on-Pay” votes) are reflective of not meeting our investors’ expectations as far as our level of engagement and responsiveness to their feedback.</w:t>
      </w:r>
    </w:p>
    <w:p>
      <w:pPr>
        <w:spacing w:after="0" w:line="142" w:lineRule="exact"/>
        <w:rPr>
          <w:sz w:val="20"/>
          <w:szCs w:val="20"/>
          <w:color w:val="auto"/>
        </w:rPr>
      </w:pPr>
    </w:p>
    <w:p>
      <w:pPr>
        <w:ind w:left="320" w:right="180"/>
        <w:spacing w:after="0" w:line="256" w:lineRule="auto"/>
        <w:rPr>
          <w:sz w:val="20"/>
          <w:szCs w:val="20"/>
          <w:color w:val="auto"/>
        </w:rPr>
      </w:pPr>
      <w:r>
        <w:rPr>
          <w:rFonts w:ascii="Arial" w:cs="Arial" w:eastAsia="Arial" w:hAnsi="Arial"/>
          <w:sz w:val="17"/>
          <w:szCs w:val="17"/>
          <w:color w:val="auto"/>
        </w:rPr>
        <w:t>The years for which these Say-on-Pay votes took place (2021 and 2022) represented an unprecedent time for the company, as we dealt with the extended impact of COVID-19 on our operations in Macau, all while managing a CEO and CFO transition.</w:t>
      </w:r>
    </w:p>
    <w:p>
      <w:pPr>
        <w:spacing w:after="0" w:line="142" w:lineRule="exact"/>
        <w:rPr>
          <w:sz w:val="20"/>
          <w:szCs w:val="20"/>
          <w:color w:val="auto"/>
        </w:rPr>
      </w:pPr>
    </w:p>
    <w:p>
      <w:pPr>
        <w:ind w:left="320" w:right="320"/>
        <w:spacing w:after="0" w:line="245" w:lineRule="auto"/>
        <w:rPr>
          <w:sz w:val="20"/>
          <w:szCs w:val="20"/>
          <w:color w:val="auto"/>
        </w:rPr>
      </w:pPr>
      <w:r>
        <w:rPr>
          <w:rFonts w:ascii="Arial" w:cs="Arial" w:eastAsia="Arial" w:hAnsi="Arial"/>
          <w:sz w:val="17"/>
          <w:szCs w:val="17"/>
          <w:color w:val="auto"/>
        </w:rPr>
        <w:t>We are committed to set and meet a best-practice standard for engagement with our investors. We value our investors’ views and fully intend to respond to their feedback when making future decisions about the philosophy, design and components of our executive compensation program. We believe the changes we made, as further described in the table “What We Heard—How We Responded” below demonstrate this commitment.</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 1 //</w:t>
      </w:r>
    </w:p>
    <w:p>
      <w:pPr>
        <w:sectPr>
          <w:pgSz w:w="11900" w:h="16838" w:orient="portrait"/>
          <w:cols w:equalWidth="0" w:num="1">
            <w:col w:w="10920"/>
          </w:cols>
          <w:pgMar w:left="320" w:top="473" w:right="6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summarizes the common themes that emerged from our engagement conversations and the Board’s responsive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149225</wp:posOffset>
            </wp:positionV>
            <wp:extent cx="6740525" cy="4254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40525" cy="4254500"/>
                    </a:xfrm>
                    <a:prstGeom prst="rect">
                      <a:avLst/>
                    </a:prstGeom>
                    <a:noFill/>
                  </pic:spPr>
                </pic:pic>
              </a:graphicData>
            </a:graphic>
          </wp:anchor>
        </w:drawing>
      </w: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5420" w:type="dxa"/>
            <w:vAlign w:val="bottom"/>
            <w:shd w:val="clear" w:color="auto" w:fill="71655E"/>
          </w:tcPr>
          <w:p>
            <w:pPr>
              <w:ind w:left="2180"/>
              <w:spacing w:after="0"/>
              <w:rPr>
                <w:sz w:val="20"/>
                <w:szCs w:val="20"/>
                <w:color w:val="auto"/>
              </w:rPr>
            </w:pPr>
            <w:r>
              <w:rPr>
                <w:rFonts w:ascii="Arial" w:cs="Arial" w:eastAsia="Arial" w:hAnsi="Arial"/>
                <w:sz w:val="12"/>
                <w:szCs w:val="12"/>
                <w:b w:val="1"/>
                <w:bCs w:val="1"/>
                <w:color w:val="FFFFFF"/>
              </w:rPr>
              <w:t>WHAT WE HEARD</w:t>
            </w:r>
          </w:p>
        </w:tc>
        <w:tc>
          <w:tcPr>
            <w:tcW w:w="5200" w:type="dxa"/>
            <w:vAlign w:val="bottom"/>
            <w:shd w:val="clear" w:color="auto" w:fill="71655E"/>
          </w:tcPr>
          <w:p>
            <w:pPr>
              <w:ind w:left="1980"/>
              <w:spacing w:after="0"/>
              <w:rPr>
                <w:sz w:val="20"/>
                <w:szCs w:val="20"/>
                <w:color w:val="auto"/>
              </w:rPr>
            </w:pPr>
            <w:r>
              <w:rPr>
                <w:rFonts w:ascii="Arial" w:cs="Arial" w:eastAsia="Arial" w:hAnsi="Arial"/>
                <w:sz w:val="12"/>
                <w:szCs w:val="12"/>
                <w:b w:val="1"/>
                <w:bCs w:val="1"/>
                <w:color w:val="FFFFFF"/>
              </w:rPr>
              <w:t>HOW WE RESPONDED</w:t>
            </w:r>
          </w:p>
        </w:tc>
      </w:tr>
      <w:tr>
        <w:trPr>
          <w:trHeight w:val="94"/>
        </w:trPr>
        <w:tc>
          <w:tcPr>
            <w:tcW w:w="5420" w:type="dxa"/>
            <w:vAlign w:val="bottom"/>
            <w:shd w:val="clear" w:color="auto" w:fill="71655E"/>
          </w:tcPr>
          <w:p>
            <w:pPr>
              <w:spacing w:after="0"/>
              <w:rPr>
                <w:sz w:val="8"/>
                <w:szCs w:val="8"/>
                <w:color w:val="auto"/>
              </w:rPr>
            </w:pPr>
          </w:p>
        </w:tc>
        <w:tc>
          <w:tcPr>
            <w:tcW w:w="5200" w:type="dxa"/>
            <w:vAlign w:val="bottom"/>
            <w:shd w:val="clear" w:color="auto" w:fill="71655E"/>
          </w:tcPr>
          <w:p>
            <w:pPr>
              <w:spacing w:after="0"/>
              <w:rPr>
                <w:sz w:val="8"/>
                <w:szCs w:val="8"/>
                <w:color w:val="auto"/>
              </w:rPr>
            </w:pPr>
          </w:p>
        </w:tc>
      </w:tr>
      <w:tr>
        <w:trPr>
          <w:trHeight w:val="205"/>
        </w:trPr>
        <w:tc>
          <w:tcPr>
            <w:tcW w:w="5420" w:type="dxa"/>
            <w:vAlign w:val="bottom"/>
            <w:shd w:val="clear" w:color="auto" w:fill="E2E0DE"/>
          </w:tcPr>
          <w:p>
            <w:pPr>
              <w:ind w:left="80"/>
              <w:spacing w:after="0"/>
              <w:rPr>
                <w:sz w:val="20"/>
                <w:szCs w:val="20"/>
                <w:color w:val="auto"/>
              </w:rPr>
            </w:pPr>
            <w:r>
              <w:rPr>
                <w:rFonts w:ascii="Arial" w:cs="Arial" w:eastAsia="Arial" w:hAnsi="Arial"/>
                <w:sz w:val="15"/>
                <w:szCs w:val="15"/>
                <w:color w:val="auto"/>
              </w:rPr>
              <w:t>A desire for more—and more detailed—responsiveness to Say-on-Pay votes</w:t>
            </w: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rPr>
              <w:t>Offered engagements to shareholders representing 52% of shares</w:t>
            </w:r>
          </w:p>
        </w:tc>
      </w:tr>
      <w:tr>
        <w:trPr>
          <w:trHeight w:val="156"/>
        </w:trPr>
        <w:tc>
          <w:tcPr>
            <w:tcW w:w="5420" w:type="dxa"/>
            <w:vAlign w:val="bottom"/>
            <w:shd w:val="clear" w:color="auto" w:fill="E2E0DE"/>
          </w:tcPr>
          <w:p>
            <w:pPr>
              <w:spacing w:after="0"/>
              <w:rPr>
                <w:sz w:val="13"/>
                <w:szCs w:val="13"/>
                <w:color w:val="auto"/>
              </w:rPr>
            </w:pPr>
          </w:p>
        </w:tc>
        <w:tc>
          <w:tcPr>
            <w:tcW w:w="5200" w:type="dxa"/>
            <w:vAlign w:val="bottom"/>
            <w:shd w:val="clear" w:color="auto" w:fill="E2E0DE"/>
          </w:tcPr>
          <w:p>
            <w:pPr>
              <w:ind w:left="100"/>
              <w:spacing w:after="0" w:line="156" w:lineRule="exact"/>
              <w:rPr>
                <w:sz w:val="20"/>
                <w:szCs w:val="20"/>
                <w:color w:val="auto"/>
              </w:rPr>
            </w:pPr>
            <w:r>
              <w:rPr>
                <w:rFonts w:ascii="Arial" w:cs="Arial" w:eastAsia="Arial" w:hAnsi="Arial"/>
                <w:sz w:val="15"/>
                <w:szCs w:val="15"/>
                <w:color w:val="auto"/>
              </w:rPr>
              <w:t>outstanding</w:t>
            </w:r>
          </w:p>
        </w:tc>
      </w:tr>
      <w:tr>
        <w:trPr>
          <w:trHeight w:val="156"/>
        </w:trPr>
        <w:tc>
          <w:tcPr>
            <w:tcW w:w="5420" w:type="dxa"/>
            <w:vAlign w:val="bottom"/>
            <w:shd w:val="clear" w:color="auto" w:fill="E2E0DE"/>
          </w:tcPr>
          <w:p>
            <w:pPr>
              <w:spacing w:after="0"/>
              <w:rPr>
                <w:sz w:val="13"/>
                <w:szCs w:val="13"/>
                <w:color w:val="auto"/>
              </w:rPr>
            </w:pPr>
          </w:p>
        </w:tc>
        <w:tc>
          <w:tcPr>
            <w:tcW w:w="5200" w:type="dxa"/>
            <w:vAlign w:val="bottom"/>
            <w:shd w:val="clear" w:color="auto" w:fill="E2E0DE"/>
          </w:tcPr>
          <w:p>
            <w:pPr>
              <w:ind w:left="100"/>
              <w:spacing w:after="0" w:line="156" w:lineRule="exact"/>
              <w:rPr>
                <w:sz w:val="20"/>
                <w:szCs w:val="20"/>
                <w:color w:val="auto"/>
              </w:rPr>
            </w:pPr>
            <w:r>
              <w:rPr>
                <w:rFonts w:ascii="Arial" w:cs="Arial" w:eastAsia="Arial" w:hAnsi="Arial"/>
                <w:sz w:val="15"/>
                <w:szCs w:val="15"/>
                <w:color w:val="auto"/>
              </w:rPr>
              <w:t>Engaged on two continents with shareholders representing 49% of shares</w:t>
            </w:r>
          </w:p>
        </w:tc>
      </w:tr>
      <w:tr>
        <w:trPr>
          <w:trHeight w:val="156"/>
        </w:trPr>
        <w:tc>
          <w:tcPr>
            <w:tcW w:w="5420" w:type="dxa"/>
            <w:vAlign w:val="bottom"/>
            <w:shd w:val="clear" w:color="auto" w:fill="E2E0DE"/>
          </w:tcPr>
          <w:p>
            <w:pPr>
              <w:spacing w:after="0"/>
              <w:rPr>
                <w:sz w:val="13"/>
                <w:szCs w:val="13"/>
                <w:color w:val="auto"/>
              </w:rPr>
            </w:pPr>
          </w:p>
        </w:tc>
        <w:tc>
          <w:tcPr>
            <w:tcW w:w="5200" w:type="dxa"/>
            <w:vAlign w:val="bottom"/>
            <w:shd w:val="clear" w:color="auto" w:fill="E2E0DE"/>
          </w:tcPr>
          <w:p>
            <w:pPr>
              <w:ind w:left="100"/>
              <w:spacing w:after="0" w:line="156" w:lineRule="exact"/>
              <w:rPr>
                <w:sz w:val="20"/>
                <w:szCs w:val="20"/>
                <w:color w:val="auto"/>
              </w:rPr>
            </w:pPr>
            <w:r>
              <w:rPr>
                <w:rFonts w:ascii="Arial" w:cs="Arial" w:eastAsia="Arial" w:hAnsi="Arial"/>
                <w:sz w:val="15"/>
                <w:szCs w:val="15"/>
                <w:color w:val="auto"/>
              </w:rPr>
              <w:t>outstanding</w:t>
            </w:r>
          </w:p>
        </w:tc>
      </w:tr>
      <w:tr>
        <w:trPr>
          <w:trHeight w:val="156"/>
        </w:trPr>
        <w:tc>
          <w:tcPr>
            <w:tcW w:w="5420" w:type="dxa"/>
            <w:vAlign w:val="bottom"/>
            <w:shd w:val="clear" w:color="auto" w:fill="E2E0DE"/>
          </w:tcPr>
          <w:p>
            <w:pPr>
              <w:spacing w:after="0"/>
              <w:rPr>
                <w:sz w:val="13"/>
                <w:szCs w:val="13"/>
                <w:color w:val="auto"/>
              </w:rPr>
            </w:pPr>
          </w:p>
        </w:tc>
        <w:tc>
          <w:tcPr>
            <w:tcW w:w="5200" w:type="dxa"/>
            <w:vAlign w:val="bottom"/>
            <w:shd w:val="clear" w:color="auto" w:fill="E2E0DE"/>
          </w:tcPr>
          <w:p>
            <w:pPr>
              <w:ind w:left="100"/>
              <w:spacing w:after="0" w:line="156" w:lineRule="exact"/>
              <w:rPr>
                <w:sz w:val="20"/>
                <w:szCs w:val="20"/>
                <w:color w:val="auto"/>
              </w:rPr>
            </w:pPr>
            <w:r>
              <w:rPr>
                <w:rFonts w:ascii="Arial" w:cs="Arial" w:eastAsia="Arial" w:hAnsi="Arial"/>
                <w:sz w:val="15"/>
                <w:szCs w:val="15"/>
                <w:color w:val="auto"/>
              </w:rPr>
              <w:t>At least one Board member attended the meetings with shareholders</w:t>
            </w:r>
          </w:p>
        </w:tc>
      </w:tr>
      <w:tr>
        <w:trPr>
          <w:trHeight w:val="156"/>
        </w:trPr>
        <w:tc>
          <w:tcPr>
            <w:tcW w:w="5420" w:type="dxa"/>
            <w:vAlign w:val="bottom"/>
            <w:shd w:val="clear" w:color="auto" w:fill="E2E0DE"/>
          </w:tcPr>
          <w:p>
            <w:pPr>
              <w:spacing w:after="0"/>
              <w:rPr>
                <w:sz w:val="13"/>
                <w:szCs w:val="13"/>
                <w:color w:val="auto"/>
              </w:rPr>
            </w:pPr>
          </w:p>
        </w:tc>
        <w:tc>
          <w:tcPr>
            <w:tcW w:w="5200" w:type="dxa"/>
            <w:vAlign w:val="bottom"/>
            <w:shd w:val="clear" w:color="auto" w:fill="E2E0DE"/>
          </w:tcPr>
          <w:p>
            <w:pPr>
              <w:ind w:left="100"/>
              <w:spacing w:after="0" w:line="156" w:lineRule="exact"/>
              <w:rPr>
                <w:sz w:val="20"/>
                <w:szCs w:val="20"/>
                <w:color w:val="auto"/>
              </w:rPr>
            </w:pPr>
            <w:r>
              <w:rPr>
                <w:rFonts w:ascii="Arial" w:cs="Arial" w:eastAsia="Arial" w:hAnsi="Arial"/>
                <w:sz w:val="15"/>
                <w:szCs w:val="15"/>
                <w:color w:val="auto"/>
              </w:rPr>
              <w:t>representing ~35% of shares outstanding</w:t>
            </w:r>
          </w:p>
        </w:tc>
      </w:tr>
      <w:tr>
        <w:trPr>
          <w:trHeight w:val="156"/>
        </w:trPr>
        <w:tc>
          <w:tcPr>
            <w:tcW w:w="5420" w:type="dxa"/>
            <w:vAlign w:val="bottom"/>
            <w:shd w:val="clear" w:color="auto" w:fill="E2E0DE"/>
          </w:tcPr>
          <w:p>
            <w:pPr>
              <w:spacing w:after="0"/>
              <w:rPr>
                <w:sz w:val="13"/>
                <w:szCs w:val="13"/>
                <w:color w:val="auto"/>
              </w:rPr>
            </w:pPr>
          </w:p>
        </w:tc>
        <w:tc>
          <w:tcPr>
            <w:tcW w:w="5200" w:type="dxa"/>
            <w:vAlign w:val="bottom"/>
            <w:shd w:val="clear" w:color="auto" w:fill="E2E0DE"/>
          </w:tcPr>
          <w:p>
            <w:pPr>
              <w:ind w:left="100"/>
              <w:spacing w:after="0" w:line="156" w:lineRule="exact"/>
              <w:rPr>
                <w:sz w:val="20"/>
                <w:szCs w:val="20"/>
                <w:color w:val="auto"/>
              </w:rPr>
            </w:pPr>
            <w:r>
              <w:rPr>
                <w:rFonts w:ascii="Arial" w:cs="Arial" w:eastAsia="Arial" w:hAnsi="Arial"/>
                <w:sz w:val="15"/>
                <w:szCs w:val="15"/>
                <w:color w:val="auto"/>
              </w:rPr>
              <w:t>60% of the engagements including a Board member were held in-person</w:t>
            </w:r>
          </w:p>
        </w:tc>
      </w:tr>
      <w:tr>
        <w:trPr>
          <w:trHeight w:val="177"/>
        </w:trPr>
        <w:tc>
          <w:tcPr>
            <w:tcW w:w="5420" w:type="dxa"/>
            <w:vAlign w:val="bottom"/>
            <w:shd w:val="clear" w:color="auto" w:fill="E2E0DE"/>
          </w:tcPr>
          <w:p>
            <w:pPr>
              <w:spacing w:after="0"/>
              <w:rPr>
                <w:sz w:val="15"/>
                <w:szCs w:val="15"/>
                <w:color w:val="auto"/>
              </w:rPr>
            </w:pP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rPr>
              <w:t>We also engaged with both of the leading proxy advisory firms</w:t>
            </w:r>
          </w:p>
        </w:tc>
      </w:tr>
      <w:tr>
        <w:trPr>
          <w:trHeight w:val="286"/>
        </w:trPr>
        <w:tc>
          <w:tcPr>
            <w:tcW w:w="5420" w:type="dxa"/>
            <w:vAlign w:val="bottom"/>
            <w:shd w:val="clear" w:color="auto" w:fill="E2E0DE"/>
          </w:tcPr>
          <w:p>
            <w:pPr>
              <w:ind w:left="80"/>
              <w:spacing w:after="0"/>
              <w:rPr>
                <w:sz w:val="20"/>
                <w:szCs w:val="20"/>
                <w:color w:val="auto"/>
              </w:rPr>
            </w:pPr>
            <w:r>
              <w:rPr>
                <w:rFonts w:ascii="Arial" w:cs="Arial" w:eastAsia="Arial" w:hAnsi="Arial"/>
                <w:sz w:val="15"/>
                <w:szCs w:val="15"/>
                <w:color w:val="auto"/>
              </w:rPr>
              <w:t>Long-term incentive (“LTI”) metrics should be 50%+ performance based</w:t>
            </w: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w w:val="98"/>
              </w:rPr>
              <w:t>55% of our January 2023 LTI grants are performance based, 45% time based</w:t>
            </w:r>
          </w:p>
        </w:tc>
      </w:tr>
      <w:tr>
        <w:trPr>
          <w:trHeight w:val="252"/>
        </w:trPr>
        <w:tc>
          <w:tcPr>
            <w:tcW w:w="5420" w:type="dxa"/>
            <w:vAlign w:val="bottom"/>
            <w:shd w:val="clear" w:color="auto" w:fill="E2E0DE"/>
          </w:tcPr>
          <w:p>
            <w:pPr>
              <w:ind w:left="80"/>
              <w:spacing w:after="0"/>
              <w:rPr>
                <w:sz w:val="20"/>
                <w:szCs w:val="20"/>
                <w:color w:val="auto"/>
              </w:rPr>
            </w:pPr>
            <w:r>
              <w:rPr>
                <w:rFonts w:ascii="Arial" w:cs="Arial" w:eastAsia="Arial" w:hAnsi="Arial"/>
                <w:sz w:val="15"/>
                <w:szCs w:val="15"/>
                <w:color w:val="auto"/>
              </w:rPr>
              <w:t>Add total shareholder return (“TSR”) metric to align LTI awards with shareholder</w:t>
            </w:r>
          </w:p>
        </w:tc>
        <w:tc>
          <w:tcPr>
            <w:tcW w:w="5200" w:type="dxa"/>
            <w:vAlign w:val="bottom"/>
            <w:shd w:val="clear" w:color="auto" w:fill="E2E0DE"/>
          </w:tcPr>
          <w:p>
            <w:pPr>
              <w:spacing w:after="0"/>
              <w:rPr>
                <w:sz w:val="21"/>
                <w:szCs w:val="21"/>
                <w:color w:val="auto"/>
              </w:rPr>
            </w:pPr>
          </w:p>
        </w:tc>
      </w:tr>
      <w:tr>
        <w:trPr>
          <w:trHeight w:val="177"/>
        </w:trPr>
        <w:tc>
          <w:tcPr>
            <w:tcW w:w="5420" w:type="dxa"/>
            <w:vAlign w:val="bottom"/>
            <w:shd w:val="clear" w:color="auto" w:fill="E2E0DE"/>
          </w:tcPr>
          <w:p>
            <w:pPr>
              <w:ind w:left="80"/>
              <w:spacing w:after="0"/>
              <w:rPr>
                <w:sz w:val="20"/>
                <w:szCs w:val="20"/>
                <w:color w:val="auto"/>
              </w:rPr>
            </w:pPr>
            <w:r>
              <w:rPr>
                <w:rFonts w:ascii="Arial" w:cs="Arial" w:eastAsia="Arial" w:hAnsi="Arial"/>
                <w:sz w:val="15"/>
                <w:szCs w:val="15"/>
                <w:color w:val="auto"/>
              </w:rPr>
              <w:t>returns</w:t>
            </w: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rPr>
              <w:t>Added an absolute TSR metric to 2023 LTI performance-based awards</w:t>
            </w:r>
          </w:p>
        </w:tc>
      </w:tr>
      <w:tr>
        <w:trPr>
          <w:trHeight w:val="273"/>
        </w:trPr>
        <w:tc>
          <w:tcPr>
            <w:tcW w:w="5420" w:type="dxa"/>
            <w:vAlign w:val="bottom"/>
            <w:shd w:val="clear" w:color="auto" w:fill="E2E0DE"/>
          </w:tcPr>
          <w:p>
            <w:pPr>
              <w:ind w:left="80"/>
              <w:spacing w:after="0"/>
              <w:rPr>
                <w:sz w:val="20"/>
                <w:szCs w:val="20"/>
                <w:color w:val="auto"/>
              </w:rPr>
            </w:pPr>
            <w:r>
              <w:rPr>
                <w:rFonts w:ascii="Arial" w:cs="Arial" w:eastAsia="Arial" w:hAnsi="Arial"/>
                <w:sz w:val="15"/>
                <w:szCs w:val="15"/>
                <w:color w:val="auto"/>
              </w:rPr>
              <w:t>Concern that 1, 2 and 3 year LTI performance periods are overlapping</w:t>
            </w: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rPr>
              <w:t>Added 3-yr cliff vesting to 2023 LTI awards</w:t>
            </w:r>
          </w:p>
        </w:tc>
      </w:tr>
      <w:tr>
        <w:trPr>
          <w:trHeight w:val="273"/>
        </w:trPr>
        <w:tc>
          <w:tcPr>
            <w:tcW w:w="5420" w:type="dxa"/>
            <w:vAlign w:val="bottom"/>
            <w:shd w:val="clear" w:color="auto" w:fill="E2E0DE"/>
          </w:tcPr>
          <w:p>
            <w:pPr>
              <w:ind w:left="80"/>
              <w:spacing w:after="0"/>
              <w:rPr>
                <w:sz w:val="20"/>
                <w:szCs w:val="20"/>
                <w:color w:val="auto"/>
              </w:rPr>
            </w:pPr>
            <w:r>
              <w:rPr>
                <w:rFonts w:ascii="Arial" w:cs="Arial" w:eastAsia="Arial" w:hAnsi="Arial"/>
                <w:sz w:val="15"/>
                <w:szCs w:val="15"/>
                <w:color w:val="auto"/>
              </w:rPr>
              <w:t>Retain a relative measure in LTI awards</w:t>
            </w: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rPr>
              <w:t>Retained Las Vegas relative Fair Share metrics for 2023 LTI awards</w:t>
            </w:r>
          </w:p>
        </w:tc>
      </w:tr>
      <w:tr>
        <w:trPr>
          <w:trHeight w:val="273"/>
        </w:trPr>
        <w:tc>
          <w:tcPr>
            <w:tcW w:w="5420" w:type="dxa"/>
            <w:vAlign w:val="bottom"/>
            <w:shd w:val="clear" w:color="auto" w:fill="E2E0DE"/>
          </w:tcPr>
          <w:p>
            <w:pPr>
              <w:ind w:left="80"/>
              <w:spacing w:after="0"/>
              <w:rPr>
                <w:sz w:val="20"/>
                <w:szCs w:val="20"/>
                <w:color w:val="auto"/>
              </w:rPr>
            </w:pPr>
            <w:r>
              <w:rPr>
                <w:rFonts w:ascii="Arial" w:cs="Arial" w:eastAsia="Arial" w:hAnsi="Arial"/>
                <w:sz w:val="15"/>
                <w:szCs w:val="15"/>
                <w:color w:val="auto"/>
              </w:rPr>
              <w:t>No clawback policy</w:t>
            </w: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rPr>
              <w:t>Clawback policy adopted ahead of NASDAQ rule being issued</w:t>
            </w:r>
          </w:p>
        </w:tc>
      </w:tr>
      <w:tr>
        <w:trPr>
          <w:trHeight w:val="252"/>
        </w:trPr>
        <w:tc>
          <w:tcPr>
            <w:tcW w:w="5420" w:type="dxa"/>
            <w:vAlign w:val="bottom"/>
            <w:shd w:val="clear" w:color="auto" w:fill="E2E0DE"/>
          </w:tcPr>
          <w:p>
            <w:pPr>
              <w:ind w:left="80"/>
              <w:spacing w:after="0"/>
              <w:rPr>
                <w:sz w:val="20"/>
                <w:szCs w:val="20"/>
                <w:color w:val="auto"/>
              </w:rPr>
            </w:pPr>
            <w:r>
              <w:rPr>
                <w:rFonts w:ascii="Arial" w:cs="Arial" w:eastAsia="Arial" w:hAnsi="Arial"/>
                <w:sz w:val="15"/>
                <w:szCs w:val="15"/>
                <w:color w:val="auto"/>
              </w:rPr>
              <w:t>New CEO’s signing grant lacked performance hurdles, base pay higher than</w:t>
            </w: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rPr>
              <w:t>Internal promotion of CEO a best practice; signing grant aligned pay with</w:t>
            </w:r>
          </w:p>
        </w:tc>
      </w:tr>
      <w:tr>
        <w:trPr>
          <w:trHeight w:val="156"/>
        </w:trPr>
        <w:tc>
          <w:tcPr>
            <w:tcW w:w="5420" w:type="dxa"/>
            <w:vAlign w:val="bottom"/>
            <w:shd w:val="clear" w:color="auto" w:fill="E2E0DE"/>
          </w:tcPr>
          <w:p>
            <w:pPr>
              <w:ind w:left="80"/>
              <w:spacing w:after="0" w:line="156" w:lineRule="exact"/>
              <w:rPr>
                <w:sz w:val="20"/>
                <w:szCs w:val="20"/>
                <w:color w:val="auto"/>
              </w:rPr>
            </w:pPr>
            <w:r>
              <w:rPr>
                <w:rFonts w:ascii="Arial" w:cs="Arial" w:eastAsia="Arial" w:hAnsi="Arial"/>
                <w:sz w:val="15"/>
                <w:szCs w:val="15"/>
                <w:color w:val="auto"/>
              </w:rPr>
              <w:t>some peers</w:t>
            </w:r>
          </w:p>
        </w:tc>
        <w:tc>
          <w:tcPr>
            <w:tcW w:w="5200" w:type="dxa"/>
            <w:vAlign w:val="bottom"/>
            <w:shd w:val="clear" w:color="auto" w:fill="E2E0DE"/>
          </w:tcPr>
          <w:p>
            <w:pPr>
              <w:ind w:left="100"/>
              <w:spacing w:after="0" w:line="156" w:lineRule="exact"/>
              <w:rPr>
                <w:sz w:val="20"/>
                <w:szCs w:val="20"/>
                <w:color w:val="auto"/>
              </w:rPr>
            </w:pPr>
            <w:r>
              <w:rPr>
                <w:rFonts w:ascii="Arial" w:cs="Arial" w:eastAsia="Arial" w:hAnsi="Arial"/>
                <w:sz w:val="15"/>
                <w:szCs w:val="15"/>
                <w:color w:val="auto"/>
                <w:w w:val="99"/>
              </w:rPr>
              <w:t>external comps particularly for a sought-after executive; CEO total pay below</w:t>
            </w:r>
          </w:p>
        </w:tc>
      </w:tr>
      <w:tr>
        <w:trPr>
          <w:trHeight w:val="177"/>
        </w:trPr>
        <w:tc>
          <w:tcPr>
            <w:tcW w:w="5420" w:type="dxa"/>
            <w:vAlign w:val="bottom"/>
            <w:shd w:val="clear" w:color="auto" w:fill="E2E0DE"/>
          </w:tcPr>
          <w:p>
            <w:pPr>
              <w:spacing w:after="0"/>
              <w:rPr>
                <w:sz w:val="15"/>
                <w:szCs w:val="15"/>
                <w:color w:val="auto"/>
              </w:rPr>
            </w:pP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rPr>
              <w:t>the 25th percentile of peer group</w:t>
            </w:r>
          </w:p>
        </w:tc>
      </w:tr>
      <w:tr>
        <w:trPr>
          <w:trHeight w:val="252"/>
        </w:trPr>
        <w:tc>
          <w:tcPr>
            <w:tcW w:w="5420" w:type="dxa"/>
            <w:vAlign w:val="bottom"/>
            <w:shd w:val="clear" w:color="auto" w:fill="E2E0DE"/>
          </w:tcPr>
          <w:p>
            <w:pPr>
              <w:ind w:left="80"/>
              <w:spacing w:after="0"/>
              <w:rPr>
                <w:sz w:val="20"/>
                <w:szCs w:val="20"/>
                <w:color w:val="auto"/>
              </w:rPr>
            </w:pPr>
            <w:r>
              <w:rPr>
                <w:rFonts w:ascii="Arial" w:cs="Arial" w:eastAsia="Arial" w:hAnsi="Arial"/>
                <w:sz w:val="15"/>
                <w:szCs w:val="15"/>
                <w:color w:val="auto"/>
              </w:rPr>
              <w:t>Related vocabulary for short-term incentive (“STI”) and LTI metrics raises</w:t>
            </w: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rPr>
              <w:t>Enhanced disclosure showing STI and LTI metrics are distinct and don’t</w:t>
            </w:r>
          </w:p>
        </w:tc>
      </w:tr>
      <w:tr>
        <w:trPr>
          <w:trHeight w:val="177"/>
        </w:trPr>
        <w:tc>
          <w:tcPr>
            <w:tcW w:w="5420" w:type="dxa"/>
            <w:vAlign w:val="bottom"/>
            <w:shd w:val="clear" w:color="auto" w:fill="E2E0DE"/>
          </w:tcPr>
          <w:p>
            <w:pPr>
              <w:ind w:left="80"/>
              <w:spacing w:after="0"/>
              <w:rPr>
                <w:sz w:val="20"/>
                <w:szCs w:val="20"/>
                <w:color w:val="auto"/>
              </w:rPr>
            </w:pPr>
            <w:r>
              <w:rPr>
                <w:rFonts w:ascii="Arial" w:cs="Arial" w:eastAsia="Arial" w:hAnsi="Arial"/>
                <w:sz w:val="15"/>
                <w:szCs w:val="15"/>
                <w:color w:val="auto"/>
              </w:rPr>
              <w:t>questions of double dipping</w:t>
            </w: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rPr>
              <w:t>overlap</w:t>
            </w:r>
          </w:p>
        </w:tc>
      </w:tr>
      <w:tr>
        <w:trPr>
          <w:trHeight w:val="252"/>
        </w:trPr>
        <w:tc>
          <w:tcPr>
            <w:tcW w:w="5420" w:type="dxa"/>
            <w:vAlign w:val="bottom"/>
            <w:shd w:val="clear" w:color="auto" w:fill="E2E0DE"/>
          </w:tcPr>
          <w:p>
            <w:pPr>
              <w:ind w:left="80"/>
              <w:spacing w:after="0"/>
              <w:rPr>
                <w:sz w:val="20"/>
                <w:szCs w:val="20"/>
                <w:color w:val="auto"/>
              </w:rPr>
            </w:pPr>
            <w:r>
              <w:rPr>
                <w:rFonts w:ascii="Arial" w:cs="Arial" w:eastAsia="Arial" w:hAnsi="Arial"/>
                <w:sz w:val="15"/>
                <w:szCs w:val="15"/>
                <w:color w:val="auto"/>
              </w:rPr>
              <w:t>More clarity on STI metrics and annual performance goal selections</w:t>
            </w: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rPr>
              <w:t>More clarity provided. Refer to “Compensation discussion and analysis” —</w:t>
            </w:r>
          </w:p>
        </w:tc>
      </w:tr>
      <w:tr>
        <w:trPr>
          <w:trHeight w:val="177"/>
        </w:trPr>
        <w:tc>
          <w:tcPr>
            <w:tcW w:w="5420" w:type="dxa"/>
            <w:vAlign w:val="bottom"/>
            <w:shd w:val="clear" w:color="auto" w:fill="E2E0DE"/>
          </w:tcPr>
          <w:p>
            <w:pPr>
              <w:spacing w:after="0"/>
              <w:rPr>
                <w:sz w:val="15"/>
                <w:szCs w:val="15"/>
                <w:color w:val="auto"/>
              </w:rPr>
            </w:pP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rPr>
              <w:t>“2022 Compensation design &amp; decisions”</w:t>
            </w:r>
          </w:p>
        </w:tc>
      </w:tr>
      <w:tr>
        <w:trPr>
          <w:trHeight w:val="252"/>
        </w:trPr>
        <w:tc>
          <w:tcPr>
            <w:tcW w:w="5420" w:type="dxa"/>
            <w:vAlign w:val="bottom"/>
            <w:shd w:val="clear" w:color="auto" w:fill="E2E0DE"/>
          </w:tcPr>
          <w:p>
            <w:pPr>
              <w:ind w:left="80"/>
              <w:spacing w:after="0"/>
              <w:rPr>
                <w:sz w:val="20"/>
                <w:szCs w:val="20"/>
                <w:color w:val="auto"/>
              </w:rPr>
            </w:pPr>
            <w:r>
              <w:rPr>
                <w:rFonts w:ascii="Arial" w:cs="Arial" w:eastAsia="Arial" w:hAnsi="Arial"/>
                <w:sz w:val="15"/>
                <w:szCs w:val="15"/>
                <w:color w:val="auto"/>
              </w:rPr>
              <w:t>Explain any inconsistencies in goals over time</w:t>
            </w: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rPr>
              <w:t>Improved disclosure on need for temporary adjustments due to pandemic’s</w:t>
            </w:r>
          </w:p>
        </w:tc>
      </w:tr>
      <w:tr>
        <w:trPr>
          <w:trHeight w:val="177"/>
        </w:trPr>
        <w:tc>
          <w:tcPr>
            <w:tcW w:w="5420" w:type="dxa"/>
            <w:vAlign w:val="bottom"/>
            <w:shd w:val="clear" w:color="auto" w:fill="E2E0DE"/>
          </w:tcPr>
          <w:p>
            <w:pPr>
              <w:spacing w:after="0"/>
              <w:rPr>
                <w:sz w:val="15"/>
                <w:szCs w:val="15"/>
                <w:color w:val="auto"/>
              </w:rPr>
            </w:pP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rPr>
              <w:t>exceptional impact, especially in Macau</w:t>
            </w:r>
          </w:p>
        </w:tc>
      </w:tr>
      <w:tr>
        <w:trPr>
          <w:trHeight w:val="252"/>
        </w:trPr>
        <w:tc>
          <w:tcPr>
            <w:tcW w:w="5420" w:type="dxa"/>
            <w:vAlign w:val="bottom"/>
            <w:shd w:val="clear" w:color="auto" w:fill="E2E0DE"/>
          </w:tcPr>
          <w:p>
            <w:pPr>
              <w:ind w:left="80"/>
              <w:spacing w:after="0"/>
              <w:rPr>
                <w:sz w:val="20"/>
                <w:szCs w:val="20"/>
                <w:color w:val="auto"/>
              </w:rPr>
            </w:pPr>
            <w:r>
              <w:rPr>
                <w:rFonts w:ascii="Arial" w:cs="Arial" w:eastAsia="Arial" w:hAnsi="Arial"/>
                <w:sz w:val="15"/>
                <w:szCs w:val="15"/>
                <w:color w:val="auto"/>
              </w:rPr>
              <w:t>More clarity on how achievement level of individual STI metrics contributes to</w:t>
            </w: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rPr>
              <w:t>More clarity provided. Refer to “Compensation discussion and analysis” —</w:t>
            </w:r>
          </w:p>
        </w:tc>
      </w:tr>
      <w:tr>
        <w:trPr>
          <w:trHeight w:val="177"/>
        </w:trPr>
        <w:tc>
          <w:tcPr>
            <w:tcW w:w="5420" w:type="dxa"/>
            <w:vAlign w:val="bottom"/>
            <w:shd w:val="clear" w:color="auto" w:fill="E2E0DE"/>
          </w:tcPr>
          <w:p>
            <w:pPr>
              <w:ind w:left="80"/>
              <w:spacing w:after="0"/>
              <w:rPr>
                <w:sz w:val="20"/>
                <w:szCs w:val="20"/>
                <w:color w:val="auto"/>
              </w:rPr>
            </w:pPr>
            <w:r>
              <w:rPr>
                <w:rFonts w:ascii="Arial" w:cs="Arial" w:eastAsia="Arial" w:hAnsi="Arial"/>
                <w:sz w:val="15"/>
                <w:szCs w:val="15"/>
                <w:color w:val="auto"/>
              </w:rPr>
              <w:t>overall STI award</w:t>
            </w: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rPr>
              <w:t>“2022 Annual incentive payout”</w:t>
            </w:r>
          </w:p>
        </w:tc>
      </w:tr>
      <w:tr>
        <w:trPr>
          <w:trHeight w:val="252"/>
        </w:trPr>
        <w:tc>
          <w:tcPr>
            <w:tcW w:w="5420" w:type="dxa"/>
            <w:vAlign w:val="bottom"/>
            <w:shd w:val="clear" w:color="auto" w:fill="E2E0DE"/>
          </w:tcPr>
          <w:p>
            <w:pPr>
              <w:ind w:left="80"/>
              <w:spacing w:after="0"/>
              <w:rPr>
                <w:sz w:val="20"/>
                <w:szCs w:val="20"/>
                <w:color w:val="auto"/>
              </w:rPr>
            </w:pPr>
            <w:r>
              <w:rPr>
                <w:rFonts w:ascii="Arial" w:cs="Arial" w:eastAsia="Arial" w:hAnsi="Arial"/>
                <w:sz w:val="15"/>
                <w:szCs w:val="15"/>
                <w:color w:val="auto"/>
                <w:w w:val="99"/>
              </w:rPr>
              <w:t>Provide detailed disclosure in new Say-on-Pay table; conflicting views offered on</w:t>
            </w: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rPr>
              <w:t>New table in its own section; footnotes provided</w:t>
            </w:r>
          </w:p>
        </w:tc>
      </w:tr>
      <w:tr>
        <w:trPr>
          <w:trHeight w:val="177"/>
        </w:trPr>
        <w:tc>
          <w:tcPr>
            <w:tcW w:w="5420" w:type="dxa"/>
            <w:vAlign w:val="bottom"/>
            <w:shd w:val="clear" w:color="auto" w:fill="E2E0DE"/>
          </w:tcPr>
          <w:p>
            <w:pPr>
              <w:ind w:left="80"/>
              <w:spacing w:after="0"/>
              <w:rPr>
                <w:sz w:val="20"/>
                <w:szCs w:val="20"/>
                <w:color w:val="auto"/>
              </w:rPr>
            </w:pPr>
            <w:r>
              <w:rPr>
                <w:rFonts w:ascii="Arial" w:cs="Arial" w:eastAsia="Arial" w:hAnsi="Arial"/>
                <w:sz w:val="15"/>
                <w:szCs w:val="15"/>
                <w:color w:val="auto"/>
              </w:rPr>
              <w:t>whether detailed footnotes are desirable</w:t>
            </w:r>
          </w:p>
        </w:tc>
        <w:tc>
          <w:tcPr>
            <w:tcW w:w="5200" w:type="dxa"/>
            <w:vAlign w:val="bottom"/>
            <w:shd w:val="clear" w:color="auto" w:fill="E2E0DE"/>
          </w:tcPr>
          <w:p>
            <w:pPr>
              <w:spacing w:after="0"/>
              <w:rPr>
                <w:sz w:val="15"/>
                <w:szCs w:val="15"/>
                <w:color w:val="auto"/>
              </w:rPr>
            </w:pPr>
          </w:p>
        </w:tc>
      </w:tr>
      <w:tr>
        <w:trPr>
          <w:trHeight w:val="252"/>
        </w:trPr>
        <w:tc>
          <w:tcPr>
            <w:tcW w:w="5420" w:type="dxa"/>
            <w:vAlign w:val="bottom"/>
            <w:shd w:val="clear" w:color="auto" w:fill="E2E0DE"/>
          </w:tcPr>
          <w:p>
            <w:pPr>
              <w:ind w:left="80"/>
              <w:spacing w:after="0"/>
              <w:rPr>
                <w:sz w:val="20"/>
                <w:szCs w:val="20"/>
                <w:color w:val="auto"/>
              </w:rPr>
            </w:pPr>
            <w:r>
              <w:rPr>
                <w:rFonts w:ascii="Arial" w:cs="Arial" w:eastAsia="Arial" w:hAnsi="Arial"/>
                <w:sz w:val="15"/>
                <w:szCs w:val="15"/>
                <w:color w:val="auto"/>
              </w:rPr>
              <w:t>Lack of disclosure surrounding transition payments to former CEO</w:t>
            </w: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w w:val="98"/>
              </w:rPr>
              <w:t>Filed a DEFA14A on April 25, 2022 clarifying that to ensure a successful CEO</w:t>
            </w:r>
          </w:p>
        </w:tc>
      </w:tr>
      <w:tr>
        <w:trPr>
          <w:trHeight w:val="156"/>
        </w:trPr>
        <w:tc>
          <w:tcPr>
            <w:tcW w:w="5420" w:type="dxa"/>
            <w:vAlign w:val="bottom"/>
            <w:shd w:val="clear" w:color="auto" w:fill="E2E0DE"/>
          </w:tcPr>
          <w:p>
            <w:pPr>
              <w:spacing w:after="0"/>
              <w:rPr>
                <w:sz w:val="13"/>
                <w:szCs w:val="13"/>
                <w:color w:val="auto"/>
              </w:rPr>
            </w:pPr>
          </w:p>
        </w:tc>
        <w:tc>
          <w:tcPr>
            <w:tcW w:w="5200" w:type="dxa"/>
            <w:vAlign w:val="bottom"/>
            <w:shd w:val="clear" w:color="auto" w:fill="E2E0DE"/>
          </w:tcPr>
          <w:p>
            <w:pPr>
              <w:ind w:left="100"/>
              <w:spacing w:after="0" w:line="156" w:lineRule="exact"/>
              <w:rPr>
                <w:sz w:val="20"/>
                <w:szCs w:val="20"/>
                <w:color w:val="auto"/>
              </w:rPr>
            </w:pPr>
            <w:r>
              <w:rPr>
                <w:rFonts w:ascii="Arial" w:cs="Arial" w:eastAsia="Arial" w:hAnsi="Arial"/>
                <w:sz w:val="15"/>
                <w:szCs w:val="15"/>
                <w:color w:val="auto"/>
                <w:w w:val="99"/>
              </w:rPr>
              <w:t>transition, the Company entered into a transition agreement with the outgoing</w:t>
            </w:r>
          </w:p>
        </w:tc>
      </w:tr>
      <w:tr>
        <w:trPr>
          <w:trHeight w:val="156"/>
        </w:trPr>
        <w:tc>
          <w:tcPr>
            <w:tcW w:w="5420" w:type="dxa"/>
            <w:vAlign w:val="bottom"/>
            <w:shd w:val="clear" w:color="auto" w:fill="E2E0DE"/>
          </w:tcPr>
          <w:p>
            <w:pPr>
              <w:spacing w:after="0"/>
              <w:rPr>
                <w:sz w:val="13"/>
                <w:szCs w:val="13"/>
                <w:color w:val="auto"/>
              </w:rPr>
            </w:pPr>
          </w:p>
        </w:tc>
        <w:tc>
          <w:tcPr>
            <w:tcW w:w="5200" w:type="dxa"/>
            <w:vAlign w:val="bottom"/>
            <w:shd w:val="clear" w:color="auto" w:fill="E2E0DE"/>
          </w:tcPr>
          <w:p>
            <w:pPr>
              <w:ind w:left="100"/>
              <w:spacing w:after="0" w:line="156" w:lineRule="exact"/>
              <w:rPr>
                <w:sz w:val="20"/>
                <w:szCs w:val="20"/>
                <w:color w:val="auto"/>
              </w:rPr>
            </w:pPr>
            <w:r>
              <w:rPr>
                <w:rFonts w:ascii="Arial" w:cs="Arial" w:eastAsia="Arial" w:hAnsi="Arial"/>
                <w:sz w:val="15"/>
                <w:szCs w:val="15"/>
                <w:color w:val="auto"/>
              </w:rPr>
              <w:t>CEO which did not include any incremental benefits or compensation, nor</w:t>
            </w:r>
          </w:p>
        </w:tc>
      </w:tr>
      <w:tr>
        <w:trPr>
          <w:trHeight w:val="177"/>
        </w:trPr>
        <w:tc>
          <w:tcPr>
            <w:tcW w:w="5420" w:type="dxa"/>
            <w:vAlign w:val="bottom"/>
            <w:shd w:val="clear" w:color="auto" w:fill="E2E0DE"/>
          </w:tcPr>
          <w:p>
            <w:pPr>
              <w:spacing w:after="0"/>
              <w:rPr>
                <w:sz w:val="15"/>
                <w:szCs w:val="15"/>
                <w:color w:val="auto"/>
              </w:rPr>
            </w:pPr>
          </w:p>
        </w:tc>
        <w:tc>
          <w:tcPr>
            <w:tcW w:w="5200" w:type="dxa"/>
            <w:vAlign w:val="bottom"/>
            <w:shd w:val="clear" w:color="auto" w:fill="E2E0DE"/>
          </w:tcPr>
          <w:p>
            <w:pPr>
              <w:ind w:left="100"/>
              <w:spacing w:after="0"/>
              <w:rPr>
                <w:sz w:val="20"/>
                <w:szCs w:val="20"/>
                <w:color w:val="auto"/>
              </w:rPr>
            </w:pPr>
            <w:r>
              <w:rPr>
                <w:rFonts w:ascii="Arial" w:cs="Arial" w:eastAsia="Arial" w:hAnsi="Arial"/>
                <w:sz w:val="15"/>
                <w:szCs w:val="15"/>
                <w:color w:val="auto"/>
              </w:rPr>
              <w:t>vesting of equity, beyond the separation terms in his employment agreement</w:t>
            </w:r>
          </w:p>
        </w:tc>
      </w:tr>
      <w:tr>
        <w:trPr>
          <w:trHeight w:val="47"/>
        </w:trPr>
        <w:tc>
          <w:tcPr>
            <w:tcW w:w="5420" w:type="dxa"/>
            <w:vAlign w:val="bottom"/>
            <w:shd w:val="clear" w:color="auto" w:fill="E2E0DE"/>
          </w:tcPr>
          <w:p>
            <w:pPr>
              <w:spacing w:after="0"/>
              <w:rPr>
                <w:sz w:val="4"/>
                <w:szCs w:val="4"/>
                <w:color w:val="auto"/>
              </w:rPr>
            </w:pPr>
          </w:p>
        </w:tc>
        <w:tc>
          <w:tcPr>
            <w:tcW w:w="5200" w:type="dxa"/>
            <w:vAlign w:val="bottom"/>
            <w:shd w:val="clear" w:color="auto" w:fill="E2E0DE"/>
          </w:tcPr>
          <w:p>
            <w:pPr>
              <w:spacing w:after="0"/>
              <w:rPr>
                <w:sz w:val="4"/>
                <w:szCs w:val="4"/>
                <w:color w:val="auto"/>
              </w:rPr>
            </w:pPr>
          </w:p>
        </w:tc>
      </w:tr>
    </w:tbl>
    <w:p>
      <w:pPr>
        <w:spacing w:after="0" w:line="181" w:lineRule="exact"/>
        <w:rPr>
          <w:sz w:val="20"/>
          <w:szCs w:val="20"/>
          <w:color w:val="auto"/>
        </w:rPr>
      </w:pPr>
    </w:p>
    <w:p>
      <w:pPr>
        <w:ind w:left="320" w:right="60"/>
        <w:spacing w:after="0" w:line="248" w:lineRule="auto"/>
        <w:rPr>
          <w:sz w:val="20"/>
          <w:szCs w:val="20"/>
          <w:color w:val="auto"/>
        </w:rPr>
      </w:pPr>
      <w:r>
        <w:rPr>
          <w:rFonts w:ascii="Arial" w:cs="Arial" w:eastAsia="Arial" w:hAnsi="Arial"/>
          <w:sz w:val="17"/>
          <w:szCs w:val="17"/>
          <w:color w:val="auto"/>
        </w:rPr>
        <w:t>In addition, our Board’s response to our 2022 Say on Pay vote is described in greater depth in “Compensation discussion and analysis” — “Shareholder engagement &amp; response to the 2022 Say-on-Pay vote.”</w:t>
      </w:r>
    </w:p>
    <w:p>
      <w:pPr>
        <w:ind w:left="320"/>
        <w:spacing w:after="0"/>
        <w:tabs>
          <w:tab w:leader="none" w:pos="554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5"/>
          <w:szCs w:val="25"/>
          <w:color w:val="auto"/>
          <w:vertAlign w:val="subscript"/>
        </w:rPr>
        <w:t>// 2 //</w:t>
      </w:r>
    </w:p>
    <w:p>
      <w:pPr>
        <w:sectPr>
          <w:pgSz w:w="11900" w:h="16838" w:orient="portrait"/>
          <w:cols w:equalWidth="0" w:num="1">
            <w:col w:w="10940"/>
          </w:cols>
          <w:pgMar w:left="320" w:top="473" w:right="6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Governance</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B3AB9D"/>
        </w:rPr>
        <w:t>WHO WE ARE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B3AB9D"/>
        </w:rPr>
        <w:t>DIRECTOR SKILLS AND EXPERIENCE</w:t>
      </w:r>
    </w:p>
    <w:p>
      <w:pPr>
        <w:spacing w:after="0" w:line="175" w:lineRule="exact"/>
        <w:rPr>
          <w:sz w:val="20"/>
          <w:szCs w:val="20"/>
          <w:color w:val="auto"/>
        </w:rPr>
      </w:pPr>
    </w:p>
    <w:p>
      <w:pPr>
        <w:ind w:left="320" w:right="40"/>
        <w:spacing w:after="0" w:line="243" w:lineRule="auto"/>
        <w:rPr>
          <w:sz w:val="20"/>
          <w:szCs w:val="20"/>
          <w:color w:val="auto"/>
        </w:rPr>
      </w:pPr>
      <w:r>
        <w:rPr>
          <w:rFonts w:ascii="Arial" w:cs="Arial" w:eastAsia="Arial" w:hAnsi="Arial"/>
          <w:sz w:val="17"/>
          <w:szCs w:val="17"/>
          <w:color w:val="auto"/>
        </w:rPr>
        <w:t>The table below and the director biographies below highlight the key skills and experiences that our directors have developed through education, direct experience and oversight responsibilities. We believe these collective qualities, skills, experiences and attributes are essential to the Board’s ability to exercise its risk oversight function and to guide us to long-term, sustainable performance. If an individual director is not listed as having a particular attribute, it does not signify a director’s lack of ability to contribute in that specific area. Rather, it is intended to depict notable areas of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6396355</wp:posOffset>
            </wp:positionH>
            <wp:positionV relativeFrom="paragraph">
              <wp:posOffset>140335</wp:posOffset>
            </wp:positionV>
            <wp:extent cx="8255" cy="18586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1858645"/>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140335</wp:posOffset>
            </wp:positionV>
            <wp:extent cx="8255" cy="18586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185864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140335</wp:posOffset>
            </wp:positionV>
            <wp:extent cx="8255" cy="1858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18586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140335</wp:posOffset>
            </wp:positionV>
            <wp:extent cx="8255" cy="1858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1858645"/>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140335</wp:posOffset>
            </wp:positionV>
            <wp:extent cx="8255" cy="1858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185864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140335</wp:posOffset>
            </wp:positionV>
            <wp:extent cx="8255" cy="18586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18586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140335</wp:posOffset>
            </wp:positionV>
            <wp:extent cx="8255" cy="18586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185864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140335</wp:posOffset>
            </wp:positionV>
            <wp:extent cx="8255" cy="1858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1858645"/>
                    </a:xfrm>
                    <a:prstGeom prst="rect">
                      <a:avLst/>
                    </a:prstGeom>
                    <a:noFill/>
                  </pic:spPr>
                </pic:pic>
              </a:graphicData>
            </a:graphic>
          </wp:anchor>
        </w:drawing>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4660" w:type="dxa"/>
            <w:vAlign w:val="bottom"/>
            <w:shd w:val="clear" w:color="auto" w:fill="71655E"/>
          </w:tcPr>
          <w:p>
            <w:pPr>
              <w:spacing w:after="0"/>
              <w:rPr>
                <w:sz w:val="14"/>
                <w:szCs w:val="14"/>
                <w:color w:val="auto"/>
              </w:rPr>
            </w:pPr>
          </w:p>
        </w:tc>
        <w:tc>
          <w:tcPr>
            <w:tcW w:w="740" w:type="dxa"/>
            <w:vAlign w:val="bottom"/>
            <w:shd w:val="clear" w:color="auto" w:fill="71655E"/>
          </w:tcPr>
          <w:p>
            <w:pPr>
              <w:ind w:left="160"/>
              <w:spacing w:after="0"/>
              <w:rPr>
                <w:sz w:val="20"/>
                <w:szCs w:val="20"/>
                <w:color w:val="auto"/>
              </w:rPr>
            </w:pPr>
            <w:r>
              <w:rPr>
                <w:rFonts w:ascii="Arial" w:cs="Arial" w:eastAsia="Arial" w:hAnsi="Arial"/>
                <w:sz w:val="10"/>
                <w:szCs w:val="10"/>
                <w:b w:val="1"/>
                <w:bCs w:val="1"/>
                <w:color w:val="FFFFFF"/>
              </w:rPr>
              <w:t>BETSY S.</w:t>
            </w:r>
          </w:p>
        </w:tc>
        <w:tc>
          <w:tcPr>
            <w:tcW w:w="680" w:type="dxa"/>
            <w:vAlign w:val="bottom"/>
            <w:shd w:val="clear" w:color="auto" w:fill="71655E"/>
          </w:tcPr>
          <w:p>
            <w:pPr>
              <w:ind w:left="100"/>
              <w:spacing w:after="0"/>
              <w:rPr>
                <w:sz w:val="20"/>
                <w:szCs w:val="20"/>
                <w:color w:val="auto"/>
              </w:rPr>
            </w:pPr>
            <w:r>
              <w:rPr>
                <w:rFonts w:ascii="Arial" w:cs="Arial" w:eastAsia="Arial" w:hAnsi="Arial"/>
                <w:sz w:val="10"/>
                <w:szCs w:val="10"/>
                <w:b w:val="1"/>
                <w:bCs w:val="1"/>
                <w:color w:val="FFFFFF"/>
              </w:rPr>
              <w:t>CRAIG S.</w:t>
            </w:r>
          </w:p>
        </w:tc>
        <w:tc>
          <w:tcPr>
            <w:tcW w:w="780" w:type="dxa"/>
            <w:vAlign w:val="bottom"/>
            <w:shd w:val="clear" w:color="auto" w:fill="71655E"/>
          </w:tcPr>
          <w:p>
            <w:pPr>
              <w:ind w:left="80"/>
              <w:spacing w:after="0"/>
              <w:rPr>
                <w:sz w:val="20"/>
                <w:szCs w:val="20"/>
                <w:color w:val="auto"/>
              </w:rPr>
            </w:pPr>
            <w:r>
              <w:rPr>
                <w:rFonts w:ascii="Arial" w:cs="Arial" w:eastAsia="Arial" w:hAnsi="Arial"/>
                <w:sz w:val="10"/>
                <w:szCs w:val="10"/>
                <w:b w:val="1"/>
                <w:bCs w:val="1"/>
                <w:color w:val="FFFFFF"/>
              </w:rPr>
              <w:t>RICHARD J.</w:t>
            </w:r>
          </w:p>
        </w:tc>
        <w:tc>
          <w:tcPr>
            <w:tcW w:w="660" w:type="dxa"/>
            <w:vAlign w:val="bottom"/>
            <w:shd w:val="clear" w:color="auto" w:fill="71655E"/>
          </w:tcPr>
          <w:p>
            <w:pPr>
              <w:ind w:left="100"/>
              <w:spacing w:after="0"/>
              <w:rPr>
                <w:sz w:val="20"/>
                <w:szCs w:val="20"/>
                <w:color w:val="auto"/>
              </w:rPr>
            </w:pPr>
            <w:r>
              <w:rPr>
                <w:rFonts w:ascii="Arial" w:cs="Arial" w:eastAsia="Arial" w:hAnsi="Arial"/>
                <w:sz w:val="10"/>
                <w:szCs w:val="10"/>
                <w:b w:val="1"/>
                <w:bCs w:val="1"/>
                <w:color w:val="FFFFFF"/>
              </w:rPr>
              <w:t>PATRICIA</w:t>
            </w:r>
          </w:p>
        </w:tc>
        <w:tc>
          <w:tcPr>
            <w:tcW w:w="800" w:type="dxa"/>
            <w:vAlign w:val="bottom"/>
            <w:shd w:val="clear" w:color="auto" w:fill="71655E"/>
          </w:tcPr>
          <w:p>
            <w:pPr>
              <w:ind w:left="100"/>
              <w:spacing w:after="0"/>
              <w:rPr>
                <w:sz w:val="20"/>
                <w:szCs w:val="20"/>
                <w:color w:val="auto"/>
              </w:rPr>
            </w:pPr>
            <w:r>
              <w:rPr>
                <w:rFonts w:ascii="Arial" w:cs="Arial" w:eastAsia="Arial" w:hAnsi="Arial"/>
                <w:sz w:val="10"/>
                <w:szCs w:val="10"/>
                <w:b w:val="1"/>
                <w:bCs w:val="1"/>
                <w:color w:val="FFFFFF"/>
              </w:rPr>
              <w:t>MARGARET</w:t>
            </w:r>
          </w:p>
        </w:tc>
        <w:tc>
          <w:tcPr>
            <w:tcW w:w="660" w:type="dxa"/>
            <w:vAlign w:val="bottom"/>
            <w:shd w:val="clear" w:color="auto" w:fill="71655E"/>
          </w:tcPr>
          <w:p>
            <w:pPr>
              <w:ind w:left="100"/>
              <w:spacing w:after="0"/>
              <w:rPr>
                <w:sz w:val="20"/>
                <w:szCs w:val="20"/>
                <w:color w:val="auto"/>
              </w:rPr>
            </w:pPr>
            <w:r>
              <w:rPr>
                <w:rFonts w:ascii="Arial" w:cs="Arial" w:eastAsia="Arial" w:hAnsi="Arial"/>
                <w:sz w:val="10"/>
                <w:szCs w:val="10"/>
                <w:b w:val="1"/>
                <w:bCs w:val="1"/>
                <w:color w:val="FFFFFF"/>
              </w:rPr>
              <w:t>PHILIP G.</w:t>
            </w:r>
          </w:p>
        </w:tc>
        <w:tc>
          <w:tcPr>
            <w:tcW w:w="840" w:type="dxa"/>
            <w:vAlign w:val="bottom"/>
            <w:shd w:val="clear" w:color="auto" w:fill="71655E"/>
          </w:tcPr>
          <w:p>
            <w:pPr>
              <w:jc w:val="center"/>
              <w:spacing w:after="0"/>
              <w:rPr>
                <w:sz w:val="20"/>
                <w:szCs w:val="20"/>
                <w:color w:val="auto"/>
              </w:rPr>
            </w:pPr>
            <w:r>
              <w:rPr>
                <w:rFonts w:ascii="Arial" w:cs="Arial" w:eastAsia="Arial" w:hAnsi="Arial"/>
                <w:sz w:val="10"/>
                <w:szCs w:val="10"/>
                <w:b w:val="1"/>
                <w:bCs w:val="1"/>
                <w:color w:val="FFFFFF"/>
              </w:rPr>
              <w:t>DARNELL O.</w:t>
            </w:r>
          </w:p>
        </w:tc>
        <w:tc>
          <w:tcPr>
            <w:tcW w:w="800" w:type="dxa"/>
            <w:vAlign w:val="bottom"/>
            <w:shd w:val="clear" w:color="auto" w:fill="71655E"/>
          </w:tcPr>
          <w:p>
            <w:pPr>
              <w:ind w:left="100"/>
              <w:spacing w:after="0"/>
              <w:rPr>
                <w:sz w:val="20"/>
                <w:szCs w:val="20"/>
                <w:color w:val="auto"/>
              </w:rPr>
            </w:pPr>
            <w:r>
              <w:rPr>
                <w:rFonts w:ascii="Arial" w:cs="Arial" w:eastAsia="Arial" w:hAnsi="Arial"/>
                <w:sz w:val="10"/>
                <w:szCs w:val="10"/>
                <w:b w:val="1"/>
                <w:bCs w:val="1"/>
                <w:color w:val="FFFFFF"/>
              </w:rPr>
              <w:t>WINIFRED M.</w:t>
            </w:r>
          </w:p>
        </w:tc>
      </w:tr>
      <w:tr>
        <w:trPr>
          <w:trHeight w:val="164"/>
        </w:trPr>
        <w:tc>
          <w:tcPr>
            <w:tcW w:w="4660" w:type="dxa"/>
            <w:vAlign w:val="bottom"/>
            <w:tcBorders>
              <w:bottom w:val="single" w:sz="8" w:color="71655E"/>
            </w:tcBorders>
            <w:shd w:val="clear" w:color="auto" w:fill="71655E"/>
          </w:tcPr>
          <w:p>
            <w:pPr>
              <w:spacing w:after="0"/>
              <w:rPr>
                <w:sz w:val="14"/>
                <w:szCs w:val="14"/>
                <w:color w:val="auto"/>
              </w:rPr>
            </w:pPr>
          </w:p>
        </w:tc>
        <w:tc>
          <w:tcPr>
            <w:tcW w:w="740" w:type="dxa"/>
            <w:vAlign w:val="bottom"/>
            <w:tcBorders>
              <w:bottom w:val="single" w:sz="8" w:color="71655E"/>
            </w:tcBorders>
            <w:shd w:val="clear" w:color="auto" w:fill="71655E"/>
          </w:tcPr>
          <w:p>
            <w:pPr>
              <w:ind w:left="220"/>
              <w:spacing w:after="0"/>
              <w:rPr>
                <w:sz w:val="20"/>
                <w:szCs w:val="20"/>
                <w:color w:val="auto"/>
              </w:rPr>
            </w:pPr>
            <w:r>
              <w:rPr>
                <w:rFonts w:ascii="Arial" w:cs="Arial" w:eastAsia="Arial" w:hAnsi="Arial"/>
                <w:sz w:val="10"/>
                <w:szCs w:val="10"/>
                <w:b w:val="1"/>
                <w:bCs w:val="1"/>
                <w:color w:val="FFFFFF"/>
              </w:rPr>
              <w:t>ATKINS</w:t>
            </w:r>
          </w:p>
        </w:tc>
        <w:tc>
          <w:tcPr>
            <w:tcW w:w="680" w:type="dxa"/>
            <w:vAlign w:val="bottom"/>
            <w:tcBorders>
              <w:bottom w:val="single" w:sz="8" w:color="71655E"/>
            </w:tcBorders>
            <w:shd w:val="clear" w:color="auto" w:fill="71655E"/>
          </w:tcPr>
          <w:p>
            <w:pPr>
              <w:ind w:left="80"/>
              <w:spacing w:after="0"/>
              <w:rPr>
                <w:sz w:val="20"/>
                <w:szCs w:val="20"/>
                <w:color w:val="auto"/>
              </w:rPr>
            </w:pPr>
            <w:r>
              <w:rPr>
                <w:rFonts w:ascii="Arial" w:cs="Arial" w:eastAsia="Arial" w:hAnsi="Arial"/>
                <w:sz w:val="10"/>
                <w:szCs w:val="10"/>
                <w:b w:val="1"/>
                <w:bCs w:val="1"/>
                <w:color w:val="FFFFFF"/>
              </w:rPr>
              <w:t>BILLINGS</w:t>
            </w:r>
          </w:p>
        </w:tc>
        <w:tc>
          <w:tcPr>
            <w:tcW w:w="780" w:type="dxa"/>
            <w:vAlign w:val="bottom"/>
            <w:tcBorders>
              <w:bottom w:val="single" w:sz="8" w:color="71655E"/>
            </w:tcBorders>
            <w:shd w:val="clear" w:color="auto" w:fill="71655E"/>
          </w:tcPr>
          <w:p>
            <w:pPr>
              <w:ind w:left="200"/>
              <w:spacing w:after="0"/>
              <w:rPr>
                <w:sz w:val="20"/>
                <w:szCs w:val="20"/>
                <w:color w:val="auto"/>
              </w:rPr>
            </w:pPr>
            <w:r>
              <w:rPr>
                <w:rFonts w:ascii="Arial" w:cs="Arial" w:eastAsia="Arial" w:hAnsi="Arial"/>
                <w:sz w:val="10"/>
                <w:szCs w:val="10"/>
                <w:b w:val="1"/>
                <w:bCs w:val="1"/>
                <w:color w:val="FFFFFF"/>
              </w:rPr>
              <w:t>BYRNE</w:t>
            </w:r>
          </w:p>
        </w:tc>
        <w:tc>
          <w:tcPr>
            <w:tcW w:w="660" w:type="dxa"/>
            <w:vAlign w:val="bottom"/>
            <w:tcBorders>
              <w:bottom w:val="single" w:sz="8" w:color="71655E"/>
            </w:tcBorders>
            <w:shd w:val="clear" w:color="auto" w:fill="71655E"/>
          </w:tcPr>
          <w:p>
            <w:pPr>
              <w:ind w:left="120"/>
              <w:spacing w:after="0"/>
              <w:rPr>
                <w:sz w:val="20"/>
                <w:szCs w:val="20"/>
                <w:color w:val="auto"/>
              </w:rPr>
            </w:pPr>
            <w:r>
              <w:rPr>
                <w:rFonts w:ascii="Arial" w:cs="Arial" w:eastAsia="Arial" w:hAnsi="Arial"/>
                <w:sz w:val="10"/>
                <w:szCs w:val="10"/>
                <w:b w:val="1"/>
                <w:bCs w:val="1"/>
                <w:color w:val="FFFFFF"/>
              </w:rPr>
              <w:t>MULROY</w:t>
            </w:r>
          </w:p>
        </w:tc>
        <w:tc>
          <w:tcPr>
            <w:tcW w:w="800" w:type="dxa"/>
            <w:vAlign w:val="bottom"/>
            <w:tcBorders>
              <w:bottom w:val="single" w:sz="8" w:color="71655E"/>
            </w:tcBorders>
            <w:shd w:val="clear" w:color="auto" w:fill="71655E"/>
          </w:tcPr>
          <w:p>
            <w:pPr>
              <w:ind w:left="160"/>
              <w:spacing w:after="0"/>
              <w:rPr>
                <w:sz w:val="20"/>
                <w:szCs w:val="20"/>
                <w:color w:val="auto"/>
              </w:rPr>
            </w:pPr>
            <w:r>
              <w:rPr>
                <w:rFonts w:ascii="Arial" w:cs="Arial" w:eastAsia="Arial" w:hAnsi="Arial"/>
                <w:sz w:val="10"/>
                <w:szCs w:val="10"/>
                <w:b w:val="1"/>
                <w:bCs w:val="1"/>
                <w:color w:val="FFFFFF"/>
              </w:rPr>
              <w:t>J. MYERS</w:t>
            </w:r>
          </w:p>
        </w:tc>
        <w:tc>
          <w:tcPr>
            <w:tcW w:w="660" w:type="dxa"/>
            <w:vAlign w:val="bottom"/>
            <w:tcBorders>
              <w:bottom w:val="single" w:sz="8" w:color="71655E"/>
            </w:tcBorders>
            <w:shd w:val="clear" w:color="auto" w:fill="71655E"/>
          </w:tcPr>
          <w:p>
            <w:pPr>
              <w:ind w:left="160"/>
              <w:spacing w:after="0"/>
              <w:rPr>
                <w:sz w:val="20"/>
                <w:szCs w:val="20"/>
                <w:color w:val="auto"/>
              </w:rPr>
            </w:pPr>
            <w:r>
              <w:rPr>
                <w:rFonts w:ascii="Arial" w:cs="Arial" w:eastAsia="Arial" w:hAnsi="Arial"/>
                <w:sz w:val="10"/>
                <w:szCs w:val="10"/>
                <w:b w:val="1"/>
                <w:bCs w:val="1"/>
                <w:color w:val="FFFFFF"/>
              </w:rPr>
              <w:t>SATRE</w:t>
            </w:r>
          </w:p>
        </w:tc>
        <w:tc>
          <w:tcPr>
            <w:tcW w:w="840" w:type="dxa"/>
            <w:vAlign w:val="bottom"/>
            <w:tcBorders>
              <w:bottom w:val="single" w:sz="8" w:color="71655E"/>
            </w:tcBorders>
            <w:shd w:val="clear" w:color="auto" w:fill="71655E"/>
          </w:tcPr>
          <w:p>
            <w:pPr>
              <w:jc w:val="center"/>
              <w:spacing w:after="0"/>
              <w:rPr>
                <w:sz w:val="20"/>
                <w:szCs w:val="20"/>
                <w:color w:val="auto"/>
              </w:rPr>
            </w:pPr>
            <w:r>
              <w:rPr>
                <w:rFonts w:ascii="Arial" w:cs="Arial" w:eastAsia="Arial" w:hAnsi="Arial"/>
                <w:sz w:val="10"/>
                <w:szCs w:val="10"/>
                <w:b w:val="1"/>
                <w:bCs w:val="1"/>
                <w:color w:val="FFFFFF"/>
              </w:rPr>
              <w:t>STROM</w:t>
            </w:r>
          </w:p>
        </w:tc>
        <w:tc>
          <w:tcPr>
            <w:tcW w:w="800" w:type="dxa"/>
            <w:vAlign w:val="bottom"/>
            <w:tcBorders>
              <w:bottom w:val="single" w:sz="8" w:color="71655E"/>
            </w:tcBorders>
            <w:shd w:val="clear" w:color="auto" w:fill="71655E"/>
          </w:tcPr>
          <w:p>
            <w:pPr>
              <w:ind w:left="280"/>
              <w:spacing w:after="0"/>
              <w:rPr>
                <w:sz w:val="20"/>
                <w:szCs w:val="20"/>
                <w:color w:val="auto"/>
              </w:rPr>
            </w:pPr>
            <w:r>
              <w:rPr>
                <w:rFonts w:ascii="Arial" w:cs="Arial" w:eastAsia="Arial" w:hAnsi="Arial"/>
                <w:sz w:val="10"/>
                <w:szCs w:val="10"/>
                <w:b w:val="1"/>
                <w:bCs w:val="1"/>
                <w:color w:val="FFFFFF"/>
              </w:rPr>
              <w:t>WEBB</w:t>
            </w:r>
          </w:p>
        </w:tc>
      </w:tr>
      <w:tr>
        <w:trPr>
          <w:trHeight w:val="222"/>
        </w:trPr>
        <w:tc>
          <w:tcPr>
            <w:tcW w:w="4660" w:type="dxa"/>
            <w:vAlign w:val="bottom"/>
            <w:shd w:val="clear" w:color="auto" w:fill="E2E0DE"/>
          </w:tcPr>
          <w:p>
            <w:pPr>
              <w:ind w:left="100"/>
              <w:spacing w:after="0"/>
              <w:rPr>
                <w:sz w:val="20"/>
                <w:szCs w:val="20"/>
                <w:color w:val="auto"/>
              </w:rPr>
            </w:pPr>
            <w:r>
              <w:rPr>
                <w:rFonts w:ascii="Arial" w:cs="Arial" w:eastAsia="Arial" w:hAnsi="Arial"/>
                <w:sz w:val="14"/>
                <w:szCs w:val="14"/>
                <w:color w:val="auto"/>
              </w:rPr>
              <w:t>Gaming or Other Regulated Industry</w:t>
            </w:r>
          </w:p>
        </w:tc>
        <w:tc>
          <w:tcPr>
            <w:tcW w:w="740" w:type="dxa"/>
            <w:vAlign w:val="bottom"/>
            <w:shd w:val="clear" w:color="auto" w:fill="E2E0DE"/>
          </w:tcPr>
          <w:p>
            <w:pPr>
              <w:ind w:left="340"/>
              <w:spacing w:after="0"/>
              <w:rPr>
                <w:sz w:val="20"/>
                <w:szCs w:val="20"/>
                <w:color w:val="auto"/>
              </w:rPr>
            </w:pPr>
            <w:r>
              <w:rPr>
                <w:rFonts w:ascii="Arial" w:cs="Arial" w:eastAsia="Arial" w:hAnsi="Arial"/>
                <w:sz w:val="14"/>
                <w:szCs w:val="14"/>
                <w:color w:val="auto"/>
              </w:rPr>
              <w:t>X</w:t>
            </w:r>
          </w:p>
        </w:tc>
        <w:tc>
          <w:tcPr>
            <w:tcW w:w="680" w:type="dxa"/>
            <w:vAlign w:val="bottom"/>
            <w:shd w:val="clear" w:color="auto" w:fill="E2E0DE"/>
          </w:tcPr>
          <w:p>
            <w:pPr>
              <w:ind w:left="260"/>
              <w:spacing w:after="0"/>
              <w:rPr>
                <w:sz w:val="20"/>
                <w:szCs w:val="20"/>
                <w:color w:val="auto"/>
              </w:rPr>
            </w:pPr>
            <w:r>
              <w:rPr>
                <w:rFonts w:ascii="Arial" w:cs="Arial" w:eastAsia="Arial" w:hAnsi="Arial"/>
                <w:sz w:val="14"/>
                <w:szCs w:val="14"/>
                <w:color w:val="auto"/>
              </w:rPr>
              <w:t>X</w:t>
            </w:r>
          </w:p>
        </w:tc>
        <w:tc>
          <w:tcPr>
            <w:tcW w:w="780" w:type="dxa"/>
            <w:vAlign w:val="bottom"/>
            <w:shd w:val="clear" w:color="auto" w:fill="E2E0DE"/>
          </w:tcPr>
          <w:p>
            <w:pPr>
              <w:ind w:left="320"/>
              <w:spacing w:after="0"/>
              <w:rPr>
                <w:sz w:val="20"/>
                <w:szCs w:val="20"/>
                <w:color w:val="auto"/>
              </w:rPr>
            </w:pPr>
            <w:r>
              <w:rPr>
                <w:rFonts w:ascii="Arial" w:cs="Arial" w:eastAsia="Arial" w:hAnsi="Arial"/>
                <w:sz w:val="14"/>
                <w:szCs w:val="14"/>
                <w:color w:val="auto"/>
              </w:rPr>
              <w:t>X</w:t>
            </w:r>
          </w:p>
        </w:tc>
        <w:tc>
          <w:tcPr>
            <w:tcW w:w="660" w:type="dxa"/>
            <w:vAlign w:val="bottom"/>
            <w:shd w:val="clear" w:color="auto" w:fill="E2E0DE"/>
          </w:tcPr>
          <w:p>
            <w:pPr>
              <w:ind w:left="260"/>
              <w:spacing w:after="0"/>
              <w:rPr>
                <w:sz w:val="20"/>
                <w:szCs w:val="20"/>
                <w:color w:val="auto"/>
              </w:rPr>
            </w:pPr>
            <w:r>
              <w:rPr>
                <w:rFonts w:ascii="Arial" w:cs="Arial" w:eastAsia="Arial" w:hAnsi="Arial"/>
                <w:sz w:val="14"/>
                <w:szCs w:val="14"/>
                <w:color w:val="auto"/>
              </w:rPr>
              <w:t>X</w:t>
            </w:r>
          </w:p>
        </w:tc>
        <w:tc>
          <w:tcPr>
            <w:tcW w:w="800" w:type="dxa"/>
            <w:vAlign w:val="bottom"/>
            <w:shd w:val="clear" w:color="auto" w:fill="E2E0DE"/>
          </w:tcPr>
          <w:p>
            <w:pPr>
              <w:spacing w:after="0"/>
              <w:rPr>
                <w:sz w:val="19"/>
                <w:szCs w:val="19"/>
                <w:color w:val="auto"/>
              </w:rPr>
            </w:pPr>
          </w:p>
        </w:tc>
        <w:tc>
          <w:tcPr>
            <w:tcW w:w="660" w:type="dxa"/>
            <w:vAlign w:val="bottom"/>
            <w:shd w:val="clear" w:color="auto" w:fill="E2E0DE"/>
          </w:tcPr>
          <w:p>
            <w:pPr>
              <w:ind w:left="260"/>
              <w:spacing w:after="0"/>
              <w:rPr>
                <w:sz w:val="20"/>
                <w:szCs w:val="20"/>
                <w:color w:val="auto"/>
              </w:rPr>
            </w:pPr>
            <w:r>
              <w:rPr>
                <w:rFonts w:ascii="Arial" w:cs="Arial" w:eastAsia="Arial" w:hAnsi="Arial"/>
                <w:sz w:val="14"/>
                <w:szCs w:val="14"/>
                <w:color w:val="auto"/>
              </w:rPr>
              <w:t>X</w:t>
            </w:r>
          </w:p>
        </w:tc>
        <w:tc>
          <w:tcPr>
            <w:tcW w:w="840" w:type="dxa"/>
            <w:vAlign w:val="bottom"/>
            <w:shd w:val="clear" w:color="auto" w:fill="E2E0DE"/>
          </w:tcPr>
          <w:p>
            <w:pPr>
              <w:spacing w:after="0"/>
              <w:rPr>
                <w:sz w:val="19"/>
                <w:szCs w:val="19"/>
                <w:color w:val="auto"/>
              </w:rPr>
            </w:pPr>
          </w:p>
        </w:tc>
        <w:tc>
          <w:tcPr>
            <w:tcW w:w="800" w:type="dxa"/>
            <w:vAlign w:val="bottom"/>
            <w:shd w:val="clear" w:color="auto" w:fill="E2E0DE"/>
          </w:tcPr>
          <w:p>
            <w:pPr>
              <w:spacing w:after="0"/>
              <w:rPr>
                <w:sz w:val="19"/>
                <w:szCs w:val="19"/>
                <w:color w:val="auto"/>
              </w:rPr>
            </w:pPr>
          </w:p>
        </w:tc>
      </w:tr>
      <w:tr>
        <w:trPr>
          <w:trHeight w:val="64"/>
        </w:trPr>
        <w:tc>
          <w:tcPr>
            <w:tcW w:w="4660" w:type="dxa"/>
            <w:vAlign w:val="bottom"/>
            <w:shd w:val="clear" w:color="auto" w:fill="E2E0DE"/>
          </w:tcPr>
          <w:p>
            <w:pPr>
              <w:spacing w:after="0"/>
              <w:rPr>
                <w:sz w:val="5"/>
                <w:szCs w:val="5"/>
                <w:color w:val="auto"/>
              </w:rPr>
            </w:pPr>
          </w:p>
        </w:tc>
        <w:tc>
          <w:tcPr>
            <w:tcW w:w="740" w:type="dxa"/>
            <w:vAlign w:val="bottom"/>
            <w:shd w:val="clear" w:color="auto" w:fill="E2E0DE"/>
          </w:tcPr>
          <w:p>
            <w:pPr>
              <w:spacing w:after="0"/>
              <w:rPr>
                <w:sz w:val="5"/>
                <w:szCs w:val="5"/>
                <w:color w:val="auto"/>
              </w:rPr>
            </w:pPr>
          </w:p>
        </w:tc>
        <w:tc>
          <w:tcPr>
            <w:tcW w:w="680" w:type="dxa"/>
            <w:vAlign w:val="bottom"/>
            <w:shd w:val="clear" w:color="auto" w:fill="E2E0DE"/>
          </w:tcPr>
          <w:p>
            <w:pPr>
              <w:spacing w:after="0"/>
              <w:rPr>
                <w:sz w:val="5"/>
                <w:szCs w:val="5"/>
                <w:color w:val="auto"/>
              </w:rPr>
            </w:pPr>
          </w:p>
        </w:tc>
        <w:tc>
          <w:tcPr>
            <w:tcW w:w="780" w:type="dxa"/>
            <w:vAlign w:val="bottom"/>
            <w:shd w:val="clear" w:color="auto" w:fill="E2E0DE"/>
          </w:tcPr>
          <w:p>
            <w:pPr>
              <w:spacing w:after="0"/>
              <w:rPr>
                <w:sz w:val="5"/>
                <w:szCs w:val="5"/>
                <w:color w:val="auto"/>
              </w:rPr>
            </w:pPr>
          </w:p>
        </w:tc>
        <w:tc>
          <w:tcPr>
            <w:tcW w:w="660" w:type="dxa"/>
            <w:vAlign w:val="bottom"/>
            <w:shd w:val="clear" w:color="auto" w:fill="E2E0DE"/>
          </w:tcPr>
          <w:p>
            <w:pPr>
              <w:spacing w:after="0"/>
              <w:rPr>
                <w:sz w:val="5"/>
                <w:szCs w:val="5"/>
                <w:color w:val="auto"/>
              </w:rPr>
            </w:pPr>
          </w:p>
        </w:tc>
        <w:tc>
          <w:tcPr>
            <w:tcW w:w="800" w:type="dxa"/>
            <w:vAlign w:val="bottom"/>
            <w:shd w:val="clear" w:color="auto" w:fill="E2E0DE"/>
          </w:tcPr>
          <w:p>
            <w:pPr>
              <w:spacing w:after="0"/>
              <w:rPr>
                <w:sz w:val="5"/>
                <w:szCs w:val="5"/>
                <w:color w:val="auto"/>
              </w:rPr>
            </w:pPr>
          </w:p>
        </w:tc>
        <w:tc>
          <w:tcPr>
            <w:tcW w:w="660" w:type="dxa"/>
            <w:vAlign w:val="bottom"/>
            <w:shd w:val="clear" w:color="auto" w:fill="E2E0DE"/>
          </w:tcPr>
          <w:p>
            <w:pPr>
              <w:spacing w:after="0"/>
              <w:rPr>
                <w:sz w:val="5"/>
                <w:szCs w:val="5"/>
                <w:color w:val="auto"/>
              </w:rPr>
            </w:pPr>
          </w:p>
        </w:tc>
        <w:tc>
          <w:tcPr>
            <w:tcW w:w="840" w:type="dxa"/>
            <w:vAlign w:val="bottom"/>
            <w:shd w:val="clear" w:color="auto" w:fill="E2E0DE"/>
          </w:tcPr>
          <w:p>
            <w:pPr>
              <w:spacing w:after="0"/>
              <w:rPr>
                <w:sz w:val="5"/>
                <w:szCs w:val="5"/>
                <w:color w:val="auto"/>
              </w:rPr>
            </w:pPr>
          </w:p>
        </w:tc>
        <w:tc>
          <w:tcPr>
            <w:tcW w:w="800" w:type="dxa"/>
            <w:vAlign w:val="bottom"/>
            <w:shd w:val="clear" w:color="auto" w:fill="E2E0DE"/>
          </w:tcPr>
          <w:p>
            <w:pPr>
              <w:spacing w:after="0"/>
              <w:rPr>
                <w:sz w:val="5"/>
                <w:szCs w:val="5"/>
                <w:color w:val="auto"/>
              </w:rPr>
            </w:pPr>
          </w:p>
        </w:tc>
      </w:tr>
      <w:tr>
        <w:trPr>
          <w:trHeight w:val="222"/>
        </w:trPr>
        <w:tc>
          <w:tcPr>
            <w:tcW w:w="4660" w:type="dxa"/>
            <w:vAlign w:val="bottom"/>
          </w:tcPr>
          <w:p>
            <w:pPr>
              <w:ind w:left="100"/>
              <w:spacing w:after="0"/>
              <w:rPr>
                <w:sz w:val="20"/>
                <w:szCs w:val="20"/>
                <w:color w:val="auto"/>
              </w:rPr>
            </w:pPr>
            <w:r>
              <w:rPr>
                <w:rFonts w:ascii="Arial" w:cs="Arial" w:eastAsia="Arial" w:hAnsi="Arial"/>
                <w:sz w:val="14"/>
                <w:szCs w:val="14"/>
                <w:color w:val="auto"/>
              </w:rPr>
              <w:t>Travel, Leisure, Hospitality &amp; Entertainment</w:t>
            </w:r>
          </w:p>
        </w:tc>
        <w:tc>
          <w:tcPr>
            <w:tcW w:w="740" w:type="dxa"/>
            <w:vAlign w:val="bottom"/>
          </w:tcPr>
          <w:p>
            <w:pPr>
              <w:ind w:left="340"/>
              <w:spacing w:after="0"/>
              <w:rPr>
                <w:sz w:val="20"/>
                <w:szCs w:val="20"/>
                <w:color w:val="auto"/>
              </w:rPr>
            </w:pPr>
            <w:r>
              <w:rPr>
                <w:rFonts w:ascii="Arial" w:cs="Arial" w:eastAsia="Arial" w:hAnsi="Arial"/>
                <w:sz w:val="14"/>
                <w:szCs w:val="14"/>
                <w:color w:val="auto"/>
              </w:rPr>
              <w:t>X</w:t>
            </w:r>
          </w:p>
        </w:tc>
        <w:tc>
          <w:tcPr>
            <w:tcW w:w="680" w:type="dxa"/>
            <w:vAlign w:val="bottom"/>
          </w:tcPr>
          <w:p>
            <w:pPr>
              <w:ind w:left="260"/>
              <w:spacing w:after="0"/>
              <w:rPr>
                <w:sz w:val="20"/>
                <w:szCs w:val="20"/>
                <w:color w:val="auto"/>
              </w:rPr>
            </w:pPr>
            <w:r>
              <w:rPr>
                <w:rFonts w:ascii="Arial" w:cs="Arial" w:eastAsia="Arial" w:hAnsi="Arial"/>
                <w:sz w:val="14"/>
                <w:szCs w:val="14"/>
                <w:color w:val="auto"/>
              </w:rPr>
              <w:t>X</w:t>
            </w: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4"/>
                <w:szCs w:val="14"/>
                <w:color w:val="auto"/>
              </w:rPr>
              <w:t>X</w:t>
            </w:r>
          </w:p>
        </w:tc>
        <w:tc>
          <w:tcPr>
            <w:tcW w:w="660" w:type="dxa"/>
            <w:vAlign w:val="bottom"/>
          </w:tcPr>
          <w:p>
            <w:pPr>
              <w:ind w:left="260"/>
              <w:spacing w:after="0"/>
              <w:rPr>
                <w:sz w:val="20"/>
                <w:szCs w:val="20"/>
                <w:color w:val="auto"/>
              </w:rPr>
            </w:pPr>
            <w:r>
              <w:rPr>
                <w:rFonts w:ascii="Arial" w:cs="Arial" w:eastAsia="Arial" w:hAnsi="Arial"/>
                <w:sz w:val="14"/>
                <w:szCs w:val="14"/>
                <w:color w:val="auto"/>
              </w:rPr>
              <w:t>X</w:t>
            </w:r>
          </w:p>
        </w:tc>
        <w:tc>
          <w:tcPr>
            <w:tcW w:w="840" w:type="dxa"/>
            <w:vAlign w:val="bottom"/>
          </w:tcPr>
          <w:p>
            <w:pPr>
              <w:ind w:left="360"/>
              <w:spacing w:after="0"/>
              <w:rPr>
                <w:sz w:val="20"/>
                <w:szCs w:val="20"/>
                <w:color w:val="auto"/>
              </w:rPr>
            </w:pPr>
            <w:r>
              <w:rPr>
                <w:rFonts w:ascii="Arial" w:cs="Arial" w:eastAsia="Arial" w:hAnsi="Arial"/>
                <w:sz w:val="14"/>
                <w:szCs w:val="14"/>
                <w:color w:val="auto"/>
              </w:rPr>
              <w:t>X</w:t>
            </w:r>
          </w:p>
        </w:tc>
        <w:tc>
          <w:tcPr>
            <w:tcW w:w="800" w:type="dxa"/>
            <w:vAlign w:val="bottom"/>
          </w:tcPr>
          <w:p>
            <w:pPr>
              <w:ind w:left="360"/>
              <w:spacing w:after="0"/>
              <w:rPr>
                <w:sz w:val="20"/>
                <w:szCs w:val="20"/>
                <w:color w:val="auto"/>
              </w:rPr>
            </w:pPr>
            <w:r>
              <w:rPr>
                <w:rFonts w:ascii="Arial" w:cs="Arial" w:eastAsia="Arial" w:hAnsi="Arial"/>
                <w:sz w:val="14"/>
                <w:szCs w:val="14"/>
                <w:color w:val="auto"/>
              </w:rPr>
              <w:t>X</w:t>
            </w:r>
          </w:p>
        </w:tc>
      </w:tr>
      <w:tr>
        <w:trPr>
          <w:trHeight w:val="64"/>
        </w:trPr>
        <w:tc>
          <w:tcPr>
            <w:tcW w:w="4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22"/>
        </w:trPr>
        <w:tc>
          <w:tcPr>
            <w:tcW w:w="4660" w:type="dxa"/>
            <w:vAlign w:val="bottom"/>
            <w:shd w:val="clear" w:color="auto" w:fill="E2E0DE"/>
          </w:tcPr>
          <w:p>
            <w:pPr>
              <w:ind w:left="100"/>
              <w:spacing w:after="0"/>
              <w:rPr>
                <w:sz w:val="20"/>
                <w:szCs w:val="20"/>
                <w:color w:val="auto"/>
              </w:rPr>
            </w:pPr>
            <w:r>
              <w:rPr>
                <w:rFonts w:ascii="Arial" w:cs="Arial" w:eastAsia="Arial" w:hAnsi="Arial"/>
                <w:sz w:val="14"/>
                <w:szCs w:val="14"/>
                <w:color w:val="auto"/>
              </w:rPr>
              <w:t>Public Company C-Suite</w:t>
            </w:r>
          </w:p>
        </w:tc>
        <w:tc>
          <w:tcPr>
            <w:tcW w:w="740" w:type="dxa"/>
            <w:vAlign w:val="bottom"/>
            <w:shd w:val="clear" w:color="auto" w:fill="E2E0DE"/>
          </w:tcPr>
          <w:p>
            <w:pPr>
              <w:ind w:left="340"/>
              <w:spacing w:after="0"/>
              <w:rPr>
                <w:sz w:val="20"/>
                <w:szCs w:val="20"/>
                <w:color w:val="auto"/>
              </w:rPr>
            </w:pPr>
            <w:r>
              <w:rPr>
                <w:rFonts w:ascii="Arial" w:cs="Arial" w:eastAsia="Arial" w:hAnsi="Arial"/>
                <w:sz w:val="14"/>
                <w:szCs w:val="14"/>
                <w:color w:val="auto"/>
              </w:rPr>
              <w:t>X</w:t>
            </w:r>
          </w:p>
        </w:tc>
        <w:tc>
          <w:tcPr>
            <w:tcW w:w="680" w:type="dxa"/>
            <w:vAlign w:val="bottom"/>
            <w:shd w:val="clear" w:color="auto" w:fill="E2E0DE"/>
          </w:tcPr>
          <w:p>
            <w:pPr>
              <w:ind w:left="260"/>
              <w:spacing w:after="0"/>
              <w:rPr>
                <w:sz w:val="20"/>
                <w:szCs w:val="20"/>
                <w:color w:val="auto"/>
              </w:rPr>
            </w:pPr>
            <w:r>
              <w:rPr>
                <w:rFonts w:ascii="Arial" w:cs="Arial" w:eastAsia="Arial" w:hAnsi="Arial"/>
                <w:sz w:val="14"/>
                <w:szCs w:val="14"/>
                <w:color w:val="auto"/>
              </w:rPr>
              <w:t>X</w:t>
            </w:r>
          </w:p>
        </w:tc>
        <w:tc>
          <w:tcPr>
            <w:tcW w:w="780" w:type="dxa"/>
            <w:vAlign w:val="bottom"/>
            <w:shd w:val="clear" w:color="auto" w:fill="E2E0DE"/>
          </w:tcPr>
          <w:p>
            <w:pPr>
              <w:ind w:left="320"/>
              <w:spacing w:after="0"/>
              <w:rPr>
                <w:sz w:val="20"/>
                <w:szCs w:val="20"/>
                <w:color w:val="auto"/>
              </w:rPr>
            </w:pPr>
            <w:r>
              <w:rPr>
                <w:rFonts w:ascii="Arial" w:cs="Arial" w:eastAsia="Arial" w:hAnsi="Arial"/>
                <w:sz w:val="14"/>
                <w:szCs w:val="14"/>
                <w:color w:val="auto"/>
              </w:rPr>
              <w:t>X</w:t>
            </w:r>
          </w:p>
        </w:tc>
        <w:tc>
          <w:tcPr>
            <w:tcW w:w="660" w:type="dxa"/>
            <w:vAlign w:val="bottom"/>
            <w:shd w:val="clear" w:color="auto" w:fill="E2E0DE"/>
          </w:tcPr>
          <w:p>
            <w:pPr>
              <w:spacing w:after="0"/>
              <w:rPr>
                <w:sz w:val="19"/>
                <w:szCs w:val="19"/>
                <w:color w:val="auto"/>
              </w:rPr>
            </w:pPr>
          </w:p>
        </w:tc>
        <w:tc>
          <w:tcPr>
            <w:tcW w:w="800" w:type="dxa"/>
            <w:vAlign w:val="bottom"/>
            <w:shd w:val="clear" w:color="auto" w:fill="E2E0DE"/>
          </w:tcPr>
          <w:p>
            <w:pPr>
              <w:ind w:left="340"/>
              <w:spacing w:after="0"/>
              <w:rPr>
                <w:sz w:val="20"/>
                <w:szCs w:val="20"/>
                <w:color w:val="auto"/>
              </w:rPr>
            </w:pPr>
            <w:r>
              <w:rPr>
                <w:rFonts w:ascii="Arial" w:cs="Arial" w:eastAsia="Arial" w:hAnsi="Arial"/>
                <w:sz w:val="14"/>
                <w:szCs w:val="14"/>
                <w:color w:val="auto"/>
              </w:rPr>
              <w:t>X</w:t>
            </w:r>
          </w:p>
        </w:tc>
        <w:tc>
          <w:tcPr>
            <w:tcW w:w="660" w:type="dxa"/>
            <w:vAlign w:val="bottom"/>
            <w:shd w:val="clear" w:color="auto" w:fill="E2E0DE"/>
          </w:tcPr>
          <w:p>
            <w:pPr>
              <w:ind w:left="260"/>
              <w:spacing w:after="0"/>
              <w:rPr>
                <w:sz w:val="20"/>
                <w:szCs w:val="20"/>
                <w:color w:val="auto"/>
              </w:rPr>
            </w:pPr>
            <w:r>
              <w:rPr>
                <w:rFonts w:ascii="Arial" w:cs="Arial" w:eastAsia="Arial" w:hAnsi="Arial"/>
                <w:sz w:val="14"/>
                <w:szCs w:val="14"/>
                <w:color w:val="auto"/>
              </w:rPr>
              <w:t>X</w:t>
            </w:r>
          </w:p>
        </w:tc>
        <w:tc>
          <w:tcPr>
            <w:tcW w:w="840" w:type="dxa"/>
            <w:vAlign w:val="bottom"/>
            <w:shd w:val="clear" w:color="auto" w:fill="E2E0DE"/>
          </w:tcPr>
          <w:p>
            <w:pPr>
              <w:spacing w:after="0"/>
              <w:rPr>
                <w:sz w:val="19"/>
                <w:szCs w:val="19"/>
                <w:color w:val="auto"/>
              </w:rPr>
            </w:pPr>
          </w:p>
        </w:tc>
        <w:tc>
          <w:tcPr>
            <w:tcW w:w="800" w:type="dxa"/>
            <w:vAlign w:val="bottom"/>
            <w:shd w:val="clear" w:color="auto" w:fill="E2E0DE"/>
          </w:tcPr>
          <w:p>
            <w:pPr>
              <w:ind w:left="360"/>
              <w:spacing w:after="0"/>
              <w:rPr>
                <w:sz w:val="20"/>
                <w:szCs w:val="20"/>
                <w:color w:val="auto"/>
              </w:rPr>
            </w:pPr>
            <w:r>
              <w:rPr>
                <w:rFonts w:ascii="Arial" w:cs="Arial" w:eastAsia="Arial" w:hAnsi="Arial"/>
                <w:sz w:val="14"/>
                <w:szCs w:val="14"/>
                <w:color w:val="auto"/>
              </w:rPr>
              <w:t>X</w:t>
            </w:r>
          </w:p>
        </w:tc>
      </w:tr>
      <w:tr>
        <w:trPr>
          <w:trHeight w:val="64"/>
        </w:trPr>
        <w:tc>
          <w:tcPr>
            <w:tcW w:w="4660" w:type="dxa"/>
            <w:vAlign w:val="bottom"/>
            <w:shd w:val="clear" w:color="auto" w:fill="E2E0DE"/>
          </w:tcPr>
          <w:p>
            <w:pPr>
              <w:spacing w:after="0"/>
              <w:rPr>
                <w:sz w:val="5"/>
                <w:szCs w:val="5"/>
                <w:color w:val="auto"/>
              </w:rPr>
            </w:pPr>
          </w:p>
        </w:tc>
        <w:tc>
          <w:tcPr>
            <w:tcW w:w="740" w:type="dxa"/>
            <w:vAlign w:val="bottom"/>
            <w:shd w:val="clear" w:color="auto" w:fill="E2E0DE"/>
          </w:tcPr>
          <w:p>
            <w:pPr>
              <w:spacing w:after="0"/>
              <w:rPr>
                <w:sz w:val="5"/>
                <w:szCs w:val="5"/>
                <w:color w:val="auto"/>
              </w:rPr>
            </w:pPr>
          </w:p>
        </w:tc>
        <w:tc>
          <w:tcPr>
            <w:tcW w:w="680" w:type="dxa"/>
            <w:vAlign w:val="bottom"/>
            <w:shd w:val="clear" w:color="auto" w:fill="E2E0DE"/>
          </w:tcPr>
          <w:p>
            <w:pPr>
              <w:spacing w:after="0"/>
              <w:rPr>
                <w:sz w:val="5"/>
                <w:szCs w:val="5"/>
                <w:color w:val="auto"/>
              </w:rPr>
            </w:pPr>
          </w:p>
        </w:tc>
        <w:tc>
          <w:tcPr>
            <w:tcW w:w="780" w:type="dxa"/>
            <w:vAlign w:val="bottom"/>
            <w:shd w:val="clear" w:color="auto" w:fill="E2E0DE"/>
          </w:tcPr>
          <w:p>
            <w:pPr>
              <w:spacing w:after="0"/>
              <w:rPr>
                <w:sz w:val="5"/>
                <w:szCs w:val="5"/>
                <w:color w:val="auto"/>
              </w:rPr>
            </w:pPr>
          </w:p>
        </w:tc>
        <w:tc>
          <w:tcPr>
            <w:tcW w:w="660" w:type="dxa"/>
            <w:vAlign w:val="bottom"/>
            <w:shd w:val="clear" w:color="auto" w:fill="E2E0DE"/>
          </w:tcPr>
          <w:p>
            <w:pPr>
              <w:spacing w:after="0"/>
              <w:rPr>
                <w:sz w:val="5"/>
                <w:szCs w:val="5"/>
                <w:color w:val="auto"/>
              </w:rPr>
            </w:pPr>
          </w:p>
        </w:tc>
        <w:tc>
          <w:tcPr>
            <w:tcW w:w="800" w:type="dxa"/>
            <w:vAlign w:val="bottom"/>
            <w:shd w:val="clear" w:color="auto" w:fill="E2E0DE"/>
          </w:tcPr>
          <w:p>
            <w:pPr>
              <w:spacing w:after="0"/>
              <w:rPr>
                <w:sz w:val="5"/>
                <w:szCs w:val="5"/>
                <w:color w:val="auto"/>
              </w:rPr>
            </w:pPr>
          </w:p>
        </w:tc>
        <w:tc>
          <w:tcPr>
            <w:tcW w:w="660" w:type="dxa"/>
            <w:vAlign w:val="bottom"/>
            <w:shd w:val="clear" w:color="auto" w:fill="E2E0DE"/>
          </w:tcPr>
          <w:p>
            <w:pPr>
              <w:spacing w:after="0"/>
              <w:rPr>
                <w:sz w:val="5"/>
                <w:szCs w:val="5"/>
                <w:color w:val="auto"/>
              </w:rPr>
            </w:pPr>
          </w:p>
        </w:tc>
        <w:tc>
          <w:tcPr>
            <w:tcW w:w="840" w:type="dxa"/>
            <w:vAlign w:val="bottom"/>
            <w:shd w:val="clear" w:color="auto" w:fill="E2E0DE"/>
          </w:tcPr>
          <w:p>
            <w:pPr>
              <w:spacing w:after="0"/>
              <w:rPr>
                <w:sz w:val="5"/>
                <w:szCs w:val="5"/>
                <w:color w:val="auto"/>
              </w:rPr>
            </w:pPr>
          </w:p>
        </w:tc>
        <w:tc>
          <w:tcPr>
            <w:tcW w:w="800" w:type="dxa"/>
            <w:vAlign w:val="bottom"/>
            <w:shd w:val="clear" w:color="auto" w:fill="E2E0DE"/>
          </w:tcPr>
          <w:p>
            <w:pPr>
              <w:spacing w:after="0"/>
              <w:rPr>
                <w:sz w:val="5"/>
                <w:szCs w:val="5"/>
                <w:color w:val="auto"/>
              </w:rPr>
            </w:pPr>
          </w:p>
        </w:tc>
      </w:tr>
      <w:tr>
        <w:trPr>
          <w:trHeight w:val="222"/>
        </w:trPr>
        <w:tc>
          <w:tcPr>
            <w:tcW w:w="4660" w:type="dxa"/>
            <w:vAlign w:val="bottom"/>
          </w:tcPr>
          <w:p>
            <w:pPr>
              <w:ind w:left="100"/>
              <w:spacing w:after="0"/>
              <w:rPr>
                <w:sz w:val="20"/>
                <w:szCs w:val="20"/>
                <w:color w:val="auto"/>
              </w:rPr>
            </w:pPr>
            <w:r>
              <w:rPr>
                <w:rFonts w:ascii="Arial" w:cs="Arial" w:eastAsia="Arial" w:hAnsi="Arial"/>
                <w:sz w:val="14"/>
                <w:szCs w:val="14"/>
                <w:color w:val="auto"/>
              </w:rPr>
              <w:t>Public Company Board</w:t>
            </w:r>
          </w:p>
        </w:tc>
        <w:tc>
          <w:tcPr>
            <w:tcW w:w="740" w:type="dxa"/>
            <w:vAlign w:val="bottom"/>
          </w:tcPr>
          <w:p>
            <w:pPr>
              <w:ind w:left="340"/>
              <w:spacing w:after="0"/>
              <w:rPr>
                <w:sz w:val="20"/>
                <w:szCs w:val="20"/>
                <w:color w:val="auto"/>
              </w:rPr>
            </w:pPr>
            <w:r>
              <w:rPr>
                <w:rFonts w:ascii="Arial" w:cs="Arial" w:eastAsia="Arial" w:hAnsi="Arial"/>
                <w:sz w:val="14"/>
                <w:szCs w:val="14"/>
                <w:color w:val="auto"/>
              </w:rPr>
              <w:t>X</w:t>
            </w:r>
          </w:p>
        </w:tc>
        <w:tc>
          <w:tcPr>
            <w:tcW w:w="680" w:type="dxa"/>
            <w:vAlign w:val="bottom"/>
          </w:tcPr>
          <w:p>
            <w:pPr>
              <w:ind w:left="260"/>
              <w:spacing w:after="0"/>
              <w:rPr>
                <w:sz w:val="20"/>
                <w:szCs w:val="20"/>
                <w:color w:val="auto"/>
              </w:rPr>
            </w:pPr>
            <w:r>
              <w:rPr>
                <w:rFonts w:ascii="Arial" w:cs="Arial" w:eastAsia="Arial" w:hAnsi="Arial"/>
                <w:sz w:val="14"/>
                <w:szCs w:val="14"/>
                <w:color w:val="auto"/>
              </w:rPr>
              <w:t>X</w:t>
            </w:r>
          </w:p>
        </w:tc>
        <w:tc>
          <w:tcPr>
            <w:tcW w:w="780" w:type="dxa"/>
            <w:vAlign w:val="bottom"/>
          </w:tcPr>
          <w:p>
            <w:pPr>
              <w:ind w:left="320"/>
              <w:spacing w:after="0"/>
              <w:rPr>
                <w:sz w:val="20"/>
                <w:szCs w:val="20"/>
                <w:color w:val="auto"/>
              </w:rPr>
            </w:pPr>
            <w:r>
              <w:rPr>
                <w:rFonts w:ascii="Arial" w:cs="Arial" w:eastAsia="Arial" w:hAnsi="Arial"/>
                <w:sz w:val="14"/>
                <w:szCs w:val="14"/>
                <w:color w:val="auto"/>
              </w:rPr>
              <w:t>X</w:t>
            </w:r>
          </w:p>
        </w:tc>
        <w:tc>
          <w:tcPr>
            <w:tcW w:w="660" w:type="dxa"/>
            <w:vAlign w:val="bottom"/>
          </w:tcPr>
          <w:p>
            <w:pPr>
              <w:ind w:left="260"/>
              <w:spacing w:after="0"/>
              <w:rPr>
                <w:sz w:val="20"/>
                <w:szCs w:val="20"/>
                <w:color w:val="auto"/>
              </w:rPr>
            </w:pPr>
            <w:r>
              <w:rPr>
                <w:rFonts w:ascii="Arial" w:cs="Arial" w:eastAsia="Arial" w:hAnsi="Arial"/>
                <w:sz w:val="14"/>
                <w:szCs w:val="14"/>
                <w:color w:val="auto"/>
              </w:rPr>
              <w:t>X</w:t>
            </w:r>
          </w:p>
        </w:tc>
        <w:tc>
          <w:tcPr>
            <w:tcW w:w="800" w:type="dxa"/>
            <w:vAlign w:val="bottom"/>
          </w:tcPr>
          <w:p>
            <w:pPr>
              <w:spacing w:after="0"/>
              <w:rPr>
                <w:sz w:val="19"/>
                <w:szCs w:val="19"/>
                <w:color w:val="auto"/>
              </w:rPr>
            </w:pPr>
          </w:p>
        </w:tc>
        <w:tc>
          <w:tcPr>
            <w:tcW w:w="660" w:type="dxa"/>
            <w:vAlign w:val="bottom"/>
          </w:tcPr>
          <w:p>
            <w:pPr>
              <w:ind w:left="260"/>
              <w:spacing w:after="0"/>
              <w:rPr>
                <w:sz w:val="20"/>
                <w:szCs w:val="20"/>
                <w:color w:val="auto"/>
              </w:rPr>
            </w:pPr>
            <w:r>
              <w:rPr>
                <w:rFonts w:ascii="Arial" w:cs="Arial" w:eastAsia="Arial" w:hAnsi="Arial"/>
                <w:sz w:val="14"/>
                <w:szCs w:val="14"/>
                <w:color w:val="auto"/>
              </w:rPr>
              <w:t>X</w:t>
            </w:r>
          </w:p>
        </w:tc>
        <w:tc>
          <w:tcPr>
            <w:tcW w:w="840" w:type="dxa"/>
            <w:vAlign w:val="bottom"/>
          </w:tcPr>
          <w:p>
            <w:pPr>
              <w:spacing w:after="0"/>
              <w:rPr>
                <w:sz w:val="19"/>
                <w:szCs w:val="19"/>
                <w:color w:val="auto"/>
              </w:rPr>
            </w:pPr>
          </w:p>
        </w:tc>
        <w:tc>
          <w:tcPr>
            <w:tcW w:w="800" w:type="dxa"/>
            <w:vAlign w:val="bottom"/>
          </w:tcPr>
          <w:p>
            <w:pPr>
              <w:ind w:left="360"/>
              <w:spacing w:after="0"/>
              <w:rPr>
                <w:sz w:val="20"/>
                <w:szCs w:val="20"/>
                <w:color w:val="auto"/>
              </w:rPr>
            </w:pPr>
            <w:r>
              <w:rPr>
                <w:rFonts w:ascii="Arial" w:cs="Arial" w:eastAsia="Arial" w:hAnsi="Arial"/>
                <w:sz w:val="14"/>
                <w:szCs w:val="14"/>
                <w:color w:val="auto"/>
              </w:rPr>
              <w:t>X</w:t>
            </w:r>
          </w:p>
        </w:tc>
      </w:tr>
      <w:tr>
        <w:trPr>
          <w:trHeight w:val="64"/>
        </w:trPr>
        <w:tc>
          <w:tcPr>
            <w:tcW w:w="4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22"/>
        </w:trPr>
        <w:tc>
          <w:tcPr>
            <w:tcW w:w="4660" w:type="dxa"/>
            <w:vAlign w:val="bottom"/>
            <w:shd w:val="clear" w:color="auto" w:fill="E2E0DE"/>
          </w:tcPr>
          <w:p>
            <w:pPr>
              <w:ind w:left="100"/>
              <w:spacing w:after="0"/>
              <w:rPr>
                <w:sz w:val="20"/>
                <w:szCs w:val="20"/>
                <w:color w:val="auto"/>
              </w:rPr>
            </w:pPr>
            <w:r>
              <w:rPr>
                <w:rFonts w:ascii="Arial" w:cs="Arial" w:eastAsia="Arial" w:hAnsi="Arial"/>
                <w:sz w:val="14"/>
                <w:szCs w:val="14"/>
                <w:color w:val="auto"/>
              </w:rPr>
              <w:t>Finance and Accounting</w:t>
            </w:r>
          </w:p>
        </w:tc>
        <w:tc>
          <w:tcPr>
            <w:tcW w:w="740" w:type="dxa"/>
            <w:vAlign w:val="bottom"/>
            <w:shd w:val="clear" w:color="auto" w:fill="E2E0DE"/>
          </w:tcPr>
          <w:p>
            <w:pPr>
              <w:spacing w:after="0"/>
              <w:rPr>
                <w:sz w:val="19"/>
                <w:szCs w:val="19"/>
                <w:color w:val="auto"/>
              </w:rPr>
            </w:pPr>
          </w:p>
        </w:tc>
        <w:tc>
          <w:tcPr>
            <w:tcW w:w="680" w:type="dxa"/>
            <w:vAlign w:val="bottom"/>
            <w:shd w:val="clear" w:color="auto" w:fill="E2E0DE"/>
          </w:tcPr>
          <w:p>
            <w:pPr>
              <w:ind w:left="260"/>
              <w:spacing w:after="0"/>
              <w:rPr>
                <w:sz w:val="20"/>
                <w:szCs w:val="20"/>
                <w:color w:val="auto"/>
              </w:rPr>
            </w:pPr>
            <w:r>
              <w:rPr>
                <w:rFonts w:ascii="Arial" w:cs="Arial" w:eastAsia="Arial" w:hAnsi="Arial"/>
                <w:sz w:val="14"/>
                <w:szCs w:val="14"/>
                <w:color w:val="auto"/>
              </w:rPr>
              <w:t>X</w:t>
            </w:r>
          </w:p>
        </w:tc>
        <w:tc>
          <w:tcPr>
            <w:tcW w:w="780" w:type="dxa"/>
            <w:vAlign w:val="bottom"/>
            <w:shd w:val="clear" w:color="auto" w:fill="E2E0DE"/>
          </w:tcPr>
          <w:p>
            <w:pPr>
              <w:ind w:left="320"/>
              <w:spacing w:after="0"/>
              <w:rPr>
                <w:sz w:val="20"/>
                <w:szCs w:val="20"/>
                <w:color w:val="auto"/>
              </w:rPr>
            </w:pPr>
            <w:r>
              <w:rPr>
                <w:rFonts w:ascii="Arial" w:cs="Arial" w:eastAsia="Arial" w:hAnsi="Arial"/>
                <w:sz w:val="14"/>
                <w:szCs w:val="14"/>
                <w:color w:val="auto"/>
              </w:rPr>
              <w:t>X*</w:t>
            </w:r>
          </w:p>
        </w:tc>
        <w:tc>
          <w:tcPr>
            <w:tcW w:w="660" w:type="dxa"/>
            <w:vAlign w:val="bottom"/>
            <w:shd w:val="clear" w:color="auto" w:fill="E2E0DE"/>
          </w:tcPr>
          <w:p>
            <w:pPr>
              <w:spacing w:after="0"/>
              <w:rPr>
                <w:sz w:val="19"/>
                <w:szCs w:val="19"/>
                <w:color w:val="auto"/>
              </w:rPr>
            </w:pPr>
          </w:p>
        </w:tc>
        <w:tc>
          <w:tcPr>
            <w:tcW w:w="800" w:type="dxa"/>
            <w:vAlign w:val="bottom"/>
            <w:shd w:val="clear" w:color="auto" w:fill="E2E0DE"/>
          </w:tcPr>
          <w:p>
            <w:pPr>
              <w:spacing w:after="0"/>
              <w:rPr>
                <w:sz w:val="19"/>
                <w:szCs w:val="19"/>
                <w:color w:val="auto"/>
              </w:rPr>
            </w:pPr>
          </w:p>
        </w:tc>
        <w:tc>
          <w:tcPr>
            <w:tcW w:w="660" w:type="dxa"/>
            <w:vAlign w:val="bottom"/>
            <w:shd w:val="clear" w:color="auto" w:fill="E2E0DE"/>
          </w:tcPr>
          <w:p>
            <w:pPr>
              <w:ind w:left="260"/>
              <w:spacing w:after="0"/>
              <w:rPr>
                <w:sz w:val="20"/>
                <w:szCs w:val="20"/>
                <w:color w:val="auto"/>
              </w:rPr>
            </w:pPr>
            <w:r>
              <w:rPr>
                <w:rFonts w:ascii="Arial" w:cs="Arial" w:eastAsia="Arial" w:hAnsi="Arial"/>
                <w:sz w:val="14"/>
                <w:szCs w:val="14"/>
                <w:color w:val="auto"/>
              </w:rPr>
              <w:t>X</w:t>
            </w:r>
          </w:p>
        </w:tc>
        <w:tc>
          <w:tcPr>
            <w:tcW w:w="840" w:type="dxa"/>
            <w:vAlign w:val="bottom"/>
            <w:shd w:val="clear" w:color="auto" w:fill="E2E0DE"/>
          </w:tcPr>
          <w:p>
            <w:pPr>
              <w:spacing w:after="0"/>
              <w:rPr>
                <w:sz w:val="19"/>
                <w:szCs w:val="19"/>
                <w:color w:val="auto"/>
              </w:rPr>
            </w:pPr>
          </w:p>
        </w:tc>
        <w:tc>
          <w:tcPr>
            <w:tcW w:w="800" w:type="dxa"/>
            <w:vAlign w:val="bottom"/>
            <w:shd w:val="clear" w:color="auto" w:fill="E2E0DE"/>
          </w:tcPr>
          <w:p>
            <w:pPr>
              <w:ind w:left="380"/>
              <w:spacing w:after="0"/>
              <w:rPr>
                <w:sz w:val="20"/>
                <w:szCs w:val="20"/>
                <w:color w:val="auto"/>
              </w:rPr>
            </w:pPr>
            <w:r>
              <w:rPr>
                <w:rFonts w:ascii="Arial" w:cs="Arial" w:eastAsia="Arial" w:hAnsi="Arial"/>
                <w:sz w:val="14"/>
                <w:szCs w:val="14"/>
                <w:color w:val="auto"/>
              </w:rPr>
              <w:t>X*</w:t>
            </w:r>
          </w:p>
        </w:tc>
      </w:tr>
      <w:tr>
        <w:trPr>
          <w:trHeight w:val="64"/>
        </w:trPr>
        <w:tc>
          <w:tcPr>
            <w:tcW w:w="4660" w:type="dxa"/>
            <w:vAlign w:val="bottom"/>
            <w:shd w:val="clear" w:color="auto" w:fill="E2E0DE"/>
          </w:tcPr>
          <w:p>
            <w:pPr>
              <w:spacing w:after="0"/>
              <w:rPr>
                <w:sz w:val="5"/>
                <w:szCs w:val="5"/>
                <w:color w:val="auto"/>
              </w:rPr>
            </w:pPr>
          </w:p>
        </w:tc>
        <w:tc>
          <w:tcPr>
            <w:tcW w:w="740" w:type="dxa"/>
            <w:vAlign w:val="bottom"/>
            <w:shd w:val="clear" w:color="auto" w:fill="E2E0DE"/>
          </w:tcPr>
          <w:p>
            <w:pPr>
              <w:spacing w:after="0"/>
              <w:rPr>
                <w:sz w:val="5"/>
                <w:szCs w:val="5"/>
                <w:color w:val="auto"/>
              </w:rPr>
            </w:pPr>
          </w:p>
        </w:tc>
        <w:tc>
          <w:tcPr>
            <w:tcW w:w="680" w:type="dxa"/>
            <w:vAlign w:val="bottom"/>
            <w:shd w:val="clear" w:color="auto" w:fill="E2E0DE"/>
          </w:tcPr>
          <w:p>
            <w:pPr>
              <w:spacing w:after="0"/>
              <w:rPr>
                <w:sz w:val="5"/>
                <w:szCs w:val="5"/>
                <w:color w:val="auto"/>
              </w:rPr>
            </w:pPr>
          </w:p>
        </w:tc>
        <w:tc>
          <w:tcPr>
            <w:tcW w:w="780" w:type="dxa"/>
            <w:vAlign w:val="bottom"/>
            <w:shd w:val="clear" w:color="auto" w:fill="E2E0DE"/>
          </w:tcPr>
          <w:p>
            <w:pPr>
              <w:spacing w:after="0"/>
              <w:rPr>
                <w:sz w:val="5"/>
                <w:szCs w:val="5"/>
                <w:color w:val="auto"/>
              </w:rPr>
            </w:pPr>
          </w:p>
        </w:tc>
        <w:tc>
          <w:tcPr>
            <w:tcW w:w="660" w:type="dxa"/>
            <w:vAlign w:val="bottom"/>
            <w:shd w:val="clear" w:color="auto" w:fill="E2E0DE"/>
          </w:tcPr>
          <w:p>
            <w:pPr>
              <w:spacing w:after="0"/>
              <w:rPr>
                <w:sz w:val="5"/>
                <w:szCs w:val="5"/>
                <w:color w:val="auto"/>
              </w:rPr>
            </w:pPr>
          </w:p>
        </w:tc>
        <w:tc>
          <w:tcPr>
            <w:tcW w:w="800" w:type="dxa"/>
            <w:vAlign w:val="bottom"/>
            <w:shd w:val="clear" w:color="auto" w:fill="E2E0DE"/>
          </w:tcPr>
          <w:p>
            <w:pPr>
              <w:spacing w:after="0"/>
              <w:rPr>
                <w:sz w:val="5"/>
                <w:szCs w:val="5"/>
                <w:color w:val="auto"/>
              </w:rPr>
            </w:pPr>
          </w:p>
        </w:tc>
        <w:tc>
          <w:tcPr>
            <w:tcW w:w="660" w:type="dxa"/>
            <w:vAlign w:val="bottom"/>
            <w:shd w:val="clear" w:color="auto" w:fill="E2E0DE"/>
          </w:tcPr>
          <w:p>
            <w:pPr>
              <w:spacing w:after="0"/>
              <w:rPr>
                <w:sz w:val="5"/>
                <w:szCs w:val="5"/>
                <w:color w:val="auto"/>
              </w:rPr>
            </w:pPr>
          </w:p>
        </w:tc>
        <w:tc>
          <w:tcPr>
            <w:tcW w:w="840" w:type="dxa"/>
            <w:vAlign w:val="bottom"/>
            <w:shd w:val="clear" w:color="auto" w:fill="E2E0DE"/>
          </w:tcPr>
          <w:p>
            <w:pPr>
              <w:spacing w:after="0"/>
              <w:rPr>
                <w:sz w:val="5"/>
                <w:szCs w:val="5"/>
                <w:color w:val="auto"/>
              </w:rPr>
            </w:pPr>
          </w:p>
        </w:tc>
        <w:tc>
          <w:tcPr>
            <w:tcW w:w="800" w:type="dxa"/>
            <w:vAlign w:val="bottom"/>
            <w:shd w:val="clear" w:color="auto" w:fill="E2E0DE"/>
          </w:tcPr>
          <w:p>
            <w:pPr>
              <w:spacing w:after="0"/>
              <w:rPr>
                <w:sz w:val="5"/>
                <w:szCs w:val="5"/>
                <w:color w:val="auto"/>
              </w:rPr>
            </w:pPr>
          </w:p>
        </w:tc>
      </w:tr>
      <w:tr>
        <w:trPr>
          <w:trHeight w:val="222"/>
        </w:trPr>
        <w:tc>
          <w:tcPr>
            <w:tcW w:w="4660" w:type="dxa"/>
            <w:vAlign w:val="bottom"/>
          </w:tcPr>
          <w:p>
            <w:pPr>
              <w:ind w:left="100"/>
              <w:spacing w:after="0"/>
              <w:rPr>
                <w:sz w:val="20"/>
                <w:szCs w:val="20"/>
                <w:color w:val="auto"/>
              </w:rPr>
            </w:pPr>
            <w:r>
              <w:rPr>
                <w:rFonts w:ascii="Arial" w:cs="Arial" w:eastAsia="Arial" w:hAnsi="Arial"/>
                <w:sz w:val="14"/>
                <w:szCs w:val="14"/>
                <w:color w:val="auto"/>
              </w:rPr>
              <w:t>Cybersecurity</w:t>
            </w:r>
          </w:p>
        </w:tc>
        <w:tc>
          <w:tcPr>
            <w:tcW w:w="740" w:type="dxa"/>
            <w:vAlign w:val="bottom"/>
          </w:tcPr>
          <w:p>
            <w:pPr>
              <w:ind w:left="340"/>
              <w:spacing w:after="0"/>
              <w:rPr>
                <w:sz w:val="20"/>
                <w:szCs w:val="20"/>
                <w:color w:val="auto"/>
              </w:rPr>
            </w:pPr>
            <w:r>
              <w:rPr>
                <w:rFonts w:ascii="Arial" w:cs="Arial" w:eastAsia="Arial" w:hAnsi="Arial"/>
                <w:sz w:val="14"/>
                <w:szCs w:val="14"/>
                <w:color w:val="auto"/>
              </w:rPr>
              <w:t>X</w:t>
            </w: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ind w:left="360"/>
              <w:spacing w:after="0"/>
              <w:rPr>
                <w:sz w:val="20"/>
                <w:szCs w:val="20"/>
                <w:color w:val="auto"/>
              </w:rPr>
            </w:pPr>
            <w:r>
              <w:rPr>
                <w:rFonts w:ascii="Arial" w:cs="Arial" w:eastAsia="Arial" w:hAnsi="Arial"/>
                <w:sz w:val="14"/>
                <w:szCs w:val="14"/>
                <w:color w:val="auto"/>
              </w:rPr>
              <w:t>X</w:t>
            </w:r>
          </w:p>
        </w:tc>
      </w:tr>
      <w:tr>
        <w:trPr>
          <w:trHeight w:val="64"/>
        </w:trPr>
        <w:tc>
          <w:tcPr>
            <w:tcW w:w="4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22"/>
        </w:trPr>
        <w:tc>
          <w:tcPr>
            <w:tcW w:w="4660" w:type="dxa"/>
            <w:vAlign w:val="bottom"/>
            <w:shd w:val="clear" w:color="auto" w:fill="E2E0DE"/>
          </w:tcPr>
          <w:p>
            <w:pPr>
              <w:ind w:left="100"/>
              <w:spacing w:after="0"/>
              <w:rPr>
                <w:sz w:val="20"/>
                <w:szCs w:val="20"/>
                <w:color w:val="auto"/>
              </w:rPr>
            </w:pPr>
            <w:r>
              <w:rPr>
                <w:rFonts w:ascii="Arial" w:cs="Arial" w:eastAsia="Arial" w:hAnsi="Arial"/>
                <w:sz w:val="14"/>
                <w:szCs w:val="14"/>
                <w:color w:val="auto"/>
              </w:rPr>
              <w:t>International Politics</w:t>
            </w:r>
          </w:p>
        </w:tc>
        <w:tc>
          <w:tcPr>
            <w:tcW w:w="740" w:type="dxa"/>
            <w:vAlign w:val="bottom"/>
            <w:shd w:val="clear" w:color="auto" w:fill="E2E0DE"/>
          </w:tcPr>
          <w:p>
            <w:pPr>
              <w:spacing w:after="0"/>
              <w:rPr>
                <w:sz w:val="19"/>
                <w:szCs w:val="19"/>
                <w:color w:val="auto"/>
              </w:rPr>
            </w:pPr>
          </w:p>
        </w:tc>
        <w:tc>
          <w:tcPr>
            <w:tcW w:w="680" w:type="dxa"/>
            <w:vAlign w:val="bottom"/>
            <w:shd w:val="clear" w:color="auto" w:fill="E2E0DE"/>
          </w:tcPr>
          <w:p>
            <w:pPr>
              <w:spacing w:after="0"/>
              <w:rPr>
                <w:sz w:val="19"/>
                <w:szCs w:val="19"/>
                <w:color w:val="auto"/>
              </w:rPr>
            </w:pPr>
          </w:p>
        </w:tc>
        <w:tc>
          <w:tcPr>
            <w:tcW w:w="780" w:type="dxa"/>
            <w:vAlign w:val="bottom"/>
            <w:shd w:val="clear" w:color="auto" w:fill="E2E0DE"/>
          </w:tcPr>
          <w:p>
            <w:pPr>
              <w:spacing w:after="0"/>
              <w:rPr>
                <w:sz w:val="19"/>
                <w:szCs w:val="19"/>
                <w:color w:val="auto"/>
              </w:rPr>
            </w:pPr>
          </w:p>
        </w:tc>
        <w:tc>
          <w:tcPr>
            <w:tcW w:w="660" w:type="dxa"/>
            <w:vAlign w:val="bottom"/>
            <w:shd w:val="clear" w:color="auto" w:fill="E2E0DE"/>
          </w:tcPr>
          <w:p>
            <w:pPr>
              <w:ind w:left="260"/>
              <w:spacing w:after="0"/>
              <w:rPr>
                <w:sz w:val="20"/>
                <w:szCs w:val="20"/>
                <w:color w:val="auto"/>
              </w:rPr>
            </w:pPr>
            <w:r>
              <w:rPr>
                <w:rFonts w:ascii="Arial" w:cs="Arial" w:eastAsia="Arial" w:hAnsi="Arial"/>
                <w:sz w:val="14"/>
                <w:szCs w:val="14"/>
                <w:color w:val="auto"/>
              </w:rPr>
              <w:t>X</w:t>
            </w:r>
          </w:p>
        </w:tc>
        <w:tc>
          <w:tcPr>
            <w:tcW w:w="800" w:type="dxa"/>
            <w:vAlign w:val="bottom"/>
            <w:shd w:val="clear" w:color="auto" w:fill="E2E0DE"/>
          </w:tcPr>
          <w:p>
            <w:pPr>
              <w:ind w:left="340"/>
              <w:spacing w:after="0"/>
              <w:rPr>
                <w:sz w:val="20"/>
                <w:szCs w:val="20"/>
                <w:color w:val="auto"/>
              </w:rPr>
            </w:pPr>
            <w:r>
              <w:rPr>
                <w:rFonts w:ascii="Arial" w:cs="Arial" w:eastAsia="Arial" w:hAnsi="Arial"/>
                <w:sz w:val="14"/>
                <w:szCs w:val="14"/>
                <w:color w:val="auto"/>
              </w:rPr>
              <w:t>X</w:t>
            </w:r>
          </w:p>
        </w:tc>
        <w:tc>
          <w:tcPr>
            <w:tcW w:w="660" w:type="dxa"/>
            <w:vAlign w:val="bottom"/>
            <w:shd w:val="clear" w:color="auto" w:fill="E2E0DE"/>
          </w:tcPr>
          <w:p>
            <w:pPr>
              <w:spacing w:after="0"/>
              <w:rPr>
                <w:sz w:val="19"/>
                <w:szCs w:val="19"/>
                <w:color w:val="auto"/>
              </w:rPr>
            </w:pPr>
          </w:p>
        </w:tc>
        <w:tc>
          <w:tcPr>
            <w:tcW w:w="840" w:type="dxa"/>
            <w:vAlign w:val="bottom"/>
            <w:shd w:val="clear" w:color="auto" w:fill="E2E0DE"/>
          </w:tcPr>
          <w:p>
            <w:pPr>
              <w:ind w:left="360"/>
              <w:spacing w:after="0"/>
              <w:rPr>
                <w:sz w:val="20"/>
                <w:szCs w:val="20"/>
                <w:color w:val="auto"/>
              </w:rPr>
            </w:pPr>
            <w:r>
              <w:rPr>
                <w:rFonts w:ascii="Arial" w:cs="Arial" w:eastAsia="Arial" w:hAnsi="Arial"/>
                <w:sz w:val="14"/>
                <w:szCs w:val="14"/>
                <w:color w:val="auto"/>
              </w:rPr>
              <w:t>X</w:t>
            </w:r>
          </w:p>
        </w:tc>
        <w:tc>
          <w:tcPr>
            <w:tcW w:w="800" w:type="dxa"/>
            <w:vAlign w:val="bottom"/>
            <w:shd w:val="clear" w:color="auto" w:fill="E2E0DE"/>
          </w:tcPr>
          <w:p>
            <w:pPr>
              <w:spacing w:after="0"/>
              <w:rPr>
                <w:sz w:val="19"/>
                <w:szCs w:val="19"/>
                <w:color w:val="auto"/>
              </w:rPr>
            </w:pPr>
          </w:p>
        </w:tc>
      </w:tr>
      <w:tr>
        <w:trPr>
          <w:trHeight w:val="64"/>
        </w:trPr>
        <w:tc>
          <w:tcPr>
            <w:tcW w:w="4660" w:type="dxa"/>
            <w:vAlign w:val="bottom"/>
            <w:shd w:val="clear" w:color="auto" w:fill="E2E0DE"/>
          </w:tcPr>
          <w:p>
            <w:pPr>
              <w:spacing w:after="0"/>
              <w:rPr>
                <w:sz w:val="5"/>
                <w:szCs w:val="5"/>
                <w:color w:val="auto"/>
              </w:rPr>
            </w:pPr>
          </w:p>
        </w:tc>
        <w:tc>
          <w:tcPr>
            <w:tcW w:w="740" w:type="dxa"/>
            <w:vAlign w:val="bottom"/>
            <w:shd w:val="clear" w:color="auto" w:fill="E2E0DE"/>
          </w:tcPr>
          <w:p>
            <w:pPr>
              <w:spacing w:after="0"/>
              <w:rPr>
                <w:sz w:val="5"/>
                <w:szCs w:val="5"/>
                <w:color w:val="auto"/>
              </w:rPr>
            </w:pPr>
          </w:p>
        </w:tc>
        <w:tc>
          <w:tcPr>
            <w:tcW w:w="680" w:type="dxa"/>
            <w:vAlign w:val="bottom"/>
            <w:shd w:val="clear" w:color="auto" w:fill="E2E0DE"/>
          </w:tcPr>
          <w:p>
            <w:pPr>
              <w:spacing w:after="0"/>
              <w:rPr>
                <w:sz w:val="5"/>
                <w:szCs w:val="5"/>
                <w:color w:val="auto"/>
              </w:rPr>
            </w:pPr>
          </w:p>
        </w:tc>
        <w:tc>
          <w:tcPr>
            <w:tcW w:w="780" w:type="dxa"/>
            <w:vAlign w:val="bottom"/>
            <w:shd w:val="clear" w:color="auto" w:fill="E2E0DE"/>
          </w:tcPr>
          <w:p>
            <w:pPr>
              <w:spacing w:after="0"/>
              <w:rPr>
                <w:sz w:val="5"/>
                <w:szCs w:val="5"/>
                <w:color w:val="auto"/>
              </w:rPr>
            </w:pPr>
          </w:p>
        </w:tc>
        <w:tc>
          <w:tcPr>
            <w:tcW w:w="660" w:type="dxa"/>
            <w:vAlign w:val="bottom"/>
            <w:shd w:val="clear" w:color="auto" w:fill="E2E0DE"/>
          </w:tcPr>
          <w:p>
            <w:pPr>
              <w:spacing w:after="0"/>
              <w:rPr>
                <w:sz w:val="5"/>
                <w:szCs w:val="5"/>
                <w:color w:val="auto"/>
              </w:rPr>
            </w:pPr>
          </w:p>
        </w:tc>
        <w:tc>
          <w:tcPr>
            <w:tcW w:w="800" w:type="dxa"/>
            <w:vAlign w:val="bottom"/>
            <w:shd w:val="clear" w:color="auto" w:fill="E2E0DE"/>
          </w:tcPr>
          <w:p>
            <w:pPr>
              <w:spacing w:after="0"/>
              <w:rPr>
                <w:sz w:val="5"/>
                <w:szCs w:val="5"/>
                <w:color w:val="auto"/>
              </w:rPr>
            </w:pPr>
          </w:p>
        </w:tc>
        <w:tc>
          <w:tcPr>
            <w:tcW w:w="660" w:type="dxa"/>
            <w:vAlign w:val="bottom"/>
            <w:shd w:val="clear" w:color="auto" w:fill="E2E0DE"/>
          </w:tcPr>
          <w:p>
            <w:pPr>
              <w:spacing w:after="0"/>
              <w:rPr>
                <w:sz w:val="5"/>
                <w:szCs w:val="5"/>
                <w:color w:val="auto"/>
              </w:rPr>
            </w:pPr>
          </w:p>
        </w:tc>
        <w:tc>
          <w:tcPr>
            <w:tcW w:w="840" w:type="dxa"/>
            <w:vAlign w:val="bottom"/>
            <w:shd w:val="clear" w:color="auto" w:fill="E2E0DE"/>
          </w:tcPr>
          <w:p>
            <w:pPr>
              <w:spacing w:after="0"/>
              <w:rPr>
                <w:sz w:val="5"/>
                <w:szCs w:val="5"/>
                <w:color w:val="auto"/>
              </w:rPr>
            </w:pPr>
          </w:p>
        </w:tc>
        <w:tc>
          <w:tcPr>
            <w:tcW w:w="800" w:type="dxa"/>
            <w:vAlign w:val="bottom"/>
            <w:shd w:val="clear" w:color="auto" w:fill="E2E0DE"/>
          </w:tcPr>
          <w:p>
            <w:pPr>
              <w:spacing w:after="0"/>
              <w:rPr>
                <w:sz w:val="5"/>
                <w:szCs w:val="5"/>
                <w:color w:val="auto"/>
              </w:rPr>
            </w:pPr>
          </w:p>
        </w:tc>
      </w:tr>
      <w:tr>
        <w:trPr>
          <w:trHeight w:val="222"/>
        </w:trPr>
        <w:tc>
          <w:tcPr>
            <w:tcW w:w="4660" w:type="dxa"/>
            <w:vAlign w:val="bottom"/>
          </w:tcPr>
          <w:p>
            <w:pPr>
              <w:ind w:left="100"/>
              <w:spacing w:after="0"/>
              <w:rPr>
                <w:sz w:val="20"/>
                <w:szCs w:val="20"/>
                <w:color w:val="auto"/>
              </w:rPr>
            </w:pPr>
            <w:r>
              <w:rPr>
                <w:rFonts w:ascii="Arial" w:cs="Arial" w:eastAsia="Arial" w:hAnsi="Arial"/>
                <w:sz w:val="14"/>
                <w:szCs w:val="14"/>
                <w:color w:val="auto"/>
              </w:rPr>
              <w:t>Real Estate / Project Construction</w:t>
            </w:r>
          </w:p>
        </w:tc>
        <w:tc>
          <w:tcPr>
            <w:tcW w:w="740" w:type="dxa"/>
            <w:vAlign w:val="bottom"/>
          </w:tcPr>
          <w:p>
            <w:pPr>
              <w:ind w:left="340"/>
              <w:spacing w:after="0"/>
              <w:rPr>
                <w:sz w:val="20"/>
                <w:szCs w:val="20"/>
                <w:color w:val="auto"/>
              </w:rPr>
            </w:pPr>
            <w:r>
              <w:rPr>
                <w:rFonts w:ascii="Arial" w:cs="Arial" w:eastAsia="Arial" w:hAnsi="Arial"/>
                <w:sz w:val="14"/>
                <w:szCs w:val="14"/>
                <w:color w:val="auto"/>
              </w:rPr>
              <w:t>X</w:t>
            </w:r>
          </w:p>
        </w:tc>
        <w:tc>
          <w:tcPr>
            <w:tcW w:w="680" w:type="dxa"/>
            <w:vAlign w:val="bottom"/>
          </w:tcPr>
          <w:p>
            <w:pPr>
              <w:ind w:left="260"/>
              <w:spacing w:after="0"/>
              <w:rPr>
                <w:sz w:val="20"/>
                <w:szCs w:val="20"/>
                <w:color w:val="auto"/>
              </w:rPr>
            </w:pPr>
            <w:r>
              <w:rPr>
                <w:rFonts w:ascii="Arial" w:cs="Arial" w:eastAsia="Arial" w:hAnsi="Arial"/>
                <w:sz w:val="14"/>
                <w:szCs w:val="14"/>
                <w:color w:val="auto"/>
              </w:rPr>
              <w:t>X</w:t>
            </w:r>
          </w:p>
        </w:tc>
        <w:tc>
          <w:tcPr>
            <w:tcW w:w="780" w:type="dxa"/>
            <w:vAlign w:val="bottom"/>
          </w:tcPr>
          <w:p>
            <w:pPr>
              <w:ind w:left="320"/>
              <w:spacing w:after="0"/>
              <w:rPr>
                <w:sz w:val="20"/>
                <w:szCs w:val="20"/>
                <w:color w:val="auto"/>
              </w:rPr>
            </w:pPr>
            <w:r>
              <w:rPr>
                <w:rFonts w:ascii="Arial" w:cs="Arial" w:eastAsia="Arial" w:hAnsi="Arial"/>
                <w:sz w:val="14"/>
                <w:szCs w:val="14"/>
                <w:color w:val="auto"/>
              </w:rPr>
              <w:t>X</w:t>
            </w:r>
          </w:p>
        </w:tc>
        <w:tc>
          <w:tcPr>
            <w:tcW w:w="660" w:type="dxa"/>
            <w:vAlign w:val="bottom"/>
          </w:tcPr>
          <w:p>
            <w:pPr>
              <w:ind w:left="260"/>
              <w:spacing w:after="0"/>
              <w:rPr>
                <w:sz w:val="20"/>
                <w:szCs w:val="20"/>
                <w:color w:val="auto"/>
              </w:rPr>
            </w:pPr>
            <w:r>
              <w:rPr>
                <w:rFonts w:ascii="Arial" w:cs="Arial" w:eastAsia="Arial" w:hAnsi="Arial"/>
                <w:sz w:val="14"/>
                <w:szCs w:val="14"/>
                <w:color w:val="auto"/>
              </w:rPr>
              <w:t>X</w:t>
            </w:r>
          </w:p>
        </w:tc>
        <w:tc>
          <w:tcPr>
            <w:tcW w:w="800" w:type="dxa"/>
            <w:vAlign w:val="bottom"/>
          </w:tcPr>
          <w:p>
            <w:pPr>
              <w:spacing w:after="0"/>
              <w:rPr>
                <w:sz w:val="19"/>
                <w:szCs w:val="19"/>
                <w:color w:val="auto"/>
              </w:rPr>
            </w:pPr>
          </w:p>
        </w:tc>
        <w:tc>
          <w:tcPr>
            <w:tcW w:w="660" w:type="dxa"/>
            <w:vAlign w:val="bottom"/>
          </w:tcPr>
          <w:p>
            <w:pPr>
              <w:ind w:left="260"/>
              <w:spacing w:after="0"/>
              <w:rPr>
                <w:sz w:val="20"/>
                <w:szCs w:val="20"/>
                <w:color w:val="auto"/>
              </w:rPr>
            </w:pPr>
            <w:r>
              <w:rPr>
                <w:rFonts w:ascii="Arial" w:cs="Arial" w:eastAsia="Arial" w:hAnsi="Arial"/>
                <w:sz w:val="14"/>
                <w:szCs w:val="14"/>
                <w:color w:val="auto"/>
              </w:rPr>
              <w:t>X</w:t>
            </w:r>
          </w:p>
        </w:tc>
        <w:tc>
          <w:tcPr>
            <w:tcW w:w="840" w:type="dxa"/>
            <w:vAlign w:val="bottom"/>
          </w:tcPr>
          <w:p>
            <w:pPr>
              <w:spacing w:after="0"/>
              <w:rPr>
                <w:sz w:val="19"/>
                <w:szCs w:val="19"/>
                <w:color w:val="auto"/>
              </w:rPr>
            </w:pPr>
          </w:p>
        </w:tc>
        <w:tc>
          <w:tcPr>
            <w:tcW w:w="800" w:type="dxa"/>
            <w:vAlign w:val="bottom"/>
          </w:tcPr>
          <w:p>
            <w:pPr>
              <w:ind w:left="360"/>
              <w:spacing w:after="0"/>
              <w:rPr>
                <w:sz w:val="20"/>
                <w:szCs w:val="20"/>
                <w:color w:val="auto"/>
              </w:rPr>
            </w:pPr>
            <w:r>
              <w:rPr>
                <w:rFonts w:ascii="Arial" w:cs="Arial" w:eastAsia="Arial" w:hAnsi="Arial"/>
                <w:sz w:val="14"/>
                <w:szCs w:val="14"/>
                <w:color w:val="auto"/>
              </w:rPr>
              <w:t>X</w:t>
            </w:r>
          </w:p>
        </w:tc>
      </w:tr>
      <w:tr>
        <w:trPr>
          <w:trHeight w:val="64"/>
        </w:trPr>
        <w:tc>
          <w:tcPr>
            <w:tcW w:w="4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22"/>
        </w:trPr>
        <w:tc>
          <w:tcPr>
            <w:tcW w:w="4660" w:type="dxa"/>
            <w:vAlign w:val="bottom"/>
            <w:shd w:val="clear" w:color="auto" w:fill="E2E0DE"/>
          </w:tcPr>
          <w:p>
            <w:pPr>
              <w:ind w:left="100"/>
              <w:spacing w:after="0"/>
              <w:rPr>
                <w:sz w:val="20"/>
                <w:szCs w:val="20"/>
                <w:color w:val="auto"/>
              </w:rPr>
            </w:pPr>
            <w:r>
              <w:rPr>
                <w:rFonts w:ascii="Arial" w:cs="Arial" w:eastAsia="Arial" w:hAnsi="Arial"/>
                <w:sz w:val="14"/>
                <w:szCs w:val="14"/>
                <w:color w:val="auto"/>
              </w:rPr>
              <w:t>ESG</w:t>
            </w:r>
          </w:p>
        </w:tc>
        <w:tc>
          <w:tcPr>
            <w:tcW w:w="740" w:type="dxa"/>
            <w:vAlign w:val="bottom"/>
            <w:shd w:val="clear" w:color="auto" w:fill="E2E0DE"/>
          </w:tcPr>
          <w:p>
            <w:pPr>
              <w:ind w:left="340"/>
              <w:spacing w:after="0"/>
              <w:rPr>
                <w:sz w:val="20"/>
                <w:szCs w:val="20"/>
                <w:color w:val="auto"/>
              </w:rPr>
            </w:pPr>
            <w:r>
              <w:rPr>
                <w:rFonts w:ascii="Arial" w:cs="Arial" w:eastAsia="Arial" w:hAnsi="Arial"/>
                <w:sz w:val="14"/>
                <w:szCs w:val="14"/>
                <w:color w:val="auto"/>
              </w:rPr>
              <w:t>X</w:t>
            </w:r>
          </w:p>
        </w:tc>
        <w:tc>
          <w:tcPr>
            <w:tcW w:w="680" w:type="dxa"/>
            <w:vAlign w:val="bottom"/>
            <w:shd w:val="clear" w:color="auto" w:fill="E2E0DE"/>
          </w:tcPr>
          <w:p>
            <w:pPr>
              <w:spacing w:after="0"/>
              <w:rPr>
                <w:sz w:val="19"/>
                <w:szCs w:val="19"/>
                <w:color w:val="auto"/>
              </w:rPr>
            </w:pPr>
          </w:p>
        </w:tc>
        <w:tc>
          <w:tcPr>
            <w:tcW w:w="780" w:type="dxa"/>
            <w:vAlign w:val="bottom"/>
            <w:shd w:val="clear" w:color="auto" w:fill="E2E0DE"/>
          </w:tcPr>
          <w:p>
            <w:pPr>
              <w:spacing w:after="0"/>
              <w:rPr>
                <w:sz w:val="19"/>
                <w:szCs w:val="19"/>
                <w:color w:val="auto"/>
              </w:rPr>
            </w:pPr>
          </w:p>
        </w:tc>
        <w:tc>
          <w:tcPr>
            <w:tcW w:w="660" w:type="dxa"/>
            <w:vAlign w:val="bottom"/>
            <w:shd w:val="clear" w:color="auto" w:fill="E2E0DE"/>
          </w:tcPr>
          <w:p>
            <w:pPr>
              <w:ind w:left="260"/>
              <w:spacing w:after="0"/>
              <w:rPr>
                <w:sz w:val="20"/>
                <w:szCs w:val="20"/>
                <w:color w:val="auto"/>
              </w:rPr>
            </w:pPr>
            <w:r>
              <w:rPr>
                <w:rFonts w:ascii="Arial" w:cs="Arial" w:eastAsia="Arial" w:hAnsi="Arial"/>
                <w:sz w:val="14"/>
                <w:szCs w:val="14"/>
                <w:color w:val="auto"/>
              </w:rPr>
              <w:t>X</w:t>
            </w:r>
          </w:p>
        </w:tc>
        <w:tc>
          <w:tcPr>
            <w:tcW w:w="800" w:type="dxa"/>
            <w:vAlign w:val="bottom"/>
            <w:shd w:val="clear" w:color="auto" w:fill="E2E0DE"/>
          </w:tcPr>
          <w:p>
            <w:pPr>
              <w:ind w:left="340"/>
              <w:spacing w:after="0"/>
              <w:rPr>
                <w:sz w:val="20"/>
                <w:szCs w:val="20"/>
                <w:color w:val="auto"/>
              </w:rPr>
            </w:pPr>
            <w:r>
              <w:rPr>
                <w:rFonts w:ascii="Arial" w:cs="Arial" w:eastAsia="Arial" w:hAnsi="Arial"/>
                <w:sz w:val="14"/>
                <w:szCs w:val="14"/>
                <w:color w:val="auto"/>
              </w:rPr>
              <w:t>X</w:t>
            </w:r>
          </w:p>
        </w:tc>
        <w:tc>
          <w:tcPr>
            <w:tcW w:w="660" w:type="dxa"/>
            <w:vAlign w:val="bottom"/>
            <w:shd w:val="clear" w:color="auto" w:fill="E2E0DE"/>
          </w:tcPr>
          <w:p>
            <w:pPr>
              <w:spacing w:after="0"/>
              <w:rPr>
                <w:sz w:val="19"/>
                <w:szCs w:val="19"/>
                <w:color w:val="auto"/>
              </w:rPr>
            </w:pPr>
          </w:p>
        </w:tc>
        <w:tc>
          <w:tcPr>
            <w:tcW w:w="840" w:type="dxa"/>
            <w:vAlign w:val="bottom"/>
            <w:shd w:val="clear" w:color="auto" w:fill="E2E0DE"/>
          </w:tcPr>
          <w:p>
            <w:pPr>
              <w:ind w:left="360"/>
              <w:spacing w:after="0"/>
              <w:rPr>
                <w:sz w:val="20"/>
                <w:szCs w:val="20"/>
                <w:color w:val="auto"/>
              </w:rPr>
            </w:pPr>
            <w:r>
              <w:rPr>
                <w:rFonts w:ascii="Arial" w:cs="Arial" w:eastAsia="Arial" w:hAnsi="Arial"/>
                <w:sz w:val="14"/>
                <w:szCs w:val="14"/>
                <w:color w:val="auto"/>
              </w:rPr>
              <w:t>X</w:t>
            </w:r>
          </w:p>
        </w:tc>
        <w:tc>
          <w:tcPr>
            <w:tcW w:w="800" w:type="dxa"/>
            <w:vAlign w:val="bottom"/>
            <w:shd w:val="clear" w:color="auto" w:fill="E2E0DE"/>
          </w:tcPr>
          <w:p>
            <w:pPr>
              <w:ind w:left="360"/>
              <w:spacing w:after="0"/>
              <w:rPr>
                <w:sz w:val="20"/>
                <w:szCs w:val="20"/>
                <w:color w:val="auto"/>
              </w:rPr>
            </w:pPr>
            <w:r>
              <w:rPr>
                <w:rFonts w:ascii="Arial" w:cs="Arial" w:eastAsia="Arial" w:hAnsi="Arial"/>
                <w:sz w:val="14"/>
                <w:szCs w:val="14"/>
                <w:color w:val="auto"/>
              </w:rPr>
              <w:t>X</w:t>
            </w:r>
          </w:p>
        </w:tc>
      </w:tr>
      <w:tr>
        <w:trPr>
          <w:trHeight w:val="64"/>
        </w:trPr>
        <w:tc>
          <w:tcPr>
            <w:tcW w:w="4660" w:type="dxa"/>
            <w:vAlign w:val="bottom"/>
            <w:shd w:val="clear" w:color="auto" w:fill="E2E0DE"/>
          </w:tcPr>
          <w:p>
            <w:pPr>
              <w:spacing w:after="0"/>
              <w:rPr>
                <w:sz w:val="5"/>
                <w:szCs w:val="5"/>
                <w:color w:val="auto"/>
              </w:rPr>
            </w:pPr>
          </w:p>
        </w:tc>
        <w:tc>
          <w:tcPr>
            <w:tcW w:w="740" w:type="dxa"/>
            <w:vAlign w:val="bottom"/>
            <w:shd w:val="clear" w:color="auto" w:fill="E2E0DE"/>
          </w:tcPr>
          <w:p>
            <w:pPr>
              <w:spacing w:after="0"/>
              <w:rPr>
                <w:sz w:val="5"/>
                <w:szCs w:val="5"/>
                <w:color w:val="auto"/>
              </w:rPr>
            </w:pPr>
          </w:p>
        </w:tc>
        <w:tc>
          <w:tcPr>
            <w:tcW w:w="680" w:type="dxa"/>
            <w:vAlign w:val="bottom"/>
            <w:shd w:val="clear" w:color="auto" w:fill="E2E0DE"/>
          </w:tcPr>
          <w:p>
            <w:pPr>
              <w:spacing w:after="0"/>
              <w:rPr>
                <w:sz w:val="5"/>
                <w:szCs w:val="5"/>
                <w:color w:val="auto"/>
              </w:rPr>
            </w:pPr>
          </w:p>
        </w:tc>
        <w:tc>
          <w:tcPr>
            <w:tcW w:w="780" w:type="dxa"/>
            <w:vAlign w:val="bottom"/>
            <w:shd w:val="clear" w:color="auto" w:fill="E2E0DE"/>
          </w:tcPr>
          <w:p>
            <w:pPr>
              <w:spacing w:after="0"/>
              <w:rPr>
                <w:sz w:val="5"/>
                <w:szCs w:val="5"/>
                <w:color w:val="auto"/>
              </w:rPr>
            </w:pPr>
          </w:p>
        </w:tc>
        <w:tc>
          <w:tcPr>
            <w:tcW w:w="660" w:type="dxa"/>
            <w:vAlign w:val="bottom"/>
            <w:shd w:val="clear" w:color="auto" w:fill="E2E0DE"/>
          </w:tcPr>
          <w:p>
            <w:pPr>
              <w:spacing w:after="0"/>
              <w:rPr>
                <w:sz w:val="5"/>
                <w:szCs w:val="5"/>
                <w:color w:val="auto"/>
              </w:rPr>
            </w:pPr>
          </w:p>
        </w:tc>
        <w:tc>
          <w:tcPr>
            <w:tcW w:w="800" w:type="dxa"/>
            <w:vAlign w:val="bottom"/>
            <w:shd w:val="clear" w:color="auto" w:fill="E2E0DE"/>
          </w:tcPr>
          <w:p>
            <w:pPr>
              <w:spacing w:after="0"/>
              <w:rPr>
                <w:sz w:val="5"/>
                <w:szCs w:val="5"/>
                <w:color w:val="auto"/>
              </w:rPr>
            </w:pPr>
          </w:p>
        </w:tc>
        <w:tc>
          <w:tcPr>
            <w:tcW w:w="660" w:type="dxa"/>
            <w:vAlign w:val="bottom"/>
            <w:shd w:val="clear" w:color="auto" w:fill="E2E0DE"/>
          </w:tcPr>
          <w:p>
            <w:pPr>
              <w:spacing w:after="0"/>
              <w:rPr>
                <w:sz w:val="5"/>
                <w:szCs w:val="5"/>
                <w:color w:val="auto"/>
              </w:rPr>
            </w:pPr>
          </w:p>
        </w:tc>
        <w:tc>
          <w:tcPr>
            <w:tcW w:w="840" w:type="dxa"/>
            <w:vAlign w:val="bottom"/>
            <w:shd w:val="clear" w:color="auto" w:fill="E2E0DE"/>
          </w:tcPr>
          <w:p>
            <w:pPr>
              <w:spacing w:after="0"/>
              <w:rPr>
                <w:sz w:val="5"/>
                <w:szCs w:val="5"/>
                <w:color w:val="auto"/>
              </w:rPr>
            </w:pPr>
          </w:p>
        </w:tc>
        <w:tc>
          <w:tcPr>
            <w:tcW w:w="800" w:type="dxa"/>
            <w:vAlign w:val="bottom"/>
            <w:shd w:val="clear" w:color="auto" w:fill="E2E0DE"/>
          </w:tcPr>
          <w:p>
            <w:pPr>
              <w:spacing w:after="0"/>
              <w:rPr>
                <w:sz w:val="5"/>
                <w:szCs w:val="5"/>
                <w:color w:val="auto"/>
              </w:rPr>
            </w:pPr>
          </w:p>
        </w:tc>
      </w:tr>
    </w:tbl>
    <w:p>
      <w:pPr>
        <w:spacing w:after="0" w:line="9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Denotes those designated as Audit Committee financial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147320</wp:posOffset>
            </wp:positionV>
            <wp:extent cx="6740525" cy="173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40525" cy="173355"/>
                    </a:xfrm>
                    <a:prstGeom prst="rect">
                      <a:avLst/>
                    </a:prstGeom>
                    <a:noFill/>
                  </pic:spPr>
                </pic:pic>
              </a:graphicData>
            </a:graphic>
          </wp:anchor>
        </w:drawing>
      </w:r>
    </w:p>
    <w:p>
      <w:pPr>
        <w:spacing w:after="0" w:line="257"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7160" w:type="dxa"/>
            <w:vAlign w:val="bottom"/>
          </w:tcPr>
          <w:p>
            <w:pPr>
              <w:spacing w:after="0"/>
              <w:rPr>
                <w:sz w:val="20"/>
                <w:szCs w:val="20"/>
                <w:color w:val="auto"/>
              </w:rPr>
            </w:pPr>
            <w:r>
              <w:rPr>
                <w:rFonts w:ascii="Arial" w:cs="Arial" w:eastAsia="Arial" w:hAnsi="Arial"/>
                <w:sz w:val="12"/>
                <w:szCs w:val="12"/>
                <w:b w:val="1"/>
                <w:bCs w:val="1"/>
                <w:color w:val="auto"/>
              </w:rPr>
              <w:t>Board Diversity Matrix (self-identified) (as of March 10, 2023)</w:t>
            </w:r>
          </w:p>
        </w:tc>
        <w:tc>
          <w:tcPr>
            <w:tcW w:w="1840" w:type="dxa"/>
            <w:vAlign w:val="bottom"/>
          </w:tcPr>
          <w:p>
            <w:pPr>
              <w:spacing w:after="0"/>
              <w:rPr>
                <w:sz w:val="13"/>
                <w:szCs w:val="13"/>
                <w:color w:val="auto"/>
              </w:rPr>
            </w:pPr>
          </w:p>
        </w:tc>
      </w:tr>
      <w:tr>
        <w:trPr>
          <w:trHeight w:val="312"/>
        </w:trPr>
        <w:tc>
          <w:tcPr>
            <w:tcW w:w="7160" w:type="dxa"/>
            <w:vAlign w:val="bottom"/>
          </w:tcPr>
          <w:p>
            <w:pPr>
              <w:ind w:left="5140"/>
              <w:spacing w:after="0"/>
              <w:rPr>
                <w:sz w:val="20"/>
                <w:szCs w:val="20"/>
                <w:color w:val="auto"/>
              </w:rPr>
            </w:pPr>
            <w:r>
              <w:rPr>
                <w:rFonts w:ascii="Arial" w:cs="Arial" w:eastAsia="Arial" w:hAnsi="Arial"/>
                <w:sz w:val="12"/>
                <w:szCs w:val="12"/>
                <w:b w:val="1"/>
                <w:bCs w:val="1"/>
                <w:color w:val="FFFFFF"/>
              </w:rPr>
              <w:t>FEMALE</w:t>
            </w:r>
          </w:p>
        </w:tc>
        <w:tc>
          <w:tcPr>
            <w:tcW w:w="1840" w:type="dxa"/>
            <w:vAlign w:val="bottom"/>
          </w:tcPr>
          <w:p>
            <w:pPr>
              <w:ind w:left="1500"/>
              <w:spacing w:after="0"/>
              <w:rPr>
                <w:sz w:val="20"/>
                <w:szCs w:val="20"/>
                <w:color w:val="auto"/>
              </w:rPr>
            </w:pPr>
            <w:r>
              <w:rPr>
                <w:rFonts w:ascii="Arial" w:cs="Arial" w:eastAsia="Arial" w:hAnsi="Arial"/>
                <w:sz w:val="12"/>
                <w:szCs w:val="12"/>
                <w:b w:val="1"/>
                <w:bCs w:val="1"/>
                <w:color w:val="FFFFFF"/>
                <w:w w:val="93"/>
              </w:rPr>
              <w:t>MALE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-154305</wp:posOffset>
            </wp:positionV>
            <wp:extent cx="6740525" cy="421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40525" cy="421005"/>
                    </a:xfrm>
                    <a:prstGeom prst="rect">
                      <a:avLst/>
                    </a:prstGeom>
                    <a:noFill/>
                  </pic:spPr>
                </pic:pic>
              </a:graphicData>
            </a:graphic>
          </wp:anchor>
        </w:drawing>
      </w:r>
    </w:p>
    <w:p>
      <w:pPr>
        <w:spacing w:after="0" w:line="48"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3720" w:type="dxa"/>
            <w:vAlign w:val="bottom"/>
            <w:shd w:val="clear" w:color="auto" w:fill="E2E0DE"/>
          </w:tcPr>
          <w:p>
            <w:pPr>
              <w:ind w:left="100"/>
              <w:spacing w:after="0"/>
              <w:rPr>
                <w:sz w:val="20"/>
                <w:szCs w:val="20"/>
                <w:color w:val="auto"/>
              </w:rPr>
            </w:pPr>
            <w:r>
              <w:rPr>
                <w:rFonts w:ascii="Arial" w:cs="Arial" w:eastAsia="Arial" w:hAnsi="Arial"/>
                <w:sz w:val="14"/>
                <w:szCs w:val="14"/>
                <w:color w:val="auto"/>
              </w:rPr>
              <w:t>Total Number of Directors</w:t>
            </w:r>
          </w:p>
        </w:tc>
        <w:tc>
          <w:tcPr>
            <w:tcW w:w="2640" w:type="dxa"/>
            <w:vAlign w:val="bottom"/>
            <w:shd w:val="clear" w:color="auto" w:fill="E2E0DE"/>
          </w:tcPr>
          <w:p>
            <w:pPr>
              <w:spacing w:after="0"/>
              <w:rPr>
                <w:sz w:val="24"/>
                <w:szCs w:val="24"/>
                <w:color w:val="auto"/>
              </w:rPr>
            </w:pPr>
          </w:p>
        </w:tc>
        <w:tc>
          <w:tcPr>
            <w:tcW w:w="4260" w:type="dxa"/>
            <w:vAlign w:val="bottom"/>
            <w:shd w:val="clear" w:color="auto" w:fill="E2E0DE"/>
          </w:tcPr>
          <w:p>
            <w:pPr>
              <w:jc w:val="right"/>
              <w:ind w:right="3311"/>
              <w:spacing w:after="0"/>
              <w:rPr>
                <w:sz w:val="20"/>
                <w:szCs w:val="20"/>
                <w:color w:val="auto"/>
              </w:rPr>
            </w:pPr>
            <w:r>
              <w:rPr>
                <w:rFonts w:ascii="Arial" w:cs="Arial" w:eastAsia="Arial" w:hAnsi="Arial"/>
                <w:sz w:val="14"/>
                <w:szCs w:val="14"/>
                <w:color w:val="auto"/>
              </w:rPr>
              <w:t>9</w:t>
            </w:r>
          </w:p>
        </w:tc>
      </w:tr>
      <w:tr>
        <w:trPr>
          <w:trHeight w:val="64"/>
        </w:trPr>
        <w:tc>
          <w:tcPr>
            <w:tcW w:w="3720" w:type="dxa"/>
            <w:vAlign w:val="bottom"/>
            <w:shd w:val="clear" w:color="auto" w:fill="E2E0DE"/>
          </w:tcPr>
          <w:p>
            <w:pPr>
              <w:spacing w:after="0"/>
              <w:rPr>
                <w:sz w:val="5"/>
                <w:szCs w:val="5"/>
                <w:color w:val="auto"/>
              </w:rPr>
            </w:pPr>
          </w:p>
        </w:tc>
        <w:tc>
          <w:tcPr>
            <w:tcW w:w="2640" w:type="dxa"/>
            <w:vAlign w:val="bottom"/>
            <w:shd w:val="clear" w:color="auto" w:fill="E2E0DE"/>
          </w:tcPr>
          <w:p>
            <w:pPr>
              <w:spacing w:after="0"/>
              <w:rPr>
                <w:sz w:val="5"/>
                <w:szCs w:val="5"/>
                <w:color w:val="auto"/>
              </w:rPr>
            </w:pPr>
          </w:p>
        </w:tc>
        <w:tc>
          <w:tcPr>
            <w:tcW w:w="4260" w:type="dxa"/>
            <w:vAlign w:val="bottom"/>
            <w:shd w:val="clear" w:color="auto" w:fill="E2E0DE"/>
          </w:tcPr>
          <w:p>
            <w:pPr>
              <w:spacing w:after="0"/>
              <w:rPr>
                <w:sz w:val="5"/>
                <w:szCs w:val="5"/>
                <w:color w:val="auto"/>
              </w:rPr>
            </w:pPr>
          </w:p>
        </w:tc>
      </w:tr>
      <w:tr>
        <w:trPr>
          <w:trHeight w:val="244"/>
        </w:trPr>
        <w:tc>
          <w:tcPr>
            <w:tcW w:w="3720" w:type="dxa"/>
            <w:vAlign w:val="bottom"/>
            <w:shd w:val="clear" w:color="auto" w:fill="71655E"/>
          </w:tcPr>
          <w:p>
            <w:pPr>
              <w:ind w:left="140"/>
              <w:spacing w:after="0"/>
              <w:rPr>
                <w:sz w:val="20"/>
                <w:szCs w:val="20"/>
                <w:color w:val="auto"/>
              </w:rPr>
            </w:pPr>
            <w:r>
              <w:rPr>
                <w:rFonts w:ascii="Arial" w:cs="Arial" w:eastAsia="Arial" w:hAnsi="Arial"/>
                <w:sz w:val="12"/>
                <w:szCs w:val="12"/>
                <w:b w:val="1"/>
                <w:bCs w:val="1"/>
                <w:color w:val="FFFFFF"/>
              </w:rPr>
              <w:t>Part I: Gender Identity</w:t>
            </w:r>
          </w:p>
        </w:tc>
        <w:tc>
          <w:tcPr>
            <w:tcW w:w="2640" w:type="dxa"/>
            <w:vAlign w:val="bottom"/>
            <w:shd w:val="clear" w:color="auto" w:fill="71655E"/>
          </w:tcPr>
          <w:p>
            <w:pPr>
              <w:spacing w:after="0"/>
              <w:rPr>
                <w:sz w:val="21"/>
                <w:szCs w:val="21"/>
                <w:color w:val="auto"/>
              </w:rPr>
            </w:pPr>
          </w:p>
        </w:tc>
        <w:tc>
          <w:tcPr>
            <w:tcW w:w="4260" w:type="dxa"/>
            <w:vAlign w:val="bottom"/>
            <w:shd w:val="clear" w:color="auto" w:fill="71655E"/>
          </w:tcPr>
          <w:p>
            <w:pPr>
              <w:spacing w:after="0"/>
              <w:rPr>
                <w:sz w:val="21"/>
                <w:szCs w:val="21"/>
                <w:color w:val="auto"/>
              </w:rPr>
            </w:pPr>
          </w:p>
        </w:tc>
      </w:tr>
      <w:tr>
        <w:trPr>
          <w:trHeight w:val="68"/>
        </w:trPr>
        <w:tc>
          <w:tcPr>
            <w:tcW w:w="3720" w:type="dxa"/>
            <w:vAlign w:val="bottom"/>
            <w:shd w:val="clear" w:color="auto" w:fill="71655E"/>
          </w:tcPr>
          <w:p>
            <w:pPr>
              <w:spacing w:after="0"/>
              <w:rPr>
                <w:sz w:val="5"/>
                <w:szCs w:val="5"/>
                <w:color w:val="auto"/>
              </w:rPr>
            </w:pPr>
          </w:p>
        </w:tc>
        <w:tc>
          <w:tcPr>
            <w:tcW w:w="2640" w:type="dxa"/>
            <w:vAlign w:val="bottom"/>
            <w:shd w:val="clear" w:color="auto" w:fill="71655E"/>
          </w:tcPr>
          <w:p>
            <w:pPr>
              <w:spacing w:after="0"/>
              <w:rPr>
                <w:sz w:val="5"/>
                <w:szCs w:val="5"/>
                <w:color w:val="auto"/>
              </w:rPr>
            </w:pPr>
          </w:p>
        </w:tc>
        <w:tc>
          <w:tcPr>
            <w:tcW w:w="4260" w:type="dxa"/>
            <w:vAlign w:val="bottom"/>
            <w:shd w:val="clear" w:color="auto" w:fill="71655E"/>
          </w:tcPr>
          <w:p>
            <w:pPr>
              <w:spacing w:after="0"/>
              <w:rPr>
                <w:sz w:val="5"/>
                <w:szCs w:val="5"/>
                <w:color w:val="auto"/>
              </w:rPr>
            </w:pPr>
          </w:p>
        </w:tc>
      </w:tr>
      <w:tr>
        <w:trPr>
          <w:trHeight w:val="274"/>
        </w:trPr>
        <w:tc>
          <w:tcPr>
            <w:tcW w:w="3720" w:type="dxa"/>
            <w:vAlign w:val="bottom"/>
            <w:shd w:val="clear" w:color="auto" w:fill="E2E0DE"/>
          </w:tcPr>
          <w:p>
            <w:pPr>
              <w:ind w:left="440"/>
              <w:spacing w:after="0"/>
              <w:rPr>
                <w:sz w:val="20"/>
                <w:szCs w:val="20"/>
                <w:color w:val="auto"/>
              </w:rPr>
            </w:pPr>
            <w:r>
              <w:rPr>
                <w:rFonts w:ascii="Arial" w:cs="Arial" w:eastAsia="Arial" w:hAnsi="Arial"/>
                <w:sz w:val="14"/>
                <w:szCs w:val="14"/>
                <w:color w:val="auto"/>
              </w:rPr>
              <w:t>Directors</w:t>
            </w:r>
          </w:p>
        </w:tc>
        <w:tc>
          <w:tcPr>
            <w:tcW w:w="2640" w:type="dxa"/>
            <w:vAlign w:val="bottom"/>
            <w:shd w:val="clear" w:color="auto" w:fill="E2E0DE"/>
          </w:tcPr>
          <w:p>
            <w:pPr>
              <w:jc w:val="right"/>
              <w:ind w:right="711"/>
              <w:spacing w:after="0"/>
              <w:rPr>
                <w:sz w:val="20"/>
                <w:szCs w:val="20"/>
                <w:color w:val="auto"/>
              </w:rPr>
            </w:pPr>
            <w:r>
              <w:rPr>
                <w:rFonts w:ascii="Arial" w:cs="Arial" w:eastAsia="Arial" w:hAnsi="Arial"/>
                <w:sz w:val="14"/>
                <w:szCs w:val="14"/>
                <w:color w:val="auto"/>
              </w:rPr>
              <w:t>4</w:t>
            </w:r>
          </w:p>
        </w:tc>
        <w:tc>
          <w:tcPr>
            <w:tcW w:w="4260" w:type="dxa"/>
            <w:vAlign w:val="bottom"/>
            <w:shd w:val="clear" w:color="auto" w:fill="E2E0DE"/>
          </w:tcPr>
          <w:p>
            <w:pPr>
              <w:jc w:val="right"/>
              <w:ind w:right="1531"/>
              <w:spacing w:after="0"/>
              <w:rPr>
                <w:sz w:val="20"/>
                <w:szCs w:val="20"/>
                <w:color w:val="auto"/>
              </w:rPr>
            </w:pPr>
            <w:r>
              <w:rPr>
                <w:rFonts w:ascii="Arial" w:cs="Arial" w:eastAsia="Arial" w:hAnsi="Arial"/>
                <w:sz w:val="14"/>
                <w:szCs w:val="14"/>
                <w:color w:val="auto"/>
              </w:rPr>
              <w:t>5</w:t>
            </w:r>
          </w:p>
        </w:tc>
      </w:tr>
      <w:tr>
        <w:trPr>
          <w:trHeight w:val="64"/>
        </w:trPr>
        <w:tc>
          <w:tcPr>
            <w:tcW w:w="3720" w:type="dxa"/>
            <w:vAlign w:val="bottom"/>
            <w:shd w:val="clear" w:color="auto" w:fill="E2E0DE"/>
          </w:tcPr>
          <w:p>
            <w:pPr>
              <w:spacing w:after="0"/>
              <w:rPr>
                <w:sz w:val="5"/>
                <w:szCs w:val="5"/>
                <w:color w:val="auto"/>
              </w:rPr>
            </w:pPr>
          </w:p>
        </w:tc>
        <w:tc>
          <w:tcPr>
            <w:tcW w:w="2640" w:type="dxa"/>
            <w:vAlign w:val="bottom"/>
            <w:shd w:val="clear" w:color="auto" w:fill="E2E0DE"/>
          </w:tcPr>
          <w:p>
            <w:pPr>
              <w:spacing w:after="0"/>
              <w:rPr>
                <w:sz w:val="5"/>
                <w:szCs w:val="5"/>
                <w:color w:val="auto"/>
              </w:rPr>
            </w:pPr>
          </w:p>
        </w:tc>
        <w:tc>
          <w:tcPr>
            <w:tcW w:w="4260" w:type="dxa"/>
            <w:vAlign w:val="bottom"/>
            <w:shd w:val="clear" w:color="auto" w:fill="E2E0DE"/>
          </w:tcPr>
          <w:p>
            <w:pPr>
              <w:spacing w:after="0"/>
              <w:rPr>
                <w:sz w:val="5"/>
                <w:szCs w:val="5"/>
                <w:color w:val="auto"/>
              </w:rPr>
            </w:pPr>
          </w:p>
        </w:tc>
      </w:tr>
      <w:tr>
        <w:trPr>
          <w:trHeight w:val="244"/>
        </w:trPr>
        <w:tc>
          <w:tcPr>
            <w:tcW w:w="3720" w:type="dxa"/>
            <w:vAlign w:val="bottom"/>
            <w:shd w:val="clear" w:color="auto" w:fill="71655E"/>
          </w:tcPr>
          <w:p>
            <w:pPr>
              <w:ind w:left="140"/>
              <w:spacing w:after="0"/>
              <w:rPr>
                <w:sz w:val="20"/>
                <w:szCs w:val="20"/>
                <w:color w:val="auto"/>
              </w:rPr>
            </w:pPr>
            <w:r>
              <w:rPr>
                <w:rFonts w:ascii="Arial" w:cs="Arial" w:eastAsia="Arial" w:hAnsi="Arial"/>
                <w:sz w:val="12"/>
                <w:szCs w:val="12"/>
                <w:b w:val="1"/>
                <w:bCs w:val="1"/>
                <w:color w:val="FFFFFF"/>
              </w:rPr>
              <w:t>Part II: Demographic Background</w:t>
            </w:r>
          </w:p>
        </w:tc>
        <w:tc>
          <w:tcPr>
            <w:tcW w:w="2640" w:type="dxa"/>
            <w:vAlign w:val="bottom"/>
            <w:shd w:val="clear" w:color="auto" w:fill="71655E"/>
          </w:tcPr>
          <w:p>
            <w:pPr>
              <w:spacing w:after="0"/>
              <w:rPr>
                <w:sz w:val="21"/>
                <w:szCs w:val="21"/>
                <w:color w:val="auto"/>
              </w:rPr>
            </w:pPr>
          </w:p>
        </w:tc>
        <w:tc>
          <w:tcPr>
            <w:tcW w:w="4260" w:type="dxa"/>
            <w:vAlign w:val="bottom"/>
            <w:shd w:val="clear" w:color="auto" w:fill="71655E"/>
          </w:tcPr>
          <w:p>
            <w:pPr>
              <w:spacing w:after="0"/>
              <w:rPr>
                <w:sz w:val="21"/>
                <w:szCs w:val="21"/>
                <w:color w:val="auto"/>
              </w:rPr>
            </w:pPr>
          </w:p>
        </w:tc>
      </w:tr>
      <w:tr>
        <w:trPr>
          <w:trHeight w:val="68"/>
        </w:trPr>
        <w:tc>
          <w:tcPr>
            <w:tcW w:w="3720" w:type="dxa"/>
            <w:vAlign w:val="bottom"/>
            <w:shd w:val="clear" w:color="auto" w:fill="71655E"/>
          </w:tcPr>
          <w:p>
            <w:pPr>
              <w:spacing w:after="0"/>
              <w:rPr>
                <w:sz w:val="5"/>
                <w:szCs w:val="5"/>
                <w:color w:val="auto"/>
              </w:rPr>
            </w:pPr>
          </w:p>
        </w:tc>
        <w:tc>
          <w:tcPr>
            <w:tcW w:w="2640" w:type="dxa"/>
            <w:vAlign w:val="bottom"/>
            <w:shd w:val="clear" w:color="auto" w:fill="71655E"/>
          </w:tcPr>
          <w:p>
            <w:pPr>
              <w:spacing w:after="0"/>
              <w:rPr>
                <w:sz w:val="5"/>
                <w:szCs w:val="5"/>
                <w:color w:val="auto"/>
              </w:rPr>
            </w:pPr>
          </w:p>
        </w:tc>
        <w:tc>
          <w:tcPr>
            <w:tcW w:w="4260" w:type="dxa"/>
            <w:vAlign w:val="bottom"/>
            <w:shd w:val="clear" w:color="auto" w:fill="71655E"/>
          </w:tcPr>
          <w:p>
            <w:pPr>
              <w:spacing w:after="0"/>
              <w:rPr>
                <w:sz w:val="5"/>
                <w:szCs w:val="5"/>
                <w:color w:val="auto"/>
              </w:rPr>
            </w:pPr>
          </w:p>
        </w:tc>
      </w:tr>
      <w:tr>
        <w:trPr>
          <w:trHeight w:val="274"/>
        </w:trPr>
        <w:tc>
          <w:tcPr>
            <w:tcW w:w="3720" w:type="dxa"/>
            <w:vAlign w:val="bottom"/>
            <w:shd w:val="clear" w:color="auto" w:fill="E2E0DE"/>
          </w:tcPr>
          <w:p>
            <w:pPr>
              <w:ind w:left="440"/>
              <w:spacing w:after="0"/>
              <w:rPr>
                <w:sz w:val="20"/>
                <w:szCs w:val="20"/>
                <w:color w:val="auto"/>
              </w:rPr>
            </w:pPr>
            <w:r>
              <w:rPr>
                <w:rFonts w:ascii="Arial" w:cs="Arial" w:eastAsia="Arial" w:hAnsi="Arial"/>
                <w:sz w:val="14"/>
                <w:szCs w:val="14"/>
                <w:color w:val="auto"/>
              </w:rPr>
              <w:t>African American or Black</w:t>
            </w:r>
          </w:p>
        </w:tc>
        <w:tc>
          <w:tcPr>
            <w:tcW w:w="2640" w:type="dxa"/>
            <w:vAlign w:val="bottom"/>
            <w:shd w:val="clear" w:color="auto" w:fill="E2E0DE"/>
          </w:tcPr>
          <w:p>
            <w:pPr>
              <w:jc w:val="right"/>
              <w:ind w:right="711"/>
              <w:spacing w:after="0"/>
              <w:rPr>
                <w:sz w:val="20"/>
                <w:szCs w:val="20"/>
                <w:color w:val="auto"/>
              </w:rPr>
            </w:pPr>
            <w:r>
              <w:rPr>
                <w:rFonts w:ascii="Arial" w:cs="Arial" w:eastAsia="Arial" w:hAnsi="Arial"/>
                <w:sz w:val="14"/>
                <w:szCs w:val="14"/>
                <w:color w:val="auto"/>
              </w:rPr>
              <w:t>0</w:t>
            </w:r>
          </w:p>
        </w:tc>
        <w:tc>
          <w:tcPr>
            <w:tcW w:w="4260" w:type="dxa"/>
            <w:vAlign w:val="bottom"/>
            <w:shd w:val="clear" w:color="auto" w:fill="E2E0DE"/>
          </w:tcPr>
          <w:p>
            <w:pPr>
              <w:jc w:val="right"/>
              <w:ind w:right="1531"/>
              <w:spacing w:after="0"/>
              <w:rPr>
                <w:sz w:val="20"/>
                <w:szCs w:val="20"/>
                <w:color w:val="auto"/>
              </w:rPr>
            </w:pPr>
            <w:r>
              <w:rPr>
                <w:rFonts w:ascii="Arial" w:cs="Arial" w:eastAsia="Arial" w:hAnsi="Arial"/>
                <w:sz w:val="14"/>
                <w:szCs w:val="14"/>
                <w:color w:val="auto"/>
              </w:rPr>
              <w:t>1</w:t>
            </w:r>
          </w:p>
        </w:tc>
      </w:tr>
      <w:tr>
        <w:trPr>
          <w:trHeight w:val="338"/>
        </w:trPr>
        <w:tc>
          <w:tcPr>
            <w:tcW w:w="3720" w:type="dxa"/>
            <w:vAlign w:val="bottom"/>
            <w:shd w:val="clear" w:color="auto" w:fill="E2E0DE"/>
          </w:tcPr>
          <w:p>
            <w:pPr>
              <w:ind w:left="440"/>
              <w:spacing w:after="0"/>
              <w:rPr>
                <w:sz w:val="20"/>
                <w:szCs w:val="20"/>
                <w:color w:val="auto"/>
              </w:rPr>
            </w:pPr>
            <w:r>
              <w:rPr>
                <w:rFonts w:ascii="Arial" w:cs="Arial" w:eastAsia="Arial" w:hAnsi="Arial"/>
                <w:sz w:val="14"/>
                <w:szCs w:val="14"/>
                <w:color w:val="auto"/>
              </w:rPr>
              <w:t>White</w:t>
            </w:r>
          </w:p>
        </w:tc>
        <w:tc>
          <w:tcPr>
            <w:tcW w:w="2640" w:type="dxa"/>
            <w:vAlign w:val="bottom"/>
            <w:shd w:val="clear" w:color="auto" w:fill="E2E0DE"/>
          </w:tcPr>
          <w:p>
            <w:pPr>
              <w:jc w:val="right"/>
              <w:ind w:right="711"/>
              <w:spacing w:after="0"/>
              <w:rPr>
                <w:sz w:val="20"/>
                <w:szCs w:val="20"/>
                <w:color w:val="auto"/>
              </w:rPr>
            </w:pPr>
            <w:r>
              <w:rPr>
                <w:rFonts w:ascii="Arial" w:cs="Arial" w:eastAsia="Arial" w:hAnsi="Arial"/>
                <w:sz w:val="14"/>
                <w:szCs w:val="14"/>
                <w:color w:val="auto"/>
              </w:rPr>
              <w:t>4</w:t>
            </w:r>
          </w:p>
        </w:tc>
        <w:tc>
          <w:tcPr>
            <w:tcW w:w="4260" w:type="dxa"/>
            <w:vAlign w:val="bottom"/>
            <w:shd w:val="clear" w:color="auto" w:fill="E2E0DE"/>
          </w:tcPr>
          <w:p>
            <w:pPr>
              <w:jc w:val="right"/>
              <w:ind w:right="1531"/>
              <w:spacing w:after="0"/>
              <w:rPr>
                <w:sz w:val="20"/>
                <w:szCs w:val="20"/>
                <w:color w:val="auto"/>
              </w:rPr>
            </w:pPr>
            <w:r>
              <w:rPr>
                <w:rFonts w:ascii="Arial" w:cs="Arial" w:eastAsia="Arial" w:hAnsi="Arial"/>
                <w:sz w:val="14"/>
                <w:szCs w:val="14"/>
                <w:color w:val="auto"/>
              </w:rPr>
              <w:t>4</w:t>
            </w:r>
          </w:p>
        </w:tc>
      </w:tr>
      <w:tr>
        <w:trPr>
          <w:trHeight w:val="64"/>
        </w:trPr>
        <w:tc>
          <w:tcPr>
            <w:tcW w:w="3720" w:type="dxa"/>
            <w:vAlign w:val="bottom"/>
            <w:shd w:val="clear" w:color="auto" w:fill="E2E0DE"/>
          </w:tcPr>
          <w:p>
            <w:pPr>
              <w:spacing w:after="0"/>
              <w:rPr>
                <w:sz w:val="5"/>
                <w:szCs w:val="5"/>
                <w:color w:val="auto"/>
              </w:rPr>
            </w:pPr>
          </w:p>
        </w:tc>
        <w:tc>
          <w:tcPr>
            <w:tcW w:w="2640" w:type="dxa"/>
            <w:vAlign w:val="bottom"/>
            <w:shd w:val="clear" w:color="auto" w:fill="E2E0DE"/>
          </w:tcPr>
          <w:p>
            <w:pPr>
              <w:spacing w:after="0"/>
              <w:rPr>
                <w:sz w:val="5"/>
                <w:szCs w:val="5"/>
                <w:color w:val="auto"/>
              </w:rPr>
            </w:pPr>
          </w:p>
        </w:tc>
        <w:tc>
          <w:tcPr>
            <w:tcW w:w="4260" w:type="dxa"/>
            <w:vAlign w:val="bottom"/>
            <w:shd w:val="clear" w:color="auto" w:fill="E2E0DE"/>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4793615</wp:posOffset>
            </wp:positionH>
            <wp:positionV relativeFrom="paragraph">
              <wp:posOffset>-428625</wp:posOffset>
            </wp:positionV>
            <wp:extent cx="8255" cy="429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429260"/>
                    </a:xfrm>
                    <a:prstGeom prst="rect">
                      <a:avLst/>
                    </a:prstGeom>
                    <a:noFill/>
                  </pic:spPr>
                </pic:pic>
              </a:graphicData>
            </a:graphic>
          </wp:anchor>
        </w:drawing>
        <w:drawing>
          <wp:anchor simplePos="0" relativeHeight="251657728" behindDoc="1" locked="0" layoutInCell="0" allowOverlap="1">
            <wp:simplePos x="0" y="0"/>
            <wp:positionH relativeFrom="column">
              <wp:posOffset>2563495</wp:posOffset>
            </wp:positionH>
            <wp:positionV relativeFrom="paragraph">
              <wp:posOffset>-428625</wp:posOffset>
            </wp:positionV>
            <wp:extent cx="8255" cy="429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429260"/>
                    </a:xfrm>
                    <a:prstGeom prst="rect">
                      <a:avLst/>
                    </a:prstGeom>
                    <a:noFill/>
                  </pic:spPr>
                </pic:pic>
              </a:graphicData>
            </a:graphic>
          </wp:anchor>
        </w:drawing>
        <w:drawing>
          <wp:anchor simplePos="0" relativeHeight="251657728" behindDoc="1" locked="0" layoutInCell="0" allowOverlap="1">
            <wp:simplePos x="0" y="0"/>
            <wp:positionH relativeFrom="column">
              <wp:posOffset>4793615</wp:posOffset>
            </wp:positionH>
            <wp:positionV relativeFrom="paragraph">
              <wp:posOffset>-842010</wp:posOffset>
            </wp:positionV>
            <wp:extent cx="8255" cy="214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214630"/>
                    </a:xfrm>
                    <a:prstGeom prst="rect">
                      <a:avLst/>
                    </a:prstGeom>
                    <a:noFill/>
                  </pic:spPr>
                </pic:pic>
              </a:graphicData>
            </a:graphic>
          </wp:anchor>
        </w:drawing>
        <w:drawing>
          <wp:anchor simplePos="0" relativeHeight="251657728" behindDoc="1" locked="0" layoutInCell="0" allowOverlap="1">
            <wp:simplePos x="0" y="0"/>
            <wp:positionH relativeFrom="column">
              <wp:posOffset>2563495</wp:posOffset>
            </wp:positionH>
            <wp:positionV relativeFrom="paragraph">
              <wp:posOffset>-842010</wp:posOffset>
            </wp:positionV>
            <wp:extent cx="8255"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21463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Board composition</w:t>
      </w:r>
    </w:p>
    <w:p>
      <w:pPr>
        <w:spacing w:after="0" w:line="33" w:lineRule="exact"/>
        <w:rPr>
          <w:sz w:val="20"/>
          <w:szCs w:val="20"/>
          <w:color w:val="auto"/>
        </w:rPr>
      </w:pPr>
    </w:p>
    <w:p>
      <w:pPr>
        <w:ind w:left="320" w:right="180"/>
        <w:spacing w:after="0" w:line="243" w:lineRule="auto"/>
        <w:rPr>
          <w:sz w:val="20"/>
          <w:szCs w:val="20"/>
          <w:color w:val="auto"/>
        </w:rPr>
      </w:pPr>
      <w:r>
        <w:rPr>
          <w:rFonts w:ascii="Arial" w:cs="Arial" w:eastAsia="Arial" w:hAnsi="Arial"/>
          <w:sz w:val="17"/>
          <w:szCs w:val="17"/>
          <w:color w:val="auto"/>
        </w:rPr>
        <w:t>Our Board currently has nine members: Philip Satre, who serves as non-executive Chair of the Board, Betsy Atkins, Craig Billings, our Chief Executive Officer, Richard Byrne, Patricia Mulroy, Margaret Myers, Clark Randt, Jr., Darnell Strom, and Winifred Webb. In addition, Matt Maddox served as a director until his departure on January 31, 2022. In accordance with our Retirement Policy included as part of our Corporate Governance Guidelines, Ambassador Randt will not be standing for re- election and will be retiring as a member of the Board effective at the 2023 Annual Meeting. We thank Ambassador Randt for his many years of dedicated service to the Company.</w:t>
      </w:r>
    </w:p>
    <w:p>
      <w:pPr>
        <w:spacing w:after="0" w:line="194" w:lineRule="exact"/>
        <w:rPr>
          <w:sz w:val="20"/>
          <w:szCs w:val="20"/>
          <w:color w:val="auto"/>
        </w:rPr>
      </w:pPr>
    </w:p>
    <w:p>
      <w:pPr>
        <w:ind w:left="320" w:right="280"/>
        <w:spacing w:after="0" w:line="256" w:lineRule="auto"/>
        <w:rPr>
          <w:sz w:val="20"/>
          <w:szCs w:val="20"/>
          <w:color w:val="auto"/>
        </w:rPr>
      </w:pPr>
      <w:r>
        <w:rPr>
          <w:rFonts w:ascii="Arial" w:cs="Arial" w:eastAsia="Arial" w:hAnsi="Arial"/>
          <w:sz w:val="17"/>
          <w:szCs w:val="17"/>
          <w:color w:val="auto"/>
        </w:rPr>
        <w:t>At the 2023 Annual Meeting, Mr. Byrne, Ms. Mulroy, and Mr. Satre are standing for election to serve on our Board until the 2026 Annual Meeting.</w:t>
      </w:r>
    </w:p>
    <w:p>
      <w:pPr>
        <w:spacing w:after="0" w:line="12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 3 //</w:t>
      </w:r>
    </w:p>
    <w:p>
      <w:pPr>
        <w:sectPr>
          <w:pgSz w:w="11900" w:h="16838" w:orient="portrait"/>
          <w:cols w:equalWidth="0" w:num="1">
            <w:col w:w="10940"/>
          </w:cols>
          <w:pgMar w:left="320" w:top="473" w:right="6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 xml:space="preserve">Director biographies </w:t>
      </w:r>
      <w:r>
        <w:rPr>
          <w:rFonts w:ascii="Arial" w:cs="Arial" w:eastAsia="Arial" w:hAnsi="Arial"/>
          <w:sz w:val="13"/>
          <w:szCs w:val="13"/>
          <w:color w:val="auto"/>
        </w:rPr>
        <w:t>Biographical and other information for our directors is provided below.</w:t>
      </w: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 xml:space="preserve">Betsy S. Atkins </w:t>
      </w:r>
      <w:r>
        <w:rPr>
          <w:rFonts w:ascii="Arial" w:cs="Arial" w:eastAsia="Arial" w:hAnsi="Arial"/>
          <w:sz w:val="13"/>
          <w:szCs w:val="13"/>
          <w:b w:val="1"/>
          <w:bCs w:val="1"/>
          <w:i w:val="1"/>
          <w:iCs w:val="1"/>
          <w:color w:val="333D3F"/>
        </w:rPr>
        <w:t>Chief Executive Officer and Founder, Baja Corporation</w:t>
      </w:r>
    </w:p>
    <w:p>
      <w:pPr>
        <w:spacing w:after="0" w:line="229" w:lineRule="exact"/>
        <w:rPr>
          <w:sz w:val="20"/>
          <w:szCs w:val="20"/>
          <w:color w:val="auto"/>
        </w:rPr>
      </w:pPr>
    </w:p>
    <w:p>
      <w:pPr>
        <w:jc w:val="both"/>
        <w:ind w:left="320" w:right="180"/>
        <w:spacing w:after="0" w:line="237" w:lineRule="auto"/>
        <w:rPr>
          <w:sz w:val="20"/>
          <w:szCs w:val="20"/>
          <w:color w:val="auto"/>
        </w:rPr>
      </w:pPr>
      <w:r>
        <w:rPr>
          <w:rFonts w:ascii="Arial" w:cs="Arial" w:eastAsia="Arial" w:hAnsi="Arial"/>
          <w:sz w:val="14"/>
          <w:szCs w:val="14"/>
          <w:color w:val="auto"/>
        </w:rPr>
        <w:t>Ms. Atkins has been the Chief Executive Officer of Baja Corporation, an independent venture capital firm focused on technology, renewable energy and life sciences, since 1994. Ms. Atkins currently serves on the Boards of SL Green Realty (since April 2015), Solaredge Technologies, Inc. (since June 2021) and Enovix Corporation (since July 2021).</w:t>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320" w:type="dxa"/>
        <w:tblCellMar>
          <w:top w:w="0" w:type="dxa"/>
          <w:left w:w="0" w:type="dxa"/>
          <w:bottom w:w="0" w:type="dxa"/>
          <w:right w:w="0" w:type="dxa"/>
        </w:tblCellMar>
      </w:tblPr>
      <w:tr>
        <w:trPr>
          <w:trHeight w:val="400"/>
        </w:trPr>
        <w:tc>
          <w:tcPr>
            <w:tcW w:w="160" w:type="dxa"/>
            <w:vAlign w:val="bottom"/>
            <w:shd w:val="clear" w:color="auto" w:fill="FBF9EC"/>
          </w:tcPr>
          <w:p>
            <w:pPr>
              <w:spacing w:after="0"/>
              <w:rPr>
                <w:sz w:val="24"/>
                <w:szCs w:val="24"/>
                <w:color w:val="auto"/>
              </w:rPr>
            </w:pPr>
          </w:p>
        </w:tc>
        <w:tc>
          <w:tcPr>
            <w:tcW w:w="126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Director Since</w:t>
            </w:r>
          </w:p>
        </w:tc>
        <w:tc>
          <w:tcPr>
            <w:tcW w:w="16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April 2018</w:t>
            </w:r>
          </w:p>
        </w:tc>
        <w:tc>
          <w:tcPr>
            <w:tcW w:w="0" w:type="dxa"/>
            <w:vAlign w:val="bottom"/>
          </w:tcPr>
          <w:p>
            <w:pPr>
              <w:spacing w:after="0"/>
              <w:rPr>
                <w:sz w:val="1"/>
                <w:szCs w:val="1"/>
                <w:color w:val="auto"/>
              </w:rPr>
            </w:pPr>
          </w:p>
        </w:tc>
      </w:tr>
      <w:tr>
        <w:trPr>
          <w:trHeight w:val="159"/>
        </w:trPr>
        <w:tc>
          <w:tcPr>
            <w:tcW w:w="160" w:type="dxa"/>
            <w:vAlign w:val="bottom"/>
            <w:tcBorders>
              <w:bottom w:val="single" w:sz="8" w:color="FBF9EC"/>
            </w:tcBorders>
            <w:shd w:val="clear" w:color="auto" w:fill="FBF9EC"/>
          </w:tcPr>
          <w:p>
            <w:pPr>
              <w:spacing w:after="0"/>
              <w:rPr>
                <w:sz w:val="13"/>
                <w:szCs w:val="13"/>
                <w:color w:val="auto"/>
              </w:rPr>
            </w:pPr>
          </w:p>
        </w:tc>
        <w:tc>
          <w:tcPr>
            <w:tcW w:w="40" w:type="dxa"/>
            <w:vAlign w:val="bottom"/>
            <w:tcBorders>
              <w:bottom w:val="single" w:sz="8" w:color="auto"/>
            </w:tcBorders>
            <w:shd w:val="clear" w:color="auto" w:fill="FBF9EC"/>
          </w:tcPr>
          <w:p>
            <w:pPr>
              <w:spacing w:after="0"/>
              <w:rPr>
                <w:sz w:val="13"/>
                <w:szCs w:val="13"/>
                <w:color w:val="auto"/>
              </w:rPr>
            </w:pPr>
          </w:p>
        </w:tc>
        <w:tc>
          <w:tcPr>
            <w:tcW w:w="1220" w:type="dxa"/>
            <w:vAlign w:val="bottom"/>
            <w:tcBorders>
              <w:bottom w:val="single" w:sz="8" w:color="auto"/>
            </w:tcBorders>
            <w:shd w:val="clear" w:color="auto" w:fill="FBF9EC"/>
          </w:tcPr>
          <w:p>
            <w:pPr>
              <w:spacing w:after="0"/>
              <w:rPr>
                <w:sz w:val="13"/>
                <w:szCs w:val="13"/>
                <w:color w:val="auto"/>
              </w:rPr>
            </w:pPr>
          </w:p>
        </w:tc>
        <w:tc>
          <w:tcPr>
            <w:tcW w:w="1520" w:type="dxa"/>
            <w:vAlign w:val="bottom"/>
            <w:tcBorders>
              <w:bottom w:val="single" w:sz="8" w:color="auto"/>
            </w:tcBorders>
            <w:shd w:val="clear" w:color="auto" w:fill="FBF9EC"/>
          </w:tcPr>
          <w:p>
            <w:pPr>
              <w:spacing w:after="0"/>
              <w:rPr>
                <w:sz w:val="13"/>
                <w:szCs w:val="13"/>
                <w:color w:val="auto"/>
              </w:rPr>
            </w:pPr>
          </w:p>
        </w:tc>
        <w:tc>
          <w:tcPr>
            <w:tcW w:w="120" w:type="dxa"/>
            <w:vAlign w:val="bottom"/>
            <w:tcBorders>
              <w:bottom w:val="single" w:sz="8" w:color="FBF9EC"/>
            </w:tcBorders>
            <w:shd w:val="clear" w:color="auto" w:fill="FBF9EC"/>
          </w:tcPr>
          <w:p>
            <w:pPr>
              <w:spacing w:after="0"/>
              <w:rPr>
                <w:sz w:val="13"/>
                <w:szCs w:val="13"/>
                <w:color w:val="auto"/>
              </w:rPr>
            </w:pPr>
          </w:p>
        </w:tc>
        <w:tc>
          <w:tcPr>
            <w:tcW w:w="0" w:type="dxa"/>
            <w:vAlign w:val="bottom"/>
          </w:tcPr>
          <w:p>
            <w:pPr>
              <w:spacing w:after="0"/>
              <w:rPr>
                <w:sz w:val="1"/>
                <w:szCs w:val="1"/>
                <w:color w:val="auto"/>
              </w:rPr>
            </w:pPr>
          </w:p>
        </w:tc>
      </w:tr>
      <w:tr>
        <w:trPr>
          <w:trHeight w:val="393"/>
        </w:trPr>
        <w:tc>
          <w:tcPr>
            <w:tcW w:w="160" w:type="dxa"/>
            <w:vAlign w:val="bottom"/>
            <w:shd w:val="clear" w:color="auto" w:fill="FBF9EC"/>
          </w:tcPr>
          <w:p>
            <w:pPr>
              <w:spacing w:after="0"/>
              <w:rPr>
                <w:sz w:val="24"/>
                <w:szCs w:val="24"/>
                <w:color w:val="auto"/>
              </w:rPr>
            </w:pPr>
          </w:p>
        </w:tc>
        <w:tc>
          <w:tcPr>
            <w:tcW w:w="40" w:type="dxa"/>
            <w:vAlign w:val="bottom"/>
            <w:shd w:val="clear" w:color="auto" w:fill="FBF9EC"/>
          </w:tcPr>
          <w:p>
            <w:pPr>
              <w:spacing w:after="0"/>
              <w:rPr>
                <w:sz w:val="24"/>
                <w:szCs w:val="24"/>
                <w:color w:val="auto"/>
              </w:rPr>
            </w:pPr>
          </w:p>
        </w:tc>
        <w:tc>
          <w:tcPr>
            <w:tcW w:w="1220" w:type="dxa"/>
            <w:vAlign w:val="bottom"/>
            <w:shd w:val="clear" w:color="auto" w:fill="FBF9EC"/>
          </w:tcPr>
          <w:p>
            <w:pPr>
              <w:spacing w:after="0"/>
              <w:rPr>
                <w:sz w:val="20"/>
                <w:szCs w:val="20"/>
                <w:color w:val="auto"/>
              </w:rPr>
            </w:pPr>
            <w:r>
              <w:rPr>
                <w:rFonts w:ascii="Arial" w:cs="Arial" w:eastAsia="Arial" w:hAnsi="Arial"/>
                <w:sz w:val="12"/>
                <w:szCs w:val="12"/>
                <w:color w:val="333D3F"/>
              </w:rPr>
              <w:t>Term Expires</w:t>
            </w:r>
          </w:p>
        </w:tc>
        <w:tc>
          <w:tcPr>
            <w:tcW w:w="16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2024 Annual Meeting</w:t>
            </w:r>
          </w:p>
        </w:tc>
        <w:tc>
          <w:tcPr>
            <w:tcW w:w="0" w:type="dxa"/>
            <w:vAlign w:val="bottom"/>
          </w:tcPr>
          <w:p>
            <w:pPr>
              <w:spacing w:after="0"/>
              <w:rPr>
                <w:sz w:val="1"/>
                <w:szCs w:val="1"/>
                <w:color w:val="auto"/>
              </w:rPr>
            </w:pPr>
          </w:p>
        </w:tc>
      </w:tr>
      <w:tr>
        <w:trPr>
          <w:trHeight w:val="159"/>
        </w:trPr>
        <w:tc>
          <w:tcPr>
            <w:tcW w:w="160" w:type="dxa"/>
            <w:vAlign w:val="bottom"/>
            <w:tcBorders>
              <w:bottom w:val="single" w:sz="8" w:color="FBF9EC"/>
            </w:tcBorders>
            <w:shd w:val="clear" w:color="auto" w:fill="FBF9EC"/>
          </w:tcPr>
          <w:p>
            <w:pPr>
              <w:spacing w:after="0"/>
              <w:rPr>
                <w:sz w:val="13"/>
                <w:szCs w:val="13"/>
                <w:color w:val="auto"/>
              </w:rPr>
            </w:pPr>
          </w:p>
        </w:tc>
        <w:tc>
          <w:tcPr>
            <w:tcW w:w="40" w:type="dxa"/>
            <w:vAlign w:val="bottom"/>
            <w:tcBorders>
              <w:bottom w:val="single" w:sz="8" w:color="auto"/>
            </w:tcBorders>
            <w:shd w:val="clear" w:color="auto" w:fill="FBF9EC"/>
          </w:tcPr>
          <w:p>
            <w:pPr>
              <w:spacing w:after="0"/>
              <w:rPr>
                <w:sz w:val="13"/>
                <w:szCs w:val="13"/>
                <w:color w:val="auto"/>
              </w:rPr>
            </w:pPr>
          </w:p>
        </w:tc>
        <w:tc>
          <w:tcPr>
            <w:tcW w:w="1220" w:type="dxa"/>
            <w:vAlign w:val="bottom"/>
            <w:tcBorders>
              <w:bottom w:val="single" w:sz="8" w:color="auto"/>
            </w:tcBorders>
            <w:shd w:val="clear" w:color="auto" w:fill="FBF9EC"/>
          </w:tcPr>
          <w:p>
            <w:pPr>
              <w:spacing w:after="0"/>
              <w:rPr>
                <w:sz w:val="13"/>
                <w:szCs w:val="13"/>
                <w:color w:val="auto"/>
              </w:rPr>
            </w:pPr>
          </w:p>
        </w:tc>
        <w:tc>
          <w:tcPr>
            <w:tcW w:w="1520" w:type="dxa"/>
            <w:vAlign w:val="bottom"/>
            <w:tcBorders>
              <w:bottom w:val="single" w:sz="8" w:color="auto"/>
            </w:tcBorders>
            <w:shd w:val="clear" w:color="auto" w:fill="FBF9EC"/>
          </w:tcPr>
          <w:p>
            <w:pPr>
              <w:spacing w:after="0"/>
              <w:rPr>
                <w:sz w:val="13"/>
                <w:szCs w:val="13"/>
                <w:color w:val="auto"/>
              </w:rPr>
            </w:pPr>
          </w:p>
        </w:tc>
        <w:tc>
          <w:tcPr>
            <w:tcW w:w="120" w:type="dxa"/>
            <w:vAlign w:val="bottom"/>
            <w:tcBorders>
              <w:bottom w:val="single" w:sz="8" w:color="FBF9EC"/>
            </w:tcBorders>
            <w:shd w:val="clear" w:color="auto" w:fill="FBF9EC"/>
          </w:tcPr>
          <w:p>
            <w:pPr>
              <w:spacing w:after="0"/>
              <w:rPr>
                <w:sz w:val="13"/>
                <w:szCs w:val="13"/>
                <w:color w:val="auto"/>
              </w:rPr>
            </w:pPr>
          </w:p>
        </w:tc>
        <w:tc>
          <w:tcPr>
            <w:tcW w:w="0" w:type="dxa"/>
            <w:vAlign w:val="bottom"/>
          </w:tcPr>
          <w:p>
            <w:pPr>
              <w:spacing w:after="0"/>
              <w:rPr>
                <w:sz w:val="1"/>
                <w:szCs w:val="1"/>
                <w:color w:val="auto"/>
              </w:rPr>
            </w:pPr>
          </w:p>
        </w:tc>
      </w:tr>
      <w:tr>
        <w:trPr>
          <w:trHeight w:val="393"/>
        </w:trPr>
        <w:tc>
          <w:tcPr>
            <w:tcW w:w="160" w:type="dxa"/>
            <w:vAlign w:val="bottom"/>
            <w:shd w:val="clear" w:color="auto" w:fill="FBF9EC"/>
          </w:tcPr>
          <w:p>
            <w:pPr>
              <w:spacing w:after="0"/>
              <w:rPr>
                <w:sz w:val="24"/>
                <w:szCs w:val="24"/>
                <w:color w:val="auto"/>
              </w:rPr>
            </w:pPr>
          </w:p>
        </w:tc>
        <w:tc>
          <w:tcPr>
            <w:tcW w:w="40" w:type="dxa"/>
            <w:vAlign w:val="bottom"/>
            <w:shd w:val="clear" w:color="auto" w:fill="FBF9EC"/>
          </w:tcPr>
          <w:p>
            <w:pPr>
              <w:spacing w:after="0"/>
              <w:rPr>
                <w:sz w:val="24"/>
                <w:szCs w:val="24"/>
                <w:color w:val="auto"/>
              </w:rPr>
            </w:pPr>
          </w:p>
        </w:tc>
        <w:tc>
          <w:tcPr>
            <w:tcW w:w="1220" w:type="dxa"/>
            <w:vAlign w:val="bottom"/>
            <w:shd w:val="clear" w:color="auto" w:fill="FBF9EC"/>
          </w:tcPr>
          <w:p>
            <w:pPr>
              <w:spacing w:after="0"/>
              <w:rPr>
                <w:sz w:val="20"/>
                <w:szCs w:val="20"/>
                <w:color w:val="auto"/>
              </w:rPr>
            </w:pPr>
            <w:r>
              <w:rPr>
                <w:rFonts w:ascii="Arial" w:cs="Arial" w:eastAsia="Arial" w:hAnsi="Arial"/>
                <w:sz w:val="12"/>
                <w:szCs w:val="12"/>
                <w:color w:val="333D3F"/>
              </w:rPr>
              <w:t>Age</w:t>
            </w:r>
          </w:p>
        </w:tc>
        <w:tc>
          <w:tcPr>
            <w:tcW w:w="152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69</w:t>
            </w:r>
          </w:p>
        </w:tc>
        <w:tc>
          <w:tcPr>
            <w:tcW w:w="120" w:type="dxa"/>
            <w:vAlign w:val="bottom"/>
            <w:shd w:val="clear" w:color="auto" w:fill="FBF9EC"/>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60" w:type="dxa"/>
            <w:vAlign w:val="bottom"/>
            <w:tcBorders>
              <w:bottom w:val="single" w:sz="8" w:color="FBF9EC"/>
            </w:tcBorders>
            <w:shd w:val="clear" w:color="auto" w:fill="FBF9EC"/>
          </w:tcPr>
          <w:p>
            <w:pPr>
              <w:spacing w:after="0"/>
              <w:rPr>
                <w:sz w:val="13"/>
                <w:szCs w:val="13"/>
                <w:color w:val="auto"/>
              </w:rPr>
            </w:pPr>
          </w:p>
        </w:tc>
        <w:tc>
          <w:tcPr>
            <w:tcW w:w="40" w:type="dxa"/>
            <w:vAlign w:val="bottom"/>
            <w:tcBorders>
              <w:bottom w:val="single" w:sz="8" w:color="auto"/>
            </w:tcBorders>
            <w:shd w:val="clear" w:color="auto" w:fill="FBF9EC"/>
          </w:tcPr>
          <w:p>
            <w:pPr>
              <w:spacing w:after="0"/>
              <w:rPr>
                <w:sz w:val="13"/>
                <w:szCs w:val="13"/>
                <w:color w:val="auto"/>
              </w:rPr>
            </w:pPr>
          </w:p>
        </w:tc>
        <w:tc>
          <w:tcPr>
            <w:tcW w:w="1220" w:type="dxa"/>
            <w:vAlign w:val="bottom"/>
            <w:tcBorders>
              <w:bottom w:val="single" w:sz="8" w:color="auto"/>
            </w:tcBorders>
            <w:shd w:val="clear" w:color="auto" w:fill="FBF9EC"/>
          </w:tcPr>
          <w:p>
            <w:pPr>
              <w:spacing w:after="0"/>
              <w:rPr>
                <w:sz w:val="13"/>
                <w:szCs w:val="13"/>
                <w:color w:val="auto"/>
              </w:rPr>
            </w:pPr>
          </w:p>
        </w:tc>
        <w:tc>
          <w:tcPr>
            <w:tcW w:w="1520" w:type="dxa"/>
            <w:vAlign w:val="bottom"/>
            <w:tcBorders>
              <w:bottom w:val="single" w:sz="8" w:color="auto"/>
            </w:tcBorders>
            <w:shd w:val="clear" w:color="auto" w:fill="FBF9EC"/>
          </w:tcPr>
          <w:p>
            <w:pPr>
              <w:spacing w:after="0"/>
              <w:rPr>
                <w:sz w:val="13"/>
                <w:szCs w:val="13"/>
                <w:color w:val="auto"/>
              </w:rPr>
            </w:pPr>
          </w:p>
        </w:tc>
        <w:tc>
          <w:tcPr>
            <w:tcW w:w="120" w:type="dxa"/>
            <w:vAlign w:val="bottom"/>
            <w:tcBorders>
              <w:bottom w:val="single" w:sz="8" w:color="FBF9EC"/>
            </w:tcBorders>
            <w:shd w:val="clear" w:color="auto" w:fill="FBF9EC"/>
          </w:tcPr>
          <w:p>
            <w:pPr>
              <w:spacing w:after="0"/>
              <w:rPr>
                <w:sz w:val="13"/>
                <w:szCs w:val="13"/>
                <w:color w:val="auto"/>
              </w:rPr>
            </w:pPr>
          </w:p>
        </w:tc>
        <w:tc>
          <w:tcPr>
            <w:tcW w:w="0" w:type="dxa"/>
            <w:vAlign w:val="bottom"/>
          </w:tcPr>
          <w:p>
            <w:pPr>
              <w:spacing w:after="0"/>
              <w:rPr>
                <w:sz w:val="1"/>
                <w:szCs w:val="1"/>
                <w:color w:val="auto"/>
              </w:rPr>
            </w:pPr>
          </w:p>
        </w:tc>
      </w:tr>
      <w:tr>
        <w:trPr>
          <w:trHeight w:val="341"/>
        </w:trPr>
        <w:tc>
          <w:tcPr>
            <w:tcW w:w="160" w:type="dxa"/>
            <w:vAlign w:val="bottom"/>
            <w:shd w:val="clear" w:color="auto" w:fill="FBF9EC"/>
          </w:tcPr>
          <w:p>
            <w:pPr>
              <w:spacing w:after="0"/>
              <w:rPr>
                <w:sz w:val="24"/>
                <w:szCs w:val="24"/>
                <w:color w:val="auto"/>
              </w:rPr>
            </w:pPr>
          </w:p>
        </w:tc>
        <w:tc>
          <w:tcPr>
            <w:tcW w:w="40" w:type="dxa"/>
            <w:vAlign w:val="bottom"/>
            <w:shd w:val="clear" w:color="auto" w:fill="FBF9EC"/>
          </w:tcPr>
          <w:p>
            <w:pPr>
              <w:spacing w:after="0"/>
              <w:rPr>
                <w:sz w:val="24"/>
                <w:szCs w:val="24"/>
                <w:color w:val="auto"/>
              </w:rPr>
            </w:pPr>
          </w:p>
        </w:tc>
        <w:tc>
          <w:tcPr>
            <w:tcW w:w="1220" w:type="dxa"/>
            <w:vAlign w:val="bottom"/>
            <w:vMerge w:val="restart"/>
            <w:shd w:val="clear" w:color="auto" w:fill="FBF9EC"/>
          </w:tcPr>
          <w:p>
            <w:pPr>
              <w:spacing w:after="0"/>
              <w:rPr>
                <w:sz w:val="20"/>
                <w:szCs w:val="20"/>
                <w:color w:val="auto"/>
              </w:rPr>
            </w:pPr>
            <w:r>
              <w:rPr>
                <w:rFonts w:ascii="Arial" w:cs="Arial" w:eastAsia="Arial" w:hAnsi="Arial"/>
                <w:sz w:val="12"/>
                <w:szCs w:val="12"/>
                <w:color w:val="333D3F"/>
              </w:rPr>
              <w:t>Board Committees:</w:t>
            </w:r>
          </w:p>
        </w:tc>
        <w:tc>
          <w:tcPr>
            <w:tcW w:w="16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Compensation (Chair),</w:t>
            </w:r>
          </w:p>
        </w:tc>
        <w:tc>
          <w:tcPr>
            <w:tcW w:w="0" w:type="dxa"/>
            <w:vAlign w:val="bottom"/>
          </w:tcPr>
          <w:p>
            <w:pPr>
              <w:spacing w:after="0"/>
              <w:rPr>
                <w:sz w:val="1"/>
                <w:szCs w:val="1"/>
                <w:color w:val="auto"/>
              </w:rPr>
            </w:pPr>
          </w:p>
        </w:tc>
      </w:tr>
      <w:tr>
        <w:trPr>
          <w:trHeight w:val="52"/>
        </w:trPr>
        <w:tc>
          <w:tcPr>
            <w:tcW w:w="160" w:type="dxa"/>
            <w:vAlign w:val="bottom"/>
            <w:shd w:val="clear" w:color="auto" w:fill="FBF9EC"/>
          </w:tcPr>
          <w:p>
            <w:pPr>
              <w:spacing w:after="0"/>
              <w:rPr>
                <w:sz w:val="4"/>
                <w:szCs w:val="4"/>
                <w:color w:val="auto"/>
              </w:rPr>
            </w:pPr>
          </w:p>
        </w:tc>
        <w:tc>
          <w:tcPr>
            <w:tcW w:w="40" w:type="dxa"/>
            <w:vAlign w:val="bottom"/>
            <w:shd w:val="clear" w:color="auto" w:fill="FBF9EC"/>
          </w:tcPr>
          <w:p>
            <w:pPr>
              <w:spacing w:after="0"/>
              <w:rPr>
                <w:sz w:val="4"/>
                <w:szCs w:val="4"/>
                <w:color w:val="auto"/>
              </w:rPr>
            </w:pPr>
          </w:p>
        </w:tc>
        <w:tc>
          <w:tcPr>
            <w:tcW w:w="1220" w:type="dxa"/>
            <w:vAlign w:val="bottom"/>
            <w:vMerge w:val="continue"/>
            <w:shd w:val="clear" w:color="auto" w:fill="FBF9EC"/>
          </w:tcPr>
          <w:p>
            <w:pPr>
              <w:spacing w:after="0"/>
              <w:rPr>
                <w:sz w:val="4"/>
                <w:szCs w:val="4"/>
                <w:color w:val="auto"/>
              </w:rPr>
            </w:pPr>
          </w:p>
        </w:tc>
        <w:tc>
          <w:tcPr>
            <w:tcW w:w="1640" w:type="dxa"/>
            <w:vAlign w:val="bottom"/>
            <w:gridSpan w:val="2"/>
            <w:vMerge w:val="restart"/>
            <w:shd w:val="clear" w:color="auto" w:fill="FBF9EC"/>
          </w:tcPr>
          <w:p>
            <w:pPr>
              <w:ind w:left="40"/>
              <w:spacing w:after="0"/>
              <w:rPr>
                <w:sz w:val="20"/>
                <w:szCs w:val="20"/>
                <w:color w:val="auto"/>
              </w:rPr>
            </w:pPr>
            <w:r>
              <w:rPr>
                <w:rFonts w:ascii="Arial" w:cs="Arial" w:eastAsia="Arial" w:hAnsi="Arial"/>
                <w:sz w:val="12"/>
                <w:szCs w:val="12"/>
                <w:color w:val="333D3F"/>
              </w:rPr>
              <w:t>Nominating and</w:t>
            </w:r>
          </w:p>
        </w:tc>
        <w:tc>
          <w:tcPr>
            <w:tcW w:w="0" w:type="dxa"/>
            <w:vAlign w:val="bottom"/>
          </w:tcPr>
          <w:p>
            <w:pPr>
              <w:spacing w:after="0"/>
              <w:rPr>
                <w:sz w:val="1"/>
                <w:szCs w:val="1"/>
                <w:color w:val="auto"/>
              </w:rPr>
            </w:pPr>
          </w:p>
        </w:tc>
      </w:tr>
      <w:tr>
        <w:trPr>
          <w:trHeight w:val="104"/>
        </w:trPr>
        <w:tc>
          <w:tcPr>
            <w:tcW w:w="160" w:type="dxa"/>
            <w:vAlign w:val="bottom"/>
            <w:shd w:val="clear" w:color="auto" w:fill="FBF9EC"/>
          </w:tcPr>
          <w:p>
            <w:pPr>
              <w:spacing w:after="0"/>
              <w:rPr>
                <w:sz w:val="9"/>
                <w:szCs w:val="9"/>
                <w:color w:val="auto"/>
              </w:rPr>
            </w:pPr>
          </w:p>
        </w:tc>
        <w:tc>
          <w:tcPr>
            <w:tcW w:w="40" w:type="dxa"/>
            <w:vAlign w:val="bottom"/>
            <w:shd w:val="clear" w:color="auto" w:fill="FBF9EC"/>
          </w:tcPr>
          <w:p>
            <w:pPr>
              <w:spacing w:after="0"/>
              <w:rPr>
                <w:sz w:val="9"/>
                <w:szCs w:val="9"/>
                <w:color w:val="auto"/>
              </w:rPr>
            </w:pPr>
          </w:p>
        </w:tc>
        <w:tc>
          <w:tcPr>
            <w:tcW w:w="1220" w:type="dxa"/>
            <w:vAlign w:val="bottom"/>
            <w:shd w:val="clear" w:color="auto" w:fill="FBF9EC"/>
          </w:tcPr>
          <w:p>
            <w:pPr>
              <w:spacing w:after="0"/>
              <w:rPr>
                <w:sz w:val="9"/>
                <w:szCs w:val="9"/>
                <w:color w:val="auto"/>
              </w:rPr>
            </w:pPr>
          </w:p>
        </w:tc>
        <w:tc>
          <w:tcPr>
            <w:tcW w:w="1640" w:type="dxa"/>
            <w:vAlign w:val="bottom"/>
            <w:gridSpan w:val="2"/>
            <w:vMerge w:val="continue"/>
            <w:shd w:val="clear" w:color="auto" w:fill="FBF9EC"/>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60" w:type="dxa"/>
            <w:vAlign w:val="bottom"/>
            <w:shd w:val="clear" w:color="auto" w:fill="FBF9EC"/>
          </w:tcPr>
          <w:p>
            <w:pPr>
              <w:spacing w:after="0"/>
              <w:rPr>
                <w:sz w:val="13"/>
                <w:szCs w:val="13"/>
                <w:color w:val="auto"/>
              </w:rPr>
            </w:pPr>
          </w:p>
        </w:tc>
        <w:tc>
          <w:tcPr>
            <w:tcW w:w="40" w:type="dxa"/>
            <w:vAlign w:val="bottom"/>
            <w:shd w:val="clear" w:color="auto" w:fill="FBF9EC"/>
          </w:tcPr>
          <w:p>
            <w:pPr>
              <w:spacing w:after="0"/>
              <w:rPr>
                <w:sz w:val="13"/>
                <w:szCs w:val="13"/>
                <w:color w:val="auto"/>
              </w:rPr>
            </w:pPr>
          </w:p>
        </w:tc>
        <w:tc>
          <w:tcPr>
            <w:tcW w:w="1220" w:type="dxa"/>
            <w:vAlign w:val="bottom"/>
            <w:shd w:val="clear" w:color="auto" w:fill="FBF9EC"/>
          </w:tcPr>
          <w:p>
            <w:pPr>
              <w:spacing w:after="0"/>
              <w:rPr>
                <w:sz w:val="13"/>
                <w:szCs w:val="13"/>
                <w:color w:val="auto"/>
              </w:rPr>
            </w:pPr>
          </w:p>
        </w:tc>
        <w:tc>
          <w:tcPr>
            <w:tcW w:w="16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Corporate Governance</w:t>
            </w:r>
          </w:p>
        </w:tc>
        <w:tc>
          <w:tcPr>
            <w:tcW w:w="0" w:type="dxa"/>
            <w:vAlign w:val="bottom"/>
          </w:tcPr>
          <w:p>
            <w:pPr>
              <w:spacing w:after="0"/>
              <w:rPr>
                <w:sz w:val="1"/>
                <w:szCs w:val="1"/>
                <w:color w:val="auto"/>
              </w:rPr>
            </w:pPr>
          </w:p>
        </w:tc>
      </w:tr>
      <w:tr>
        <w:trPr>
          <w:trHeight w:val="198"/>
        </w:trPr>
        <w:tc>
          <w:tcPr>
            <w:tcW w:w="160" w:type="dxa"/>
            <w:vAlign w:val="bottom"/>
            <w:shd w:val="clear" w:color="auto" w:fill="FBF9EC"/>
          </w:tcPr>
          <w:p>
            <w:pPr>
              <w:spacing w:after="0"/>
              <w:rPr>
                <w:sz w:val="17"/>
                <w:szCs w:val="17"/>
                <w:color w:val="auto"/>
              </w:rPr>
            </w:pPr>
          </w:p>
        </w:tc>
        <w:tc>
          <w:tcPr>
            <w:tcW w:w="40" w:type="dxa"/>
            <w:vAlign w:val="bottom"/>
            <w:shd w:val="clear" w:color="auto" w:fill="FBF9EC"/>
          </w:tcPr>
          <w:p>
            <w:pPr>
              <w:spacing w:after="0"/>
              <w:rPr>
                <w:sz w:val="17"/>
                <w:szCs w:val="17"/>
                <w:color w:val="auto"/>
              </w:rPr>
            </w:pPr>
          </w:p>
        </w:tc>
        <w:tc>
          <w:tcPr>
            <w:tcW w:w="1220" w:type="dxa"/>
            <w:vAlign w:val="bottom"/>
            <w:shd w:val="clear" w:color="auto" w:fill="FBF9EC"/>
          </w:tcPr>
          <w:p>
            <w:pPr>
              <w:spacing w:after="0"/>
              <w:rPr>
                <w:sz w:val="17"/>
                <w:szCs w:val="17"/>
                <w:color w:val="auto"/>
              </w:rPr>
            </w:pPr>
          </w:p>
        </w:tc>
        <w:tc>
          <w:tcPr>
            <w:tcW w:w="1520" w:type="dxa"/>
            <w:vAlign w:val="bottom"/>
            <w:shd w:val="clear" w:color="auto" w:fill="FBF9EC"/>
          </w:tcPr>
          <w:p>
            <w:pPr>
              <w:spacing w:after="0"/>
              <w:rPr>
                <w:sz w:val="17"/>
                <w:szCs w:val="17"/>
                <w:color w:val="auto"/>
              </w:rPr>
            </w:pPr>
          </w:p>
        </w:tc>
        <w:tc>
          <w:tcPr>
            <w:tcW w:w="120" w:type="dxa"/>
            <w:vAlign w:val="bottom"/>
            <w:shd w:val="clear" w:color="auto" w:fill="FBF9E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-3006090</wp:posOffset>
            </wp:positionV>
            <wp:extent cx="1932940" cy="1371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32940"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PREVIOUS EXPERIENCE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–   January 2016 to March 2022: Board member, Volvo Car Group</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–   2016 to October 2018: Director, Cognizant Technology Solutions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–   February 2009 to August 2009: Chair and Chief Executive Officer, Clear Standards (until acquired by SAP)</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–   1991 to 1993: Chair and Chief Executive Officer, NCI, Inc.</w:t>
      </w:r>
    </w:p>
    <w:p>
      <w:pPr>
        <w:spacing w:after="0" w:line="73" w:lineRule="exact"/>
        <w:rPr>
          <w:sz w:val="20"/>
          <w:szCs w:val="20"/>
          <w:color w:val="auto"/>
        </w:rPr>
      </w:pPr>
    </w:p>
    <w:p>
      <w:pPr>
        <w:ind w:left="160" w:right="480" w:hanging="172"/>
        <w:spacing w:after="0" w:line="239" w:lineRule="auto"/>
        <w:rPr>
          <w:sz w:val="20"/>
          <w:szCs w:val="20"/>
          <w:color w:val="auto"/>
        </w:rPr>
      </w:pPr>
      <w:r>
        <w:rPr>
          <w:rFonts w:ascii="Arial" w:cs="Arial" w:eastAsia="Arial" w:hAnsi="Arial"/>
          <w:sz w:val="14"/>
          <w:szCs w:val="14"/>
          <w:color w:val="auto"/>
        </w:rPr>
        <w:t>–   1989 to 1999: Co-founder, Director, Executive Vice President Sales, Marketing, International Operations, Ascend Communications (until acquired by Lucent Technologies)</w:t>
      </w:r>
    </w:p>
    <w:p>
      <w:pPr>
        <w:spacing w:after="0" w:line="70" w:lineRule="exact"/>
        <w:rPr>
          <w:sz w:val="20"/>
          <w:szCs w:val="20"/>
          <w:color w:val="auto"/>
        </w:rPr>
      </w:pPr>
    </w:p>
    <w:p>
      <w:pPr>
        <w:ind w:left="160" w:right="80" w:hanging="172"/>
        <w:spacing w:after="0" w:line="239" w:lineRule="auto"/>
        <w:rPr>
          <w:sz w:val="20"/>
          <w:szCs w:val="20"/>
          <w:color w:val="auto"/>
        </w:rPr>
      </w:pPr>
      <w:r>
        <w:rPr>
          <w:rFonts w:ascii="Arial" w:cs="Arial" w:eastAsia="Arial" w:hAnsi="Arial"/>
          <w:sz w:val="14"/>
          <w:szCs w:val="14"/>
          <w:color w:val="auto"/>
        </w:rPr>
        <w:t>–   Previously served on the boards of Schneider Electric, HD Supply Holdings, Polycom, SunPower, Chico’s FAS, Ciber, Darden Restaurants</w:t>
      </w:r>
    </w:p>
    <w:p>
      <w:pPr>
        <w:spacing w:after="0" w:line="70" w:lineRule="exact"/>
        <w:rPr>
          <w:sz w:val="20"/>
          <w:szCs w:val="20"/>
          <w:color w:val="auto"/>
        </w:rPr>
      </w:pPr>
    </w:p>
    <w:p>
      <w:pPr>
        <w:ind w:left="160" w:right="80" w:hanging="172"/>
        <w:spacing w:after="0" w:line="239" w:lineRule="auto"/>
        <w:rPr>
          <w:sz w:val="20"/>
          <w:szCs w:val="20"/>
          <w:color w:val="auto"/>
        </w:rPr>
      </w:pPr>
      <w:r>
        <w:rPr>
          <w:rFonts w:ascii="Arial" w:cs="Arial" w:eastAsia="Arial" w:hAnsi="Arial"/>
          <w:sz w:val="14"/>
          <w:szCs w:val="14"/>
          <w:color w:val="auto"/>
        </w:rPr>
        <w:t>–   Formerly Chair, Executive Advisory Board, SAP, AG, and Chair, Executive Advisory Board, British Telecom and presidential-appointee to the Pension Benefit Guaranty Corporation advisory committee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EDUCATION</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Ms. Atkins graduated with a B.A. from the University of Massachusetts.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EXPERTISE</w:t>
      </w:r>
    </w:p>
    <w:p>
      <w:pPr>
        <w:spacing w:after="0" w:line="16" w:lineRule="exact"/>
        <w:rPr>
          <w:sz w:val="20"/>
          <w:szCs w:val="20"/>
          <w:color w:val="auto"/>
        </w:rPr>
      </w:pPr>
    </w:p>
    <w:p>
      <w:pPr>
        <w:ind w:right="380"/>
        <w:spacing w:after="0" w:line="237" w:lineRule="auto"/>
        <w:rPr>
          <w:sz w:val="20"/>
          <w:szCs w:val="20"/>
          <w:color w:val="auto"/>
        </w:rPr>
      </w:pPr>
      <w:r>
        <w:rPr>
          <w:rFonts w:ascii="Arial" w:cs="Arial" w:eastAsia="Arial" w:hAnsi="Arial"/>
          <w:sz w:val="14"/>
          <w:szCs w:val="14"/>
          <w:color w:val="auto"/>
        </w:rPr>
        <w:t>Ms. Atkins brings to our Board executive leadership and operational experience in various technology, food &amp; beverage and retail industries, as well as significant public board experience and executive compensation, sustainability and enterprise risk management expertise.</w:t>
      </w:r>
    </w:p>
    <w:p>
      <w:pPr>
        <w:spacing w:after="0" w:line="1436" w:lineRule="exact"/>
        <w:rPr>
          <w:sz w:val="20"/>
          <w:szCs w:val="20"/>
          <w:color w:val="auto"/>
        </w:rPr>
      </w:pPr>
    </w:p>
    <w:p>
      <w:pPr>
        <w:sectPr>
          <w:pgSz w:w="11900" w:h="16838" w:orient="portrait"/>
          <w:cols w:equalWidth="0" w:num="2">
            <w:col w:w="3380" w:space="520"/>
            <w:col w:w="7040"/>
          </w:cols>
          <w:pgMar w:left="320" w:top="473" w:right="639" w:bottom="1440" w:gutter="0" w:footer="0" w:header="0"/>
          <w:type w:val="continuous"/>
        </w:sectPr>
      </w:pPr>
    </w:p>
    <w:p>
      <w:pPr>
        <w:ind w:left="320"/>
        <w:spacing w:after="0"/>
        <w:rPr>
          <w:sz w:val="20"/>
          <w:szCs w:val="20"/>
          <w:color w:val="auto"/>
        </w:rPr>
      </w:pPr>
      <w:r>
        <w:rPr>
          <w:rFonts w:ascii="Arial" w:cs="Arial" w:eastAsia="Arial" w:hAnsi="Arial"/>
          <w:sz w:val="12"/>
          <w:szCs w:val="12"/>
          <w:b w:val="1"/>
          <w:bCs w:val="1"/>
          <w:color w:val="B3AB9D"/>
        </w:rPr>
        <w:t>SKILLS AND QUALIFICATIONS</w:t>
      </w:r>
    </w:p>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160" w:type="dxa"/>
            <w:vAlign w:val="bottom"/>
            <w:shd w:val="clear" w:color="auto" w:fill="E2E0DE"/>
          </w:tcPr>
          <w:p>
            <w:pPr>
              <w:ind w:left="60"/>
              <w:spacing w:after="0"/>
              <w:rPr>
                <w:sz w:val="20"/>
                <w:szCs w:val="20"/>
                <w:color w:val="auto"/>
              </w:rPr>
            </w:pPr>
            <w:r>
              <w:rPr>
                <w:rFonts w:ascii="Arial" w:cs="Arial" w:eastAsia="Arial" w:hAnsi="Arial"/>
                <w:sz w:val="14"/>
                <w:szCs w:val="14"/>
                <w:color w:val="auto"/>
              </w:rPr>
              <w:t>Gaming or Other Regulated</w:t>
            </w:r>
          </w:p>
        </w:tc>
        <w:tc>
          <w:tcPr>
            <w:tcW w:w="8460" w:type="dxa"/>
            <w:vAlign w:val="bottom"/>
            <w:shd w:val="clear" w:color="auto" w:fill="E2E0DE"/>
          </w:tcPr>
          <w:p>
            <w:pPr>
              <w:ind w:left="100"/>
              <w:spacing w:after="0"/>
              <w:rPr>
                <w:sz w:val="20"/>
                <w:szCs w:val="20"/>
                <w:color w:val="auto"/>
              </w:rPr>
            </w:pPr>
            <w:r>
              <w:rPr>
                <w:rFonts w:ascii="Arial" w:cs="Arial" w:eastAsia="Arial" w:hAnsi="Arial"/>
                <w:sz w:val="14"/>
                <w:szCs w:val="14"/>
                <w:color w:val="auto"/>
              </w:rPr>
              <w:t>Ms. Atkins served as a director of NASDAQ, dealing closely with the Financial Industry Regulatory Authority, Inc., and as a member of</w:t>
            </w:r>
          </w:p>
        </w:tc>
      </w:tr>
      <w:tr>
        <w:trPr>
          <w:trHeight w:val="178"/>
        </w:trPr>
        <w:tc>
          <w:tcPr>
            <w:tcW w:w="2160" w:type="dxa"/>
            <w:vAlign w:val="bottom"/>
            <w:shd w:val="clear" w:color="auto" w:fill="E2E0DE"/>
          </w:tcPr>
          <w:p>
            <w:pPr>
              <w:ind w:left="60"/>
              <w:spacing w:after="0"/>
              <w:rPr>
                <w:sz w:val="20"/>
                <w:szCs w:val="20"/>
                <w:color w:val="auto"/>
              </w:rPr>
            </w:pPr>
            <w:r>
              <w:rPr>
                <w:rFonts w:ascii="Arial" w:cs="Arial" w:eastAsia="Arial" w:hAnsi="Arial"/>
                <w:sz w:val="14"/>
                <w:szCs w:val="14"/>
                <w:color w:val="auto"/>
              </w:rPr>
              <w:t>Industry</w:t>
            </w:r>
          </w:p>
        </w:tc>
        <w:tc>
          <w:tcPr>
            <w:tcW w:w="8460" w:type="dxa"/>
            <w:vAlign w:val="bottom"/>
            <w:shd w:val="clear" w:color="auto" w:fill="E2E0DE"/>
          </w:tcPr>
          <w:p>
            <w:pPr>
              <w:ind w:left="100"/>
              <w:spacing w:after="0"/>
              <w:rPr>
                <w:sz w:val="20"/>
                <w:szCs w:val="20"/>
                <w:color w:val="auto"/>
              </w:rPr>
            </w:pPr>
            <w:r>
              <w:rPr>
                <w:rFonts w:ascii="Arial" w:cs="Arial" w:eastAsia="Arial" w:hAnsi="Arial"/>
                <w:sz w:val="14"/>
                <w:szCs w:val="14"/>
                <w:color w:val="auto"/>
              </w:rPr>
              <w:t>the advisory board of the Pension Benefit Guaranty Corporation.</w:t>
            </w:r>
          </w:p>
        </w:tc>
      </w:tr>
      <w:tr>
        <w:trPr>
          <w:trHeight w:val="161"/>
        </w:trPr>
        <w:tc>
          <w:tcPr>
            <w:tcW w:w="2160" w:type="dxa"/>
            <w:vAlign w:val="bottom"/>
          </w:tcPr>
          <w:p>
            <w:pPr>
              <w:ind w:left="60"/>
              <w:spacing w:after="0"/>
              <w:rPr>
                <w:sz w:val="20"/>
                <w:szCs w:val="20"/>
                <w:color w:val="auto"/>
              </w:rPr>
            </w:pPr>
            <w:r>
              <w:rPr>
                <w:rFonts w:ascii="Arial" w:cs="Arial" w:eastAsia="Arial" w:hAnsi="Arial"/>
                <w:sz w:val="14"/>
                <w:szCs w:val="14"/>
                <w:color w:val="auto"/>
              </w:rPr>
              <w:t>Travel, Leisure, Hospitality &amp;</w:t>
            </w:r>
          </w:p>
        </w:tc>
        <w:tc>
          <w:tcPr>
            <w:tcW w:w="8460" w:type="dxa"/>
            <w:vAlign w:val="bottom"/>
          </w:tcPr>
          <w:p>
            <w:pPr>
              <w:ind w:left="100"/>
              <w:spacing w:after="0"/>
              <w:rPr>
                <w:sz w:val="20"/>
                <w:szCs w:val="20"/>
                <w:color w:val="auto"/>
              </w:rPr>
            </w:pPr>
            <w:r>
              <w:rPr>
                <w:rFonts w:ascii="Arial" w:cs="Arial" w:eastAsia="Arial" w:hAnsi="Arial"/>
                <w:sz w:val="14"/>
                <w:szCs w:val="14"/>
                <w:color w:val="auto"/>
              </w:rPr>
              <w:t>Ms. Atkins has served as a director of Dardens, an owner and operator of numerous restaurant chains.</w:t>
            </w:r>
          </w:p>
        </w:tc>
      </w:tr>
      <w:tr>
        <w:trPr>
          <w:trHeight w:val="172"/>
        </w:trPr>
        <w:tc>
          <w:tcPr>
            <w:tcW w:w="2160" w:type="dxa"/>
            <w:vAlign w:val="bottom"/>
          </w:tcPr>
          <w:p>
            <w:pPr>
              <w:ind w:left="60"/>
              <w:spacing w:after="0"/>
              <w:rPr>
                <w:sz w:val="20"/>
                <w:szCs w:val="20"/>
                <w:color w:val="auto"/>
              </w:rPr>
            </w:pPr>
            <w:r>
              <w:rPr>
                <w:rFonts w:ascii="Arial" w:cs="Arial" w:eastAsia="Arial" w:hAnsi="Arial"/>
                <w:sz w:val="14"/>
                <w:szCs w:val="14"/>
                <w:color w:val="auto"/>
              </w:rPr>
              <w:t>Entertainment</w:t>
            </w:r>
          </w:p>
        </w:tc>
        <w:tc>
          <w:tcPr>
            <w:tcW w:w="8460" w:type="dxa"/>
            <w:vAlign w:val="bottom"/>
          </w:tcPr>
          <w:p>
            <w:pPr>
              <w:spacing w:after="0"/>
              <w:rPr>
                <w:sz w:val="14"/>
                <w:szCs w:val="14"/>
                <w:color w:val="auto"/>
              </w:rPr>
            </w:pPr>
          </w:p>
        </w:tc>
      </w:tr>
      <w:tr>
        <w:trPr>
          <w:trHeight w:val="188"/>
        </w:trPr>
        <w:tc>
          <w:tcPr>
            <w:tcW w:w="2160" w:type="dxa"/>
            <w:vAlign w:val="bottom"/>
            <w:shd w:val="clear" w:color="auto" w:fill="E2E0DE"/>
          </w:tcPr>
          <w:p>
            <w:pPr>
              <w:ind w:left="60"/>
              <w:spacing w:after="0"/>
              <w:rPr>
                <w:sz w:val="20"/>
                <w:szCs w:val="20"/>
                <w:color w:val="auto"/>
              </w:rPr>
            </w:pPr>
            <w:r>
              <w:rPr>
                <w:rFonts w:ascii="Arial" w:cs="Arial" w:eastAsia="Arial" w:hAnsi="Arial"/>
                <w:sz w:val="14"/>
                <w:szCs w:val="14"/>
                <w:color w:val="auto"/>
              </w:rPr>
              <w:t>Public Company C-Suite</w:t>
            </w:r>
          </w:p>
        </w:tc>
        <w:tc>
          <w:tcPr>
            <w:tcW w:w="8460" w:type="dxa"/>
            <w:vAlign w:val="bottom"/>
            <w:shd w:val="clear" w:color="auto" w:fill="E2E0DE"/>
          </w:tcPr>
          <w:p>
            <w:pPr>
              <w:ind w:left="100"/>
              <w:spacing w:after="0"/>
              <w:rPr>
                <w:sz w:val="20"/>
                <w:szCs w:val="20"/>
                <w:color w:val="auto"/>
              </w:rPr>
            </w:pPr>
            <w:r>
              <w:rPr>
                <w:rFonts w:ascii="Arial" w:cs="Arial" w:eastAsia="Arial" w:hAnsi="Arial"/>
                <w:sz w:val="14"/>
                <w:szCs w:val="14"/>
                <w:color w:val="auto"/>
              </w:rPr>
              <w:t>Ms. Atkins has served as the Chair and CEO of NCI, Inc; Chair and CEO of Clear Standards.</w:t>
            </w:r>
          </w:p>
        </w:tc>
      </w:tr>
      <w:tr>
        <w:trPr>
          <w:trHeight w:val="161"/>
        </w:trPr>
        <w:tc>
          <w:tcPr>
            <w:tcW w:w="2160" w:type="dxa"/>
            <w:vAlign w:val="bottom"/>
          </w:tcPr>
          <w:p>
            <w:pPr>
              <w:ind w:left="60"/>
              <w:spacing w:after="0"/>
              <w:rPr>
                <w:sz w:val="20"/>
                <w:szCs w:val="20"/>
                <w:color w:val="auto"/>
              </w:rPr>
            </w:pPr>
            <w:r>
              <w:rPr>
                <w:rFonts w:ascii="Arial" w:cs="Arial" w:eastAsia="Arial" w:hAnsi="Arial"/>
                <w:sz w:val="14"/>
                <w:szCs w:val="14"/>
                <w:color w:val="auto"/>
              </w:rPr>
              <w:t>Public Company Board</w:t>
            </w:r>
          </w:p>
        </w:tc>
        <w:tc>
          <w:tcPr>
            <w:tcW w:w="8460" w:type="dxa"/>
            <w:vAlign w:val="bottom"/>
          </w:tcPr>
          <w:p>
            <w:pPr>
              <w:ind w:left="100"/>
              <w:spacing w:after="0"/>
              <w:rPr>
                <w:sz w:val="20"/>
                <w:szCs w:val="20"/>
                <w:color w:val="auto"/>
              </w:rPr>
            </w:pPr>
            <w:r>
              <w:rPr>
                <w:rFonts w:ascii="Arial" w:cs="Arial" w:eastAsia="Arial" w:hAnsi="Arial"/>
                <w:sz w:val="14"/>
                <w:szCs w:val="14"/>
                <w:color w:val="auto"/>
              </w:rPr>
              <w:t>Ms. Atkins has served as a director of Cognizent, Darden Restaurants Inc., NASDAQ, Chico’s, SunPower Corporation, Volvo and</w:t>
            </w:r>
          </w:p>
        </w:tc>
      </w:tr>
      <w:tr>
        <w:trPr>
          <w:trHeight w:val="172"/>
        </w:trPr>
        <w:tc>
          <w:tcPr>
            <w:tcW w:w="2160" w:type="dxa"/>
            <w:vAlign w:val="bottom"/>
          </w:tcPr>
          <w:p>
            <w:pPr>
              <w:spacing w:after="0"/>
              <w:rPr>
                <w:sz w:val="14"/>
                <w:szCs w:val="14"/>
                <w:color w:val="auto"/>
              </w:rPr>
            </w:pPr>
          </w:p>
        </w:tc>
        <w:tc>
          <w:tcPr>
            <w:tcW w:w="8460" w:type="dxa"/>
            <w:vAlign w:val="bottom"/>
          </w:tcPr>
          <w:p>
            <w:pPr>
              <w:ind w:left="100"/>
              <w:spacing w:after="0"/>
              <w:rPr>
                <w:sz w:val="20"/>
                <w:szCs w:val="20"/>
                <w:color w:val="auto"/>
              </w:rPr>
            </w:pPr>
            <w:r>
              <w:rPr>
                <w:rFonts w:ascii="Arial" w:cs="Arial" w:eastAsia="Arial" w:hAnsi="Arial"/>
                <w:sz w:val="14"/>
                <w:szCs w:val="14"/>
                <w:color w:val="auto"/>
              </w:rPr>
              <w:t>Schneider Electric.</w:t>
            </w:r>
          </w:p>
        </w:tc>
      </w:tr>
      <w:tr>
        <w:trPr>
          <w:trHeight w:val="167"/>
        </w:trPr>
        <w:tc>
          <w:tcPr>
            <w:tcW w:w="2160" w:type="dxa"/>
            <w:vAlign w:val="bottom"/>
            <w:shd w:val="clear" w:color="auto" w:fill="E2E0DE"/>
          </w:tcPr>
          <w:p>
            <w:pPr>
              <w:ind w:left="60"/>
              <w:spacing w:after="0"/>
              <w:rPr>
                <w:sz w:val="20"/>
                <w:szCs w:val="20"/>
                <w:color w:val="auto"/>
              </w:rPr>
            </w:pPr>
            <w:r>
              <w:rPr>
                <w:rFonts w:ascii="Arial" w:cs="Arial" w:eastAsia="Arial" w:hAnsi="Arial"/>
                <w:sz w:val="14"/>
                <w:szCs w:val="14"/>
                <w:color w:val="auto"/>
              </w:rPr>
              <w:t>Cybersecurity</w:t>
            </w:r>
          </w:p>
        </w:tc>
        <w:tc>
          <w:tcPr>
            <w:tcW w:w="8460" w:type="dxa"/>
            <w:vAlign w:val="bottom"/>
            <w:shd w:val="clear" w:color="auto" w:fill="E2E0DE"/>
          </w:tcPr>
          <w:p>
            <w:pPr>
              <w:ind w:left="100"/>
              <w:spacing w:after="0"/>
              <w:rPr>
                <w:sz w:val="20"/>
                <w:szCs w:val="20"/>
                <w:color w:val="auto"/>
              </w:rPr>
            </w:pPr>
            <w:r>
              <w:rPr>
                <w:rFonts w:ascii="Arial" w:cs="Arial" w:eastAsia="Arial" w:hAnsi="Arial"/>
                <w:sz w:val="14"/>
                <w:szCs w:val="14"/>
                <w:color w:val="auto"/>
              </w:rPr>
              <w:t>Ms. Atkins is the CEO and Owner of Baja Corp., an early stage venture capital firm with recent investments in cyber security software</w:t>
            </w:r>
          </w:p>
        </w:tc>
      </w:tr>
      <w:tr>
        <w:trPr>
          <w:trHeight w:val="178"/>
        </w:trPr>
        <w:tc>
          <w:tcPr>
            <w:tcW w:w="2160" w:type="dxa"/>
            <w:vAlign w:val="bottom"/>
            <w:shd w:val="clear" w:color="auto" w:fill="E2E0DE"/>
          </w:tcPr>
          <w:p>
            <w:pPr>
              <w:spacing w:after="0"/>
              <w:rPr>
                <w:sz w:val="15"/>
                <w:szCs w:val="15"/>
                <w:color w:val="auto"/>
              </w:rPr>
            </w:pPr>
          </w:p>
        </w:tc>
        <w:tc>
          <w:tcPr>
            <w:tcW w:w="8460" w:type="dxa"/>
            <w:vAlign w:val="bottom"/>
            <w:shd w:val="clear" w:color="auto" w:fill="E2E0DE"/>
          </w:tcPr>
          <w:p>
            <w:pPr>
              <w:ind w:left="100"/>
              <w:spacing w:after="0"/>
              <w:rPr>
                <w:sz w:val="20"/>
                <w:szCs w:val="20"/>
                <w:color w:val="auto"/>
              </w:rPr>
            </w:pPr>
            <w:r>
              <w:rPr>
                <w:rFonts w:ascii="Arial" w:cs="Arial" w:eastAsia="Arial" w:hAnsi="Arial"/>
                <w:sz w:val="14"/>
                <w:szCs w:val="14"/>
                <w:color w:val="auto"/>
              </w:rPr>
              <w:t>and technology.</w:t>
            </w:r>
          </w:p>
        </w:tc>
      </w:tr>
      <w:tr>
        <w:trPr>
          <w:trHeight w:val="176"/>
        </w:trPr>
        <w:tc>
          <w:tcPr>
            <w:tcW w:w="2160" w:type="dxa"/>
            <w:vAlign w:val="bottom"/>
          </w:tcPr>
          <w:p>
            <w:pPr>
              <w:ind w:left="60"/>
              <w:spacing w:after="0"/>
              <w:rPr>
                <w:sz w:val="20"/>
                <w:szCs w:val="20"/>
                <w:color w:val="auto"/>
              </w:rPr>
            </w:pPr>
            <w:r>
              <w:rPr>
                <w:rFonts w:ascii="Arial" w:cs="Arial" w:eastAsia="Arial" w:hAnsi="Arial"/>
                <w:sz w:val="14"/>
                <w:szCs w:val="14"/>
                <w:color w:val="auto"/>
              </w:rPr>
              <w:t>Real Estate/Project Construction</w:t>
            </w:r>
          </w:p>
        </w:tc>
        <w:tc>
          <w:tcPr>
            <w:tcW w:w="8460" w:type="dxa"/>
            <w:vAlign w:val="bottom"/>
          </w:tcPr>
          <w:p>
            <w:pPr>
              <w:ind w:left="100"/>
              <w:spacing w:after="0"/>
              <w:rPr>
                <w:sz w:val="20"/>
                <w:szCs w:val="20"/>
                <w:color w:val="auto"/>
              </w:rPr>
            </w:pPr>
            <w:r>
              <w:rPr>
                <w:rFonts w:ascii="Arial" w:cs="Arial" w:eastAsia="Arial" w:hAnsi="Arial"/>
                <w:sz w:val="14"/>
                <w:szCs w:val="14"/>
                <w:color w:val="auto"/>
              </w:rPr>
              <w:t>Ms. Atkins is a member of the Board of Directors of SL Green Realty Corp., a fully integrated real estate investment trust.</w:t>
            </w:r>
          </w:p>
        </w:tc>
      </w:tr>
      <w:tr>
        <w:trPr>
          <w:trHeight w:val="167"/>
        </w:trPr>
        <w:tc>
          <w:tcPr>
            <w:tcW w:w="2160" w:type="dxa"/>
            <w:vAlign w:val="bottom"/>
            <w:shd w:val="clear" w:color="auto" w:fill="E2E0DE"/>
          </w:tcPr>
          <w:p>
            <w:pPr>
              <w:ind w:left="60"/>
              <w:spacing w:after="0"/>
              <w:rPr>
                <w:sz w:val="20"/>
                <w:szCs w:val="20"/>
                <w:color w:val="auto"/>
              </w:rPr>
            </w:pPr>
            <w:r>
              <w:rPr>
                <w:rFonts w:ascii="Arial" w:cs="Arial" w:eastAsia="Arial" w:hAnsi="Arial"/>
                <w:sz w:val="14"/>
                <w:szCs w:val="14"/>
                <w:color w:val="auto"/>
              </w:rPr>
              <w:t>ESG</w:t>
            </w:r>
          </w:p>
        </w:tc>
        <w:tc>
          <w:tcPr>
            <w:tcW w:w="8460" w:type="dxa"/>
            <w:vAlign w:val="bottom"/>
            <w:shd w:val="clear" w:color="auto" w:fill="E2E0DE"/>
          </w:tcPr>
          <w:p>
            <w:pPr>
              <w:ind w:left="100"/>
              <w:spacing w:after="0"/>
              <w:rPr>
                <w:sz w:val="20"/>
                <w:szCs w:val="20"/>
                <w:color w:val="auto"/>
              </w:rPr>
            </w:pPr>
            <w:r>
              <w:rPr>
                <w:rFonts w:ascii="Arial" w:cs="Arial" w:eastAsia="Arial" w:hAnsi="Arial"/>
                <w:sz w:val="14"/>
                <w:szCs w:val="14"/>
                <w:color w:val="auto"/>
              </w:rPr>
              <w:t>Ms. Atkins served as the Chair and Chief Executive Officer of Clear Standards (acquired by SAP), which provided Enterprise Carbon</w:t>
            </w:r>
          </w:p>
        </w:tc>
      </w:tr>
      <w:tr>
        <w:trPr>
          <w:trHeight w:val="156"/>
        </w:trPr>
        <w:tc>
          <w:tcPr>
            <w:tcW w:w="2160" w:type="dxa"/>
            <w:vAlign w:val="bottom"/>
            <w:shd w:val="clear" w:color="auto" w:fill="E2E0DE"/>
          </w:tcPr>
          <w:p>
            <w:pPr>
              <w:spacing w:after="0"/>
              <w:rPr>
                <w:sz w:val="13"/>
                <w:szCs w:val="13"/>
                <w:color w:val="auto"/>
              </w:rPr>
            </w:pPr>
          </w:p>
        </w:tc>
        <w:tc>
          <w:tcPr>
            <w:tcW w:w="8460" w:type="dxa"/>
            <w:vAlign w:val="bottom"/>
            <w:shd w:val="clear" w:color="auto" w:fill="E2E0DE"/>
          </w:tcPr>
          <w:p>
            <w:pPr>
              <w:ind w:left="100"/>
              <w:spacing w:after="0" w:line="156" w:lineRule="exact"/>
              <w:rPr>
                <w:sz w:val="20"/>
                <w:szCs w:val="20"/>
                <w:color w:val="auto"/>
              </w:rPr>
            </w:pPr>
            <w:r>
              <w:rPr>
                <w:rFonts w:ascii="Arial" w:cs="Arial" w:eastAsia="Arial" w:hAnsi="Arial"/>
                <w:sz w:val="14"/>
                <w:szCs w:val="14"/>
                <w:color w:val="auto"/>
              </w:rPr>
              <w:t>Management Sustainability software to help organizations measure, mitigate, and monetize carbon and other resources; served as a</w:t>
            </w:r>
          </w:p>
        </w:tc>
      </w:tr>
      <w:tr>
        <w:trPr>
          <w:trHeight w:val="156"/>
        </w:trPr>
        <w:tc>
          <w:tcPr>
            <w:tcW w:w="2160" w:type="dxa"/>
            <w:vAlign w:val="bottom"/>
            <w:shd w:val="clear" w:color="auto" w:fill="E2E0DE"/>
          </w:tcPr>
          <w:p>
            <w:pPr>
              <w:spacing w:after="0"/>
              <w:rPr>
                <w:sz w:val="13"/>
                <w:szCs w:val="13"/>
                <w:color w:val="auto"/>
              </w:rPr>
            </w:pPr>
          </w:p>
        </w:tc>
        <w:tc>
          <w:tcPr>
            <w:tcW w:w="8460" w:type="dxa"/>
            <w:vAlign w:val="bottom"/>
            <w:shd w:val="clear" w:color="auto" w:fill="E2E0DE"/>
          </w:tcPr>
          <w:p>
            <w:pPr>
              <w:ind w:left="100"/>
              <w:spacing w:after="0" w:line="156" w:lineRule="exact"/>
              <w:rPr>
                <w:sz w:val="20"/>
                <w:szCs w:val="20"/>
                <w:color w:val="auto"/>
              </w:rPr>
            </w:pPr>
            <w:r>
              <w:rPr>
                <w:rFonts w:ascii="Arial" w:cs="Arial" w:eastAsia="Arial" w:hAnsi="Arial"/>
                <w:sz w:val="14"/>
                <w:szCs w:val="14"/>
                <w:color w:val="auto"/>
              </w:rPr>
              <w:t>director of SunPower Corporation a renewable energy company; a director of Darden which was then focused on its ESG, community</w:t>
            </w:r>
          </w:p>
        </w:tc>
      </w:tr>
      <w:tr>
        <w:trPr>
          <w:trHeight w:val="156"/>
        </w:trPr>
        <w:tc>
          <w:tcPr>
            <w:tcW w:w="2160" w:type="dxa"/>
            <w:vAlign w:val="bottom"/>
            <w:shd w:val="clear" w:color="auto" w:fill="E2E0DE"/>
          </w:tcPr>
          <w:p>
            <w:pPr>
              <w:spacing w:after="0"/>
              <w:rPr>
                <w:sz w:val="13"/>
                <w:szCs w:val="13"/>
                <w:color w:val="auto"/>
              </w:rPr>
            </w:pPr>
          </w:p>
        </w:tc>
        <w:tc>
          <w:tcPr>
            <w:tcW w:w="8460" w:type="dxa"/>
            <w:vAlign w:val="bottom"/>
            <w:shd w:val="clear" w:color="auto" w:fill="E2E0DE"/>
          </w:tcPr>
          <w:p>
            <w:pPr>
              <w:ind w:left="100"/>
              <w:spacing w:after="0" w:line="156" w:lineRule="exact"/>
              <w:rPr>
                <w:sz w:val="20"/>
                <w:szCs w:val="20"/>
                <w:color w:val="auto"/>
              </w:rPr>
            </w:pPr>
            <w:r>
              <w:rPr>
                <w:rFonts w:ascii="Arial" w:cs="Arial" w:eastAsia="Arial" w:hAnsi="Arial"/>
                <w:sz w:val="14"/>
                <w:szCs w:val="14"/>
                <w:color w:val="auto"/>
              </w:rPr>
              <w:t>programs and ethnic inclusion programs; director of Volvo focusing on global ESG programs for diversity, inclusion, community</w:t>
            </w:r>
          </w:p>
        </w:tc>
      </w:tr>
      <w:tr>
        <w:trPr>
          <w:trHeight w:val="178"/>
        </w:trPr>
        <w:tc>
          <w:tcPr>
            <w:tcW w:w="2160" w:type="dxa"/>
            <w:vAlign w:val="bottom"/>
            <w:shd w:val="clear" w:color="auto" w:fill="E2E0DE"/>
          </w:tcPr>
          <w:p>
            <w:pPr>
              <w:spacing w:after="0"/>
              <w:rPr>
                <w:sz w:val="15"/>
                <w:szCs w:val="15"/>
                <w:color w:val="auto"/>
              </w:rPr>
            </w:pPr>
          </w:p>
        </w:tc>
        <w:tc>
          <w:tcPr>
            <w:tcW w:w="8460" w:type="dxa"/>
            <w:vAlign w:val="bottom"/>
            <w:shd w:val="clear" w:color="auto" w:fill="E2E0DE"/>
          </w:tcPr>
          <w:p>
            <w:pPr>
              <w:ind w:left="100"/>
              <w:spacing w:after="0"/>
              <w:rPr>
                <w:sz w:val="20"/>
                <w:szCs w:val="20"/>
                <w:color w:val="auto"/>
              </w:rPr>
            </w:pPr>
            <w:r>
              <w:rPr>
                <w:rFonts w:ascii="Arial" w:cs="Arial" w:eastAsia="Arial" w:hAnsi="Arial"/>
                <w:sz w:val="14"/>
                <w:szCs w:val="14"/>
                <w:color w:val="auto"/>
              </w:rPr>
              <w:t>engagement and carbon neutrality sustainability.</w:t>
            </w:r>
          </w:p>
        </w:tc>
      </w:tr>
      <w:tr>
        <w:trPr>
          <w:trHeight w:val="313"/>
        </w:trPr>
        <w:tc>
          <w:tcPr>
            <w:tcW w:w="2160" w:type="dxa"/>
            <w:vAlign w:val="bottom"/>
          </w:tcPr>
          <w:p>
            <w:pPr>
              <w:spacing w:after="0"/>
              <w:rPr>
                <w:sz w:val="20"/>
                <w:szCs w:val="20"/>
                <w:color w:val="auto"/>
              </w:rPr>
            </w:pPr>
            <w:r>
              <w:rPr>
                <w:rFonts w:ascii="Arial" w:cs="Arial" w:eastAsia="Arial" w:hAnsi="Arial"/>
                <w:sz w:val="10"/>
                <w:szCs w:val="10"/>
                <w:b w:val="1"/>
                <w:bCs w:val="1"/>
                <w:color w:val="auto"/>
              </w:rPr>
              <w:t>2023 PROXY STATEMENT</w:t>
            </w:r>
          </w:p>
        </w:tc>
        <w:tc>
          <w:tcPr>
            <w:tcW w:w="8460" w:type="dxa"/>
            <w:vAlign w:val="bottom"/>
          </w:tcPr>
          <w:p>
            <w:pPr>
              <w:ind w:left="3080"/>
              <w:spacing w:after="0"/>
              <w:rPr>
                <w:sz w:val="20"/>
                <w:szCs w:val="20"/>
                <w:color w:val="auto"/>
              </w:rPr>
            </w:pPr>
            <w:r>
              <w:rPr>
                <w:rFonts w:ascii="Arial" w:cs="Arial" w:eastAsia="Arial" w:hAnsi="Arial"/>
                <w:sz w:val="14"/>
                <w:szCs w:val="14"/>
                <w:color w:val="auto"/>
              </w:rPr>
              <w:t>// 4 //</w:t>
            </w:r>
          </w:p>
        </w:tc>
      </w:tr>
    </w:tbl>
    <w:p>
      <w:pPr>
        <w:sectPr>
          <w:pgSz w:w="11900" w:h="16838" w:orient="portrait"/>
          <w:cols w:equalWidth="0" w:num="1">
            <w:col w:w="10940"/>
          </w:cols>
          <w:pgMar w:left="320" w:top="473" w:right="6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 xml:space="preserve">Craig S. Billings </w:t>
      </w:r>
      <w:r>
        <w:rPr>
          <w:rFonts w:ascii="Arial" w:cs="Arial" w:eastAsia="Arial" w:hAnsi="Arial"/>
          <w:sz w:val="13"/>
          <w:szCs w:val="13"/>
          <w:b w:val="1"/>
          <w:bCs w:val="1"/>
          <w:i w:val="1"/>
          <w:iCs w:val="1"/>
          <w:color w:val="333D3F"/>
        </w:rPr>
        <w:t>Chief Executive Officer, Wynn Resorts, Limited</w:t>
      </w:r>
    </w:p>
    <w:p>
      <w:pPr>
        <w:spacing w:after="0" w:line="229" w:lineRule="exact"/>
        <w:rPr>
          <w:sz w:val="20"/>
          <w:szCs w:val="20"/>
          <w:color w:val="auto"/>
        </w:rPr>
      </w:pPr>
    </w:p>
    <w:p>
      <w:pPr>
        <w:ind w:left="320" w:right="140"/>
        <w:spacing w:after="0" w:line="237" w:lineRule="auto"/>
        <w:rPr>
          <w:sz w:val="20"/>
          <w:szCs w:val="20"/>
          <w:color w:val="auto"/>
        </w:rPr>
      </w:pPr>
      <w:r>
        <w:rPr>
          <w:rFonts w:ascii="Arial" w:cs="Arial" w:eastAsia="Arial" w:hAnsi="Arial"/>
          <w:sz w:val="14"/>
          <w:szCs w:val="14"/>
          <w:color w:val="auto"/>
        </w:rPr>
        <w:t>Mr. Billings has served as the Company’s CEO since February 1, 2022, and as President from March 2019 until May 2020 when he became CEO of Wynn Interactive. Mr. Billings joined the Company in March 2017 as Chief Financial Officer until he was selected as CEO. Mr. Billings is also the CEO and an Executive Director of Wynn Macau, Limited, a majority owned subsidiary of the Company. Mr. Billings serves as a Director of Applovin Corporation.</w:t>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335"/>
        </w:trPr>
        <w:tc>
          <w:tcPr>
            <w:tcW w:w="200" w:type="dxa"/>
            <w:vAlign w:val="bottom"/>
            <w:shd w:val="clear" w:color="auto" w:fill="FBF9EC"/>
          </w:tcPr>
          <w:p>
            <w:pPr>
              <w:spacing w:after="0"/>
              <w:rPr>
                <w:sz w:val="24"/>
                <w:szCs w:val="24"/>
                <w:color w:val="auto"/>
              </w:rPr>
            </w:pPr>
          </w:p>
        </w:tc>
        <w:tc>
          <w:tcPr>
            <w:tcW w:w="98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Director Since</w:t>
            </w:r>
          </w:p>
        </w:tc>
        <w:tc>
          <w:tcPr>
            <w:tcW w:w="1880" w:type="dxa"/>
            <w:vAlign w:val="bottom"/>
            <w:gridSpan w:val="2"/>
            <w:shd w:val="clear" w:color="auto" w:fill="FBF9EC"/>
          </w:tcPr>
          <w:p>
            <w:pPr>
              <w:ind w:left="160"/>
              <w:spacing w:after="0"/>
              <w:rPr>
                <w:sz w:val="20"/>
                <w:szCs w:val="20"/>
                <w:color w:val="auto"/>
              </w:rPr>
            </w:pPr>
            <w:r>
              <w:rPr>
                <w:rFonts w:ascii="Arial" w:cs="Arial" w:eastAsia="Arial" w:hAnsi="Arial"/>
                <w:sz w:val="12"/>
                <w:szCs w:val="12"/>
                <w:color w:val="333D3F"/>
              </w:rPr>
              <w:t>February 2022</w:t>
            </w:r>
          </w:p>
        </w:tc>
      </w:tr>
      <w:tr>
        <w:trPr>
          <w:trHeight w:val="68"/>
        </w:trPr>
        <w:tc>
          <w:tcPr>
            <w:tcW w:w="200" w:type="dxa"/>
            <w:vAlign w:val="bottom"/>
            <w:shd w:val="clear" w:color="auto" w:fill="FBF9EC"/>
          </w:tcPr>
          <w:p>
            <w:pPr>
              <w:spacing w:after="0"/>
              <w:rPr>
                <w:sz w:val="5"/>
                <w:szCs w:val="5"/>
                <w:color w:val="auto"/>
              </w:rPr>
            </w:pPr>
          </w:p>
        </w:tc>
        <w:tc>
          <w:tcPr>
            <w:tcW w:w="980" w:type="dxa"/>
            <w:vAlign w:val="bottom"/>
            <w:tcBorders>
              <w:bottom w:val="single" w:sz="8" w:color="auto"/>
            </w:tcBorders>
            <w:shd w:val="clear" w:color="auto" w:fill="FBF9EC"/>
          </w:tcPr>
          <w:p>
            <w:pPr>
              <w:spacing w:after="0"/>
              <w:rPr>
                <w:sz w:val="5"/>
                <w:szCs w:val="5"/>
                <w:color w:val="auto"/>
              </w:rPr>
            </w:pPr>
          </w:p>
        </w:tc>
        <w:tc>
          <w:tcPr>
            <w:tcW w:w="1760" w:type="dxa"/>
            <w:vAlign w:val="bottom"/>
            <w:tcBorders>
              <w:bottom w:val="single" w:sz="8" w:color="auto"/>
            </w:tcBorders>
            <w:shd w:val="clear" w:color="auto" w:fill="FBF9EC"/>
          </w:tcPr>
          <w:p>
            <w:pPr>
              <w:spacing w:after="0"/>
              <w:rPr>
                <w:sz w:val="5"/>
                <w:szCs w:val="5"/>
                <w:color w:val="auto"/>
              </w:rPr>
            </w:pPr>
          </w:p>
        </w:tc>
        <w:tc>
          <w:tcPr>
            <w:tcW w:w="120" w:type="dxa"/>
            <w:vAlign w:val="bottom"/>
            <w:tcBorders>
              <w:bottom w:val="single" w:sz="8" w:color="FBF9EC"/>
            </w:tcBorders>
            <w:shd w:val="clear" w:color="auto" w:fill="FBF9EC"/>
          </w:tcPr>
          <w:p>
            <w:pPr>
              <w:spacing w:after="0"/>
              <w:rPr>
                <w:sz w:val="5"/>
                <w:szCs w:val="5"/>
                <w:color w:val="auto"/>
              </w:rPr>
            </w:pPr>
          </w:p>
        </w:tc>
      </w:tr>
      <w:tr>
        <w:trPr>
          <w:trHeight w:val="328"/>
        </w:trPr>
        <w:tc>
          <w:tcPr>
            <w:tcW w:w="200" w:type="dxa"/>
            <w:vAlign w:val="bottom"/>
          </w:tcPr>
          <w:p>
            <w:pPr>
              <w:spacing w:after="0"/>
              <w:rPr>
                <w:sz w:val="24"/>
                <w:szCs w:val="24"/>
                <w:color w:val="auto"/>
              </w:rPr>
            </w:pPr>
          </w:p>
        </w:tc>
        <w:tc>
          <w:tcPr>
            <w:tcW w:w="98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Term Expires</w:t>
            </w:r>
          </w:p>
        </w:tc>
        <w:tc>
          <w:tcPr>
            <w:tcW w:w="1880" w:type="dxa"/>
            <w:vAlign w:val="bottom"/>
            <w:gridSpan w:val="2"/>
            <w:shd w:val="clear" w:color="auto" w:fill="FBF9EC"/>
          </w:tcPr>
          <w:p>
            <w:pPr>
              <w:ind w:left="160"/>
              <w:spacing w:after="0"/>
              <w:rPr>
                <w:sz w:val="20"/>
                <w:szCs w:val="20"/>
                <w:color w:val="auto"/>
              </w:rPr>
            </w:pPr>
            <w:r>
              <w:rPr>
                <w:rFonts w:ascii="Arial" w:cs="Arial" w:eastAsia="Arial" w:hAnsi="Arial"/>
                <w:sz w:val="12"/>
                <w:szCs w:val="12"/>
                <w:color w:val="333D3F"/>
              </w:rPr>
              <w:t>2025 Annual Meeting</w:t>
            </w:r>
          </w:p>
        </w:tc>
      </w:tr>
      <w:tr>
        <w:trPr>
          <w:trHeight w:val="68"/>
        </w:trPr>
        <w:tc>
          <w:tcPr>
            <w:tcW w:w="200" w:type="dxa"/>
            <w:vAlign w:val="bottom"/>
          </w:tcPr>
          <w:p>
            <w:pPr>
              <w:spacing w:after="0"/>
              <w:rPr>
                <w:sz w:val="5"/>
                <w:szCs w:val="5"/>
                <w:color w:val="auto"/>
              </w:rPr>
            </w:pPr>
          </w:p>
        </w:tc>
        <w:tc>
          <w:tcPr>
            <w:tcW w:w="980" w:type="dxa"/>
            <w:vAlign w:val="bottom"/>
            <w:shd w:val="clear" w:color="auto" w:fill="FBF9EC"/>
          </w:tcPr>
          <w:p>
            <w:pPr>
              <w:spacing w:after="0"/>
              <w:rPr>
                <w:sz w:val="5"/>
                <w:szCs w:val="5"/>
                <w:color w:val="auto"/>
              </w:rPr>
            </w:pPr>
          </w:p>
        </w:tc>
        <w:tc>
          <w:tcPr>
            <w:tcW w:w="1760" w:type="dxa"/>
            <w:vAlign w:val="bottom"/>
            <w:shd w:val="clear" w:color="auto" w:fill="FBF9EC"/>
          </w:tcPr>
          <w:p>
            <w:pPr>
              <w:spacing w:after="0"/>
              <w:rPr>
                <w:sz w:val="5"/>
                <w:szCs w:val="5"/>
                <w:color w:val="auto"/>
              </w:rPr>
            </w:pPr>
          </w:p>
        </w:tc>
        <w:tc>
          <w:tcPr>
            <w:tcW w:w="120" w:type="dxa"/>
            <w:vAlign w:val="bottom"/>
            <w:shd w:val="clear" w:color="auto" w:fill="FBF9EC"/>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-1981835</wp:posOffset>
            </wp:positionV>
            <wp:extent cx="1941195" cy="23380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41195" cy="2338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PREVIOUS EXPERIENCE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–   2015 to 2017: Gaming industry independent advisor and investor</w:t>
      </w:r>
    </w:p>
    <w:p>
      <w:pPr>
        <w:spacing w:after="0" w:line="73" w:lineRule="exact"/>
        <w:rPr>
          <w:sz w:val="20"/>
          <w:szCs w:val="20"/>
          <w:color w:val="auto"/>
        </w:rPr>
      </w:pPr>
    </w:p>
    <w:p>
      <w:pPr>
        <w:ind w:left="160" w:right="560" w:hanging="172"/>
        <w:spacing w:after="0" w:line="239" w:lineRule="auto"/>
        <w:rPr>
          <w:sz w:val="20"/>
          <w:szCs w:val="20"/>
          <w:color w:val="auto"/>
        </w:rPr>
      </w:pPr>
      <w:r>
        <w:rPr>
          <w:rFonts w:ascii="Arial" w:cs="Arial" w:eastAsia="Arial" w:hAnsi="Arial"/>
          <w:sz w:val="14"/>
          <w:szCs w:val="14"/>
          <w:color w:val="auto"/>
        </w:rPr>
        <w:t>–   2012 to 2015: Chief Digital Officer, Strategy &amp; Business Development Managing Director, various roles, Aristocrat Leisure Ltd.</w:t>
      </w:r>
    </w:p>
    <w:p>
      <w:pPr>
        <w:spacing w:after="0" w:line="70" w:lineRule="exact"/>
        <w:rPr>
          <w:sz w:val="20"/>
          <w:szCs w:val="20"/>
          <w:color w:val="auto"/>
        </w:rPr>
      </w:pPr>
    </w:p>
    <w:p>
      <w:pPr>
        <w:ind w:left="160" w:right="80" w:hanging="172"/>
        <w:spacing w:after="0" w:line="239" w:lineRule="auto"/>
        <w:rPr>
          <w:sz w:val="20"/>
          <w:szCs w:val="20"/>
          <w:color w:val="auto"/>
        </w:rPr>
      </w:pPr>
      <w:r>
        <w:rPr>
          <w:rFonts w:ascii="Arial" w:cs="Arial" w:eastAsia="Arial" w:hAnsi="Arial"/>
          <w:sz w:val="14"/>
          <w:szCs w:val="14"/>
          <w:color w:val="auto"/>
        </w:rPr>
        <w:t>–   Previously Vice President in the Investment Banking Division of Goldman Sachs in both New York and London, covering the gaming industry</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–   Previously audit and assurance manager at Deloitte.</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–   2015 to 2018: Director and Non-Executive Chair, NYX Gaming Group</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EDUCATION</w:t>
      </w:r>
    </w:p>
    <w:p>
      <w:pPr>
        <w:spacing w:after="0" w:line="16" w:lineRule="exact"/>
        <w:rPr>
          <w:sz w:val="20"/>
          <w:szCs w:val="20"/>
          <w:color w:val="auto"/>
        </w:rPr>
      </w:pPr>
    </w:p>
    <w:p>
      <w:pPr>
        <w:ind w:right="560"/>
        <w:spacing w:after="0" w:line="239" w:lineRule="auto"/>
        <w:rPr>
          <w:sz w:val="20"/>
          <w:szCs w:val="20"/>
          <w:color w:val="auto"/>
        </w:rPr>
      </w:pPr>
      <w:r>
        <w:rPr>
          <w:rFonts w:ascii="Arial" w:cs="Arial" w:eastAsia="Arial" w:hAnsi="Arial"/>
          <w:sz w:val="14"/>
          <w:szCs w:val="14"/>
          <w:color w:val="auto"/>
        </w:rPr>
        <w:t xml:space="preserve">Mr. Billings graduated with a B.S. </w:t>
      </w:r>
      <w:r>
        <w:rPr>
          <w:rFonts w:ascii="Arial" w:cs="Arial" w:eastAsia="Arial" w:hAnsi="Arial"/>
          <w:sz w:val="14"/>
          <w:szCs w:val="14"/>
          <w:i w:val="1"/>
          <w:iCs w:val="1"/>
          <w:color w:val="auto"/>
        </w:rPr>
        <w:t>cum laude</w:t>
      </w:r>
      <w:r>
        <w:rPr>
          <w:rFonts w:ascii="Arial" w:cs="Arial" w:eastAsia="Arial" w:hAnsi="Arial"/>
          <w:sz w:val="14"/>
          <w:szCs w:val="14"/>
          <w:color w:val="auto"/>
        </w:rPr>
        <w:t xml:space="preserve"> in Accounting from the University of Nevada, Las Vegas, and received an M.B.A. from Columbia Business School. Mr. Billings is a Certified Public Accountant.</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EXPERTISE</w:t>
      </w:r>
    </w:p>
    <w:p>
      <w:pPr>
        <w:spacing w:after="0" w:line="16" w:lineRule="exact"/>
        <w:rPr>
          <w:sz w:val="20"/>
          <w:szCs w:val="20"/>
          <w:color w:val="auto"/>
        </w:rPr>
      </w:pPr>
    </w:p>
    <w:p>
      <w:pPr>
        <w:ind w:right="360"/>
        <w:spacing w:after="0" w:line="239" w:lineRule="auto"/>
        <w:rPr>
          <w:sz w:val="20"/>
          <w:szCs w:val="20"/>
          <w:color w:val="auto"/>
        </w:rPr>
      </w:pPr>
      <w:r>
        <w:rPr>
          <w:rFonts w:ascii="Arial" w:cs="Arial" w:eastAsia="Arial" w:hAnsi="Arial"/>
          <w:sz w:val="14"/>
          <w:szCs w:val="14"/>
          <w:color w:val="auto"/>
        </w:rPr>
        <w:t>Mr. Billings has extensive leadership and innovation experience in the gaming industry, both domestically and internationally, as well as experience in the investment banking and financial services industries.</w:t>
      </w:r>
    </w:p>
    <w:p>
      <w:pPr>
        <w:spacing w:after="0" w:line="319" w:lineRule="exact"/>
        <w:rPr>
          <w:sz w:val="20"/>
          <w:szCs w:val="20"/>
          <w:color w:val="auto"/>
        </w:rPr>
      </w:pPr>
    </w:p>
    <w:p>
      <w:pPr>
        <w:sectPr>
          <w:pgSz w:w="11900" w:h="16838" w:orient="portrait"/>
          <w:cols w:equalWidth="0" w:num="2">
            <w:col w:w="3380" w:space="520"/>
            <w:col w:w="7040"/>
          </w:cols>
          <w:pgMar w:left="320" w:top="473" w:right="639" w:bottom="1440" w:gutter="0" w:footer="0" w:header="0"/>
          <w:type w:val="continuous"/>
        </w:sectPr>
      </w:pPr>
    </w:p>
    <w:tbl>
      <w:tblPr>
        <w:tblLayout w:type="fixed"/>
        <w:tblInd w:w="320" w:type="dxa"/>
        <w:tblCellMar>
          <w:top w:w="0" w:type="dxa"/>
          <w:left w:w="0" w:type="dxa"/>
          <w:bottom w:w="0" w:type="dxa"/>
          <w:right w:w="0" w:type="dxa"/>
        </w:tblCellMar>
      </w:tblPr>
      <w:tr>
        <w:trPr>
          <w:trHeight w:val="328"/>
        </w:trPr>
        <w:tc>
          <w:tcPr>
            <w:tcW w:w="240" w:type="dxa"/>
            <w:vAlign w:val="bottom"/>
          </w:tcPr>
          <w:p>
            <w:pPr>
              <w:spacing w:after="0"/>
              <w:rPr>
                <w:sz w:val="24"/>
                <w:szCs w:val="24"/>
                <w:color w:val="auto"/>
              </w:rPr>
            </w:pPr>
          </w:p>
        </w:tc>
        <w:tc>
          <w:tcPr>
            <w:tcW w:w="900" w:type="dxa"/>
            <w:vAlign w:val="bottom"/>
            <w:shd w:val="clear" w:color="auto" w:fill="FBF9EC"/>
          </w:tcPr>
          <w:p>
            <w:pPr>
              <w:spacing w:after="0"/>
              <w:rPr>
                <w:sz w:val="20"/>
                <w:szCs w:val="20"/>
                <w:color w:val="auto"/>
              </w:rPr>
            </w:pPr>
            <w:r>
              <w:rPr>
                <w:rFonts w:ascii="Arial" w:cs="Arial" w:eastAsia="Arial" w:hAnsi="Arial"/>
                <w:sz w:val="12"/>
                <w:szCs w:val="12"/>
                <w:color w:val="333D3F"/>
              </w:rPr>
              <w:t>Age</w:t>
            </w:r>
          </w:p>
        </w:tc>
        <w:tc>
          <w:tcPr>
            <w:tcW w:w="900" w:type="dxa"/>
            <w:vAlign w:val="bottom"/>
            <w:shd w:val="clear" w:color="auto" w:fill="FBF9EC"/>
          </w:tcPr>
          <w:p>
            <w:pPr>
              <w:jc w:val="right"/>
              <w:ind w:right="499"/>
              <w:spacing w:after="0"/>
              <w:rPr>
                <w:sz w:val="20"/>
                <w:szCs w:val="20"/>
                <w:color w:val="auto"/>
              </w:rPr>
            </w:pPr>
            <w:r>
              <w:rPr>
                <w:rFonts w:ascii="Arial" w:cs="Arial" w:eastAsia="Arial" w:hAnsi="Arial"/>
                <w:sz w:val="12"/>
                <w:szCs w:val="12"/>
                <w:color w:val="333D3F"/>
              </w:rPr>
              <w:t>50</w:t>
            </w:r>
          </w:p>
        </w:tc>
        <w:tc>
          <w:tcPr>
            <w:tcW w:w="1020" w:type="dxa"/>
            <w:vAlign w:val="bottom"/>
            <w:shd w:val="clear" w:color="auto" w:fill="FBF9EC"/>
          </w:tcPr>
          <w:p>
            <w:pPr>
              <w:spacing w:after="0"/>
              <w:rPr>
                <w:sz w:val="24"/>
                <w:szCs w:val="24"/>
                <w:color w:val="auto"/>
              </w:rPr>
            </w:pPr>
          </w:p>
        </w:tc>
        <w:tc>
          <w:tcPr>
            <w:tcW w:w="7560" w:type="dxa"/>
            <w:vAlign w:val="bottom"/>
          </w:tcPr>
          <w:p>
            <w:pPr>
              <w:spacing w:after="0"/>
              <w:rPr>
                <w:sz w:val="24"/>
                <w:szCs w:val="24"/>
                <w:color w:val="auto"/>
              </w:rPr>
            </w:pPr>
          </w:p>
        </w:tc>
      </w:tr>
      <w:tr>
        <w:trPr>
          <w:trHeight w:val="211"/>
        </w:trPr>
        <w:tc>
          <w:tcPr>
            <w:tcW w:w="240" w:type="dxa"/>
            <w:vAlign w:val="bottom"/>
          </w:tcPr>
          <w:p>
            <w:pPr>
              <w:spacing w:after="0"/>
              <w:rPr>
                <w:sz w:val="18"/>
                <w:szCs w:val="18"/>
                <w:color w:val="auto"/>
              </w:rPr>
            </w:pPr>
          </w:p>
        </w:tc>
        <w:tc>
          <w:tcPr>
            <w:tcW w:w="1800" w:type="dxa"/>
            <w:vAlign w:val="bottom"/>
            <w:gridSpan w:val="2"/>
            <w:shd w:val="clear" w:color="auto" w:fill="FBF9EC"/>
          </w:tcPr>
          <w:p>
            <w:pPr>
              <w:spacing w:after="0"/>
              <w:rPr>
                <w:sz w:val="18"/>
                <w:szCs w:val="18"/>
                <w:color w:val="auto"/>
              </w:rPr>
            </w:pPr>
          </w:p>
        </w:tc>
        <w:tc>
          <w:tcPr>
            <w:tcW w:w="1020" w:type="dxa"/>
            <w:vAlign w:val="bottom"/>
            <w:shd w:val="clear" w:color="auto" w:fill="FBF9EC"/>
          </w:tcPr>
          <w:p>
            <w:pPr>
              <w:spacing w:after="0"/>
              <w:rPr>
                <w:sz w:val="18"/>
                <w:szCs w:val="18"/>
                <w:color w:val="auto"/>
              </w:rPr>
            </w:pPr>
          </w:p>
        </w:tc>
        <w:tc>
          <w:tcPr>
            <w:tcW w:w="7560" w:type="dxa"/>
            <w:vAlign w:val="bottom"/>
          </w:tcPr>
          <w:p>
            <w:pPr>
              <w:spacing w:after="0"/>
              <w:rPr>
                <w:sz w:val="18"/>
                <w:szCs w:val="18"/>
                <w:color w:val="auto"/>
              </w:rPr>
            </w:pPr>
          </w:p>
        </w:tc>
      </w:tr>
      <w:tr>
        <w:trPr>
          <w:trHeight w:val="309"/>
        </w:trPr>
        <w:tc>
          <w:tcPr>
            <w:tcW w:w="2040" w:type="dxa"/>
            <w:vAlign w:val="bottom"/>
            <w:gridSpan w:val="3"/>
          </w:tcPr>
          <w:p>
            <w:pPr>
              <w:spacing w:after="0"/>
              <w:rPr>
                <w:sz w:val="20"/>
                <w:szCs w:val="20"/>
                <w:color w:val="auto"/>
              </w:rPr>
            </w:pPr>
            <w:r>
              <w:rPr>
                <w:rFonts w:ascii="Arial" w:cs="Arial" w:eastAsia="Arial" w:hAnsi="Arial"/>
                <w:sz w:val="12"/>
                <w:szCs w:val="12"/>
                <w:b w:val="1"/>
                <w:bCs w:val="1"/>
                <w:color w:val="B3AB9D"/>
              </w:rPr>
              <w:t>SKILLS AND QUALIFICATIONS</w:t>
            </w:r>
          </w:p>
        </w:tc>
        <w:tc>
          <w:tcPr>
            <w:tcW w:w="102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224"/>
        </w:trPr>
        <w:tc>
          <w:tcPr>
            <w:tcW w:w="2040" w:type="dxa"/>
            <w:vAlign w:val="bottom"/>
            <w:gridSpan w:val="3"/>
          </w:tcPr>
          <w:p>
            <w:pPr>
              <w:spacing w:after="0"/>
              <w:rPr>
                <w:sz w:val="19"/>
                <w:szCs w:val="19"/>
                <w:color w:val="auto"/>
              </w:rPr>
            </w:pPr>
          </w:p>
        </w:tc>
        <w:tc>
          <w:tcPr>
            <w:tcW w:w="8580" w:type="dxa"/>
            <w:vAlign w:val="bottom"/>
            <w:gridSpan w:val="2"/>
          </w:tcPr>
          <w:p>
            <w:pPr>
              <w:spacing w:after="0"/>
              <w:rPr>
                <w:sz w:val="19"/>
                <w:szCs w:val="19"/>
                <w:color w:val="auto"/>
              </w:rPr>
            </w:pPr>
          </w:p>
        </w:tc>
      </w:tr>
      <w:tr>
        <w:trPr>
          <w:trHeight w:val="161"/>
        </w:trPr>
        <w:tc>
          <w:tcPr>
            <w:tcW w:w="2040" w:type="dxa"/>
            <w:vAlign w:val="bottom"/>
            <w:gridSpan w:val="3"/>
            <w:shd w:val="clear" w:color="auto" w:fill="E2E0DE"/>
          </w:tcPr>
          <w:p>
            <w:pPr>
              <w:ind w:left="60"/>
              <w:spacing w:after="0"/>
              <w:rPr>
                <w:sz w:val="20"/>
                <w:szCs w:val="20"/>
                <w:color w:val="auto"/>
              </w:rPr>
            </w:pPr>
            <w:r>
              <w:rPr>
                <w:rFonts w:ascii="Arial" w:cs="Arial" w:eastAsia="Arial" w:hAnsi="Arial"/>
                <w:sz w:val="14"/>
                <w:szCs w:val="14"/>
                <w:color w:val="auto"/>
              </w:rPr>
              <w:t>Gaming or Other Regulated</w:t>
            </w:r>
          </w:p>
        </w:tc>
        <w:tc>
          <w:tcPr>
            <w:tcW w:w="8580" w:type="dxa"/>
            <w:vAlign w:val="bottom"/>
            <w:gridSpan w:val="2"/>
            <w:shd w:val="clear" w:color="auto" w:fill="E2E0DE"/>
          </w:tcPr>
          <w:p>
            <w:pPr>
              <w:ind w:left="220"/>
              <w:spacing w:after="0"/>
              <w:rPr>
                <w:sz w:val="20"/>
                <w:szCs w:val="20"/>
                <w:color w:val="auto"/>
              </w:rPr>
            </w:pPr>
            <w:r>
              <w:rPr>
                <w:rFonts w:ascii="Arial" w:cs="Arial" w:eastAsia="Arial" w:hAnsi="Arial"/>
                <w:sz w:val="14"/>
                <w:szCs w:val="14"/>
                <w:color w:val="auto"/>
              </w:rPr>
              <w:t>Mr. Billings was a Vice President of Investment Banking for Goldman Sachs focusing on financing mergers and acquisitions for the</w:t>
            </w:r>
          </w:p>
        </w:tc>
      </w:tr>
      <w:tr>
        <w:trPr>
          <w:trHeight w:val="156"/>
        </w:trPr>
        <w:tc>
          <w:tcPr>
            <w:tcW w:w="1140" w:type="dxa"/>
            <w:vAlign w:val="bottom"/>
            <w:gridSpan w:val="2"/>
            <w:shd w:val="clear" w:color="auto" w:fill="E2E0DE"/>
          </w:tcPr>
          <w:p>
            <w:pPr>
              <w:ind w:left="60"/>
              <w:spacing w:after="0" w:line="156" w:lineRule="exact"/>
              <w:rPr>
                <w:sz w:val="20"/>
                <w:szCs w:val="20"/>
                <w:color w:val="auto"/>
              </w:rPr>
            </w:pPr>
            <w:r>
              <w:rPr>
                <w:rFonts w:ascii="Arial" w:cs="Arial" w:eastAsia="Arial" w:hAnsi="Arial"/>
                <w:sz w:val="14"/>
                <w:szCs w:val="14"/>
                <w:color w:val="auto"/>
              </w:rPr>
              <w:t>Industry</w:t>
            </w:r>
          </w:p>
        </w:tc>
        <w:tc>
          <w:tcPr>
            <w:tcW w:w="900" w:type="dxa"/>
            <w:vAlign w:val="bottom"/>
            <w:shd w:val="clear" w:color="auto" w:fill="E2E0DE"/>
          </w:tcPr>
          <w:p>
            <w:pPr>
              <w:spacing w:after="0"/>
              <w:rPr>
                <w:sz w:val="13"/>
                <w:szCs w:val="13"/>
                <w:color w:val="auto"/>
              </w:rPr>
            </w:pPr>
          </w:p>
        </w:tc>
        <w:tc>
          <w:tcPr>
            <w:tcW w:w="8580" w:type="dxa"/>
            <w:vAlign w:val="bottom"/>
            <w:gridSpan w:val="2"/>
            <w:shd w:val="clear" w:color="auto" w:fill="E2E0DE"/>
          </w:tcPr>
          <w:p>
            <w:pPr>
              <w:ind w:left="220"/>
              <w:spacing w:after="0" w:line="156" w:lineRule="exact"/>
              <w:rPr>
                <w:sz w:val="20"/>
                <w:szCs w:val="20"/>
                <w:color w:val="auto"/>
              </w:rPr>
            </w:pPr>
            <w:r>
              <w:rPr>
                <w:rFonts w:ascii="Arial" w:cs="Arial" w:eastAsia="Arial" w:hAnsi="Arial"/>
                <w:sz w:val="14"/>
                <w:szCs w:val="14"/>
                <w:color w:val="auto"/>
              </w:rPr>
              <w:t>gaming industry; Chief Digital Officer and MD, Strategy and Business Development of Aristocrat, a leading gaming equipment</w:t>
            </w:r>
          </w:p>
        </w:tc>
      </w:tr>
      <w:tr>
        <w:trPr>
          <w:trHeight w:val="156"/>
        </w:trPr>
        <w:tc>
          <w:tcPr>
            <w:tcW w:w="240" w:type="dxa"/>
            <w:vAlign w:val="bottom"/>
            <w:shd w:val="clear" w:color="auto" w:fill="E2E0DE"/>
          </w:tcPr>
          <w:p>
            <w:pPr>
              <w:spacing w:after="0"/>
              <w:rPr>
                <w:sz w:val="13"/>
                <w:szCs w:val="13"/>
                <w:color w:val="auto"/>
              </w:rPr>
            </w:pPr>
          </w:p>
        </w:tc>
        <w:tc>
          <w:tcPr>
            <w:tcW w:w="900" w:type="dxa"/>
            <w:vAlign w:val="bottom"/>
            <w:shd w:val="clear" w:color="auto" w:fill="E2E0DE"/>
          </w:tcPr>
          <w:p>
            <w:pPr>
              <w:spacing w:after="0"/>
              <w:rPr>
                <w:sz w:val="13"/>
                <w:szCs w:val="13"/>
                <w:color w:val="auto"/>
              </w:rPr>
            </w:pPr>
          </w:p>
        </w:tc>
        <w:tc>
          <w:tcPr>
            <w:tcW w:w="900" w:type="dxa"/>
            <w:vAlign w:val="bottom"/>
            <w:shd w:val="clear" w:color="auto" w:fill="E2E0DE"/>
          </w:tcPr>
          <w:p>
            <w:pPr>
              <w:spacing w:after="0"/>
              <w:rPr>
                <w:sz w:val="13"/>
                <w:szCs w:val="13"/>
                <w:color w:val="auto"/>
              </w:rPr>
            </w:pPr>
          </w:p>
        </w:tc>
        <w:tc>
          <w:tcPr>
            <w:tcW w:w="8580" w:type="dxa"/>
            <w:vAlign w:val="bottom"/>
            <w:gridSpan w:val="2"/>
            <w:shd w:val="clear" w:color="auto" w:fill="E2E0DE"/>
          </w:tcPr>
          <w:p>
            <w:pPr>
              <w:ind w:left="220"/>
              <w:spacing w:after="0" w:line="156" w:lineRule="exact"/>
              <w:rPr>
                <w:sz w:val="20"/>
                <w:szCs w:val="20"/>
                <w:color w:val="auto"/>
              </w:rPr>
            </w:pPr>
            <w:r>
              <w:rPr>
                <w:rFonts w:ascii="Arial" w:cs="Arial" w:eastAsia="Arial" w:hAnsi="Arial"/>
                <w:sz w:val="14"/>
                <w:szCs w:val="14"/>
                <w:color w:val="auto"/>
              </w:rPr>
              <w:t>manufacturer and online gaming provider. Mr. Billings also served as non-executive director and Chairman of NYX, a regulated sports</w:t>
            </w:r>
          </w:p>
        </w:tc>
      </w:tr>
      <w:tr>
        <w:trPr>
          <w:trHeight w:val="178"/>
        </w:trPr>
        <w:tc>
          <w:tcPr>
            <w:tcW w:w="240" w:type="dxa"/>
            <w:vAlign w:val="bottom"/>
            <w:shd w:val="clear" w:color="auto" w:fill="E2E0DE"/>
          </w:tcPr>
          <w:p>
            <w:pPr>
              <w:spacing w:after="0"/>
              <w:rPr>
                <w:sz w:val="15"/>
                <w:szCs w:val="15"/>
                <w:color w:val="auto"/>
              </w:rPr>
            </w:pPr>
          </w:p>
        </w:tc>
        <w:tc>
          <w:tcPr>
            <w:tcW w:w="900" w:type="dxa"/>
            <w:vAlign w:val="bottom"/>
            <w:shd w:val="clear" w:color="auto" w:fill="E2E0DE"/>
          </w:tcPr>
          <w:p>
            <w:pPr>
              <w:spacing w:after="0"/>
              <w:rPr>
                <w:sz w:val="15"/>
                <w:szCs w:val="15"/>
                <w:color w:val="auto"/>
              </w:rPr>
            </w:pPr>
          </w:p>
        </w:tc>
        <w:tc>
          <w:tcPr>
            <w:tcW w:w="900" w:type="dxa"/>
            <w:vAlign w:val="bottom"/>
            <w:shd w:val="clear" w:color="auto" w:fill="E2E0DE"/>
          </w:tcPr>
          <w:p>
            <w:pPr>
              <w:spacing w:after="0"/>
              <w:rPr>
                <w:sz w:val="15"/>
                <w:szCs w:val="15"/>
                <w:color w:val="auto"/>
              </w:rPr>
            </w:pPr>
          </w:p>
        </w:tc>
        <w:tc>
          <w:tcPr>
            <w:tcW w:w="8580" w:type="dxa"/>
            <w:vAlign w:val="bottom"/>
            <w:gridSpan w:val="2"/>
            <w:shd w:val="clear" w:color="auto" w:fill="E2E0DE"/>
          </w:tcPr>
          <w:p>
            <w:pPr>
              <w:ind w:left="220"/>
              <w:spacing w:after="0"/>
              <w:rPr>
                <w:sz w:val="20"/>
                <w:szCs w:val="20"/>
                <w:color w:val="auto"/>
              </w:rPr>
            </w:pPr>
            <w:r>
              <w:rPr>
                <w:rFonts w:ascii="Arial" w:cs="Arial" w:eastAsia="Arial" w:hAnsi="Arial"/>
                <w:sz w:val="14"/>
                <w:szCs w:val="14"/>
                <w:color w:val="auto"/>
              </w:rPr>
              <w:t>betting company.</w:t>
            </w:r>
          </w:p>
        </w:tc>
      </w:tr>
      <w:tr>
        <w:trPr>
          <w:trHeight w:val="161"/>
        </w:trPr>
        <w:tc>
          <w:tcPr>
            <w:tcW w:w="2040" w:type="dxa"/>
            <w:vAlign w:val="bottom"/>
            <w:gridSpan w:val="3"/>
          </w:tcPr>
          <w:p>
            <w:pPr>
              <w:ind w:left="60"/>
              <w:spacing w:after="0"/>
              <w:rPr>
                <w:sz w:val="20"/>
                <w:szCs w:val="20"/>
                <w:color w:val="auto"/>
              </w:rPr>
            </w:pPr>
            <w:r>
              <w:rPr>
                <w:rFonts w:ascii="Arial" w:cs="Arial" w:eastAsia="Arial" w:hAnsi="Arial"/>
                <w:sz w:val="14"/>
                <w:szCs w:val="14"/>
                <w:color w:val="auto"/>
              </w:rPr>
              <w:t>Travel, Leisure, Hospitality &amp;</w:t>
            </w:r>
          </w:p>
        </w:tc>
        <w:tc>
          <w:tcPr>
            <w:tcW w:w="8580" w:type="dxa"/>
            <w:vAlign w:val="bottom"/>
            <w:gridSpan w:val="2"/>
          </w:tcPr>
          <w:p>
            <w:pPr>
              <w:ind w:left="220"/>
              <w:spacing w:after="0"/>
              <w:rPr>
                <w:sz w:val="20"/>
                <w:szCs w:val="20"/>
                <w:color w:val="auto"/>
              </w:rPr>
            </w:pPr>
            <w:r>
              <w:rPr>
                <w:rFonts w:ascii="Arial" w:cs="Arial" w:eastAsia="Arial" w:hAnsi="Arial"/>
                <w:sz w:val="14"/>
                <w:szCs w:val="14"/>
                <w:color w:val="auto"/>
              </w:rPr>
              <w:t>In his role as CEO, Mr. Billings leads Wynn Resort’s strategy to develop experiences in culinary arts, sports broadcasts, luxury goods,</w:t>
            </w:r>
          </w:p>
        </w:tc>
      </w:tr>
      <w:tr>
        <w:trPr>
          <w:trHeight w:val="172"/>
        </w:trPr>
        <w:tc>
          <w:tcPr>
            <w:tcW w:w="1140" w:type="dxa"/>
            <w:vAlign w:val="bottom"/>
            <w:gridSpan w:val="2"/>
          </w:tcPr>
          <w:p>
            <w:pPr>
              <w:ind w:left="60"/>
              <w:spacing w:after="0"/>
              <w:rPr>
                <w:sz w:val="20"/>
                <w:szCs w:val="20"/>
                <w:color w:val="auto"/>
              </w:rPr>
            </w:pPr>
            <w:r>
              <w:rPr>
                <w:rFonts w:ascii="Arial" w:cs="Arial" w:eastAsia="Arial" w:hAnsi="Arial"/>
                <w:sz w:val="14"/>
                <w:szCs w:val="14"/>
                <w:color w:val="auto"/>
              </w:rPr>
              <w:t>Entertainment</w:t>
            </w:r>
          </w:p>
        </w:tc>
        <w:tc>
          <w:tcPr>
            <w:tcW w:w="900" w:type="dxa"/>
            <w:vAlign w:val="bottom"/>
          </w:tcPr>
          <w:p>
            <w:pPr>
              <w:spacing w:after="0"/>
              <w:rPr>
                <w:sz w:val="14"/>
                <w:szCs w:val="14"/>
                <w:color w:val="auto"/>
              </w:rPr>
            </w:pPr>
          </w:p>
        </w:tc>
        <w:tc>
          <w:tcPr>
            <w:tcW w:w="8580" w:type="dxa"/>
            <w:vAlign w:val="bottom"/>
            <w:gridSpan w:val="2"/>
          </w:tcPr>
          <w:p>
            <w:pPr>
              <w:ind w:left="220"/>
              <w:spacing w:after="0"/>
              <w:rPr>
                <w:sz w:val="20"/>
                <w:szCs w:val="20"/>
                <w:color w:val="auto"/>
              </w:rPr>
            </w:pPr>
            <w:r>
              <w:rPr>
                <w:rFonts w:ascii="Arial" w:cs="Arial" w:eastAsia="Arial" w:hAnsi="Arial"/>
                <w:sz w:val="14"/>
                <w:szCs w:val="14"/>
                <w:color w:val="auto"/>
              </w:rPr>
              <w:t>and unique entertainment premieres.</w:t>
            </w:r>
          </w:p>
        </w:tc>
      </w:tr>
      <w:tr>
        <w:trPr>
          <w:trHeight w:val="188"/>
        </w:trPr>
        <w:tc>
          <w:tcPr>
            <w:tcW w:w="2040" w:type="dxa"/>
            <w:vAlign w:val="bottom"/>
            <w:gridSpan w:val="3"/>
            <w:shd w:val="clear" w:color="auto" w:fill="E2E0DE"/>
          </w:tcPr>
          <w:p>
            <w:pPr>
              <w:ind w:left="60"/>
              <w:spacing w:after="0"/>
              <w:rPr>
                <w:sz w:val="20"/>
                <w:szCs w:val="20"/>
                <w:color w:val="auto"/>
              </w:rPr>
            </w:pPr>
            <w:r>
              <w:rPr>
                <w:rFonts w:ascii="Arial" w:cs="Arial" w:eastAsia="Arial" w:hAnsi="Arial"/>
                <w:sz w:val="14"/>
                <w:szCs w:val="14"/>
                <w:color w:val="auto"/>
              </w:rPr>
              <w:t>Public Company C-Suite</w:t>
            </w:r>
          </w:p>
        </w:tc>
        <w:tc>
          <w:tcPr>
            <w:tcW w:w="8580" w:type="dxa"/>
            <w:vAlign w:val="bottom"/>
            <w:gridSpan w:val="2"/>
            <w:shd w:val="clear" w:color="auto" w:fill="E2E0DE"/>
          </w:tcPr>
          <w:p>
            <w:pPr>
              <w:ind w:left="220"/>
              <w:spacing w:after="0"/>
              <w:rPr>
                <w:sz w:val="20"/>
                <w:szCs w:val="20"/>
                <w:color w:val="auto"/>
              </w:rPr>
            </w:pPr>
            <w:r>
              <w:rPr>
                <w:rFonts w:ascii="Arial" w:cs="Arial" w:eastAsia="Arial" w:hAnsi="Arial"/>
                <w:sz w:val="14"/>
                <w:szCs w:val="14"/>
                <w:color w:val="auto"/>
              </w:rPr>
              <w:t>Mr. Billings is the former CFO and current CEO of Wynn Resorts.</w:t>
            </w:r>
          </w:p>
        </w:tc>
      </w:tr>
      <w:tr>
        <w:trPr>
          <w:trHeight w:val="176"/>
        </w:trPr>
        <w:tc>
          <w:tcPr>
            <w:tcW w:w="2040" w:type="dxa"/>
            <w:vAlign w:val="bottom"/>
            <w:gridSpan w:val="3"/>
          </w:tcPr>
          <w:p>
            <w:pPr>
              <w:ind w:left="60"/>
              <w:spacing w:after="0"/>
              <w:rPr>
                <w:sz w:val="20"/>
                <w:szCs w:val="20"/>
                <w:color w:val="auto"/>
              </w:rPr>
            </w:pPr>
            <w:r>
              <w:rPr>
                <w:rFonts w:ascii="Arial" w:cs="Arial" w:eastAsia="Arial" w:hAnsi="Arial"/>
                <w:sz w:val="14"/>
                <w:szCs w:val="14"/>
                <w:color w:val="auto"/>
              </w:rPr>
              <w:t>Public Company Board</w:t>
            </w:r>
          </w:p>
        </w:tc>
        <w:tc>
          <w:tcPr>
            <w:tcW w:w="8580" w:type="dxa"/>
            <w:vAlign w:val="bottom"/>
            <w:gridSpan w:val="2"/>
          </w:tcPr>
          <w:p>
            <w:pPr>
              <w:ind w:left="220"/>
              <w:spacing w:after="0"/>
              <w:rPr>
                <w:sz w:val="20"/>
                <w:szCs w:val="20"/>
                <w:color w:val="auto"/>
              </w:rPr>
            </w:pPr>
            <w:r>
              <w:rPr>
                <w:rFonts w:ascii="Arial" w:cs="Arial" w:eastAsia="Arial" w:hAnsi="Arial"/>
                <w:sz w:val="14"/>
                <w:szCs w:val="14"/>
                <w:color w:val="auto"/>
              </w:rPr>
              <w:t>Mr. Billings serves on the board of and is chair of the audit committee of Applovin, an app technology platform.</w:t>
            </w:r>
          </w:p>
        </w:tc>
      </w:tr>
      <w:tr>
        <w:trPr>
          <w:trHeight w:val="167"/>
        </w:trPr>
        <w:tc>
          <w:tcPr>
            <w:tcW w:w="2040" w:type="dxa"/>
            <w:vAlign w:val="bottom"/>
            <w:gridSpan w:val="3"/>
            <w:shd w:val="clear" w:color="auto" w:fill="E2E0DE"/>
          </w:tcPr>
          <w:p>
            <w:pPr>
              <w:ind w:left="60"/>
              <w:spacing w:after="0"/>
              <w:rPr>
                <w:sz w:val="20"/>
                <w:szCs w:val="20"/>
                <w:color w:val="auto"/>
              </w:rPr>
            </w:pPr>
            <w:r>
              <w:rPr>
                <w:rFonts w:ascii="Arial" w:cs="Arial" w:eastAsia="Arial" w:hAnsi="Arial"/>
                <w:sz w:val="14"/>
                <w:szCs w:val="14"/>
                <w:color w:val="auto"/>
              </w:rPr>
              <w:t>Finance or Accounting</w:t>
            </w:r>
          </w:p>
        </w:tc>
        <w:tc>
          <w:tcPr>
            <w:tcW w:w="8580" w:type="dxa"/>
            <w:vAlign w:val="bottom"/>
            <w:gridSpan w:val="2"/>
            <w:shd w:val="clear" w:color="auto" w:fill="E2E0DE"/>
          </w:tcPr>
          <w:p>
            <w:pPr>
              <w:ind w:left="220"/>
              <w:spacing w:after="0"/>
              <w:rPr>
                <w:sz w:val="20"/>
                <w:szCs w:val="20"/>
                <w:color w:val="auto"/>
              </w:rPr>
            </w:pPr>
            <w:r>
              <w:rPr>
                <w:rFonts w:ascii="Arial" w:cs="Arial" w:eastAsia="Arial" w:hAnsi="Arial"/>
                <w:sz w:val="14"/>
                <w:szCs w:val="14"/>
                <w:color w:val="auto"/>
                <w:w w:val="98"/>
              </w:rPr>
              <w:t>Mr. Billings is the former CFO of Wynn Resorts and has previously served as a Vice President of Investment Banking at Goldman Sachs</w:t>
            </w:r>
          </w:p>
        </w:tc>
      </w:tr>
      <w:tr>
        <w:trPr>
          <w:trHeight w:val="178"/>
        </w:trPr>
        <w:tc>
          <w:tcPr>
            <w:tcW w:w="240" w:type="dxa"/>
            <w:vAlign w:val="bottom"/>
            <w:shd w:val="clear" w:color="auto" w:fill="E2E0DE"/>
          </w:tcPr>
          <w:p>
            <w:pPr>
              <w:spacing w:after="0"/>
              <w:rPr>
                <w:sz w:val="15"/>
                <w:szCs w:val="15"/>
                <w:color w:val="auto"/>
              </w:rPr>
            </w:pPr>
          </w:p>
        </w:tc>
        <w:tc>
          <w:tcPr>
            <w:tcW w:w="900" w:type="dxa"/>
            <w:vAlign w:val="bottom"/>
            <w:shd w:val="clear" w:color="auto" w:fill="E2E0DE"/>
          </w:tcPr>
          <w:p>
            <w:pPr>
              <w:spacing w:after="0"/>
              <w:rPr>
                <w:sz w:val="15"/>
                <w:szCs w:val="15"/>
                <w:color w:val="auto"/>
              </w:rPr>
            </w:pPr>
          </w:p>
        </w:tc>
        <w:tc>
          <w:tcPr>
            <w:tcW w:w="900" w:type="dxa"/>
            <w:vAlign w:val="bottom"/>
            <w:shd w:val="clear" w:color="auto" w:fill="E2E0DE"/>
          </w:tcPr>
          <w:p>
            <w:pPr>
              <w:spacing w:after="0"/>
              <w:rPr>
                <w:sz w:val="15"/>
                <w:szCs w:val="15"/>
                <w:color w:val="auto"/>
              </w:rPr>
            </w:pPr>
          </w:p>
        </w:tc>
        <w:tc>
          <w:tcPr>
            <w:tcW w:w="8580" w:type="dxa"/>
            <w:vAlign w:val="bottom"/>
            <w:gridSpan w:val="2"/>
            <w:shd w:val="clear" w:color="auto" w:fill="E2E0DE"/>
          </w:tcPr>
          <w:p>
            <w:pPr>
              <w:ind w:left="220"/>
              <w:spacing w:after="0"/>
              <w:rPr>
                <w:sz w:val="20"/>
                <w:szCs w:val="20"/>
                <w:color w:val="auto"/>
              </w:rPr>
            </w:pPr>
            <w:r>
              <w:rPr>
                <w:rFonts w:ascii="Arial" w:cs="Arial" w:eastAsia="Arial" w:hAnsi="Arial"/>
                <w:sz w:val="14"/>
                <w:szCs w:val="14"/>
                <w:color w:val="auto"/>
              </w:rPr>
              <w:t>and an audit and assurance manager at Deloitte.</w:t>
            </w:r>
          </w:p>
        </w:tc>
      </w:tr>
      <w:tr>
        <w:trPr>
          <w:trHeight w:val="161"/>
        </w:trPr>
        <w:tc>
          <w:tcPr>
            <w:tcW w:w="2040" w:type="dxa"/>
            <w:vAlign w:val="bottom"/>
            <w:gridSpan w:val="3"/>
          </w:tcPr>
          <w:p>
            <w:pPr>
              <w:ind w:left="60"/>
              <w:spacing w:after="0"/>
              <w:rPr>
                <w:sz w:val="20"/>
                <w:szCs w:val="20"/>
                <w:color w:val="auto"/>
              </w:rPr>
            </w:pPr>
            <w:r>
              <w:rPr>
                <w:rFonts w:ascii="Arial" w:cs="Arial" w:eastAsia="Arial" w:hAnsi="Arial"/>
                <w:sz w:val="14"/>
                <w:szCs w:val="14"/>
                <w:color w:val="auto"/>
              </w:rPr>
              <w:t>Real Estate or Project</w:t>
            </w:r>
          </w:p>
        </w:tc>
        <w:tc>
          <w:tcPr>
            <w:tcW w:w="1020" w:type="dxa"/>
            <w:vAlign w:val="bottom"/>
          </w:tcPr>
          <w:p>
            <w:pPr>
              <w:spacing w:after="0"/>
              <w:rPr>
                <w:sz w:val="13"/>
                <w:szCs w:val="13"/>
                <w:color w:val="auto"/>
              </w:rPr>
            </w:pPr>
          </w:p>
        </w:tc>
        <w:tc>
          <w:tcPr>
            <w:tcW w:w="7560" w:type="dxa"/>
            <w:vAlign w:val="bottom"/>
          </w:tcPr>
          <w:p>
            <w:pPr>
              <w:spacing w:after="0"/>
              <w:rPr>
                <w:sz w:val="13"/>
                <w:szCs w:val="13"/>
                <w:color w:val="auto"/>
              </w:rPr>
            </w:pPr>
          </w:p>
        </w:tc>
      </w:tr>
      <w:tr>
        <w:trPr>
          <w:trHeight w:val="166"/>
        </w:trPr>
        <w:tc>
          <w:tcPr>
            <w:tcW w:w="1140" w:type="dxa"/>
            <w:vAlign w:val="bottom"/>
            <w:gridSpan w:val="2"/>
          </w:tcPr>
          <w:p>
            <w:pPr>
              <w:ind w:left="60"/>
              <w:spacing w:after="0"/>
              <w:rPr>
                <w:sz w:val="20"/>
                <w:szCs w:val="20"/>
                <w:color w:val="auto"/>
              </w:rPr>
            </w:pPr>
            <w:r>
              <w:rPr>
                <w:rFonts w:ascii="Arial" w:cs="Arial" w:eastAsia="Arial" w:hAnsi="Arial"/>
                <w:sz w:val="14"/>
                <w:szCs w:val="14"/>
                <w:color w:val="auto"/>
              </w:rPr>
              <w:t>Construction</w:t>
            </w:r>
          </w:p>
        </w:tc>
        <w:tc>
          <w:tcPr>
            <w:tcW w:w="900" w:type="dxa"/>
            <w:vAlign w:val="bottom"/>
          </w:tcPr>
          <w:p>
            <w:pPr>
              <w:spacing w:after="0"/>
              <w:rPr>
                <w:sz w:val="14"/>
                <w:szCs w:val="14"/>
                <w:color w:val="auto"/>
              </w:rPr>
            </w:pPr>
          </w:p>
        </w:tc>
        <w:tc>
          <w:tcPr>
            <w:tcW w:w="8580" w:type="dxa"/>
            <w:vAlign w:val="bottom"/>
            <w:gridSpan w:val="2"/>
          </w:tcPr>
          <w:p>
            <w:pPr>
              <w:ind w:left="220"/>
              <w:spacing w:after="0"/>
              <w:rPr>
                <w:sz w:val="20"/>
                <w:szCs w:val="20"/>
                <w:color w:val="auto"/>
              </w:rPr>
            </w:pPr>
            <w:r>
              <w:rPr>
                <w:rFonts w:ascii="Arial" w:cs="Arial" w:eastAsia="Arial" w:hAnsi="Arial"/>
                <w:sz w:val="14"/>
                <w:szCs w:val="14"/>
                <w:color w:val="auto"/>
              </w:rPr>
              <w:t>Mr. Billings was a member of the executive team that opened Encore Boston Harbor in 2019 and is developing Wynn Marjan.</w:t>
            </w:r>
          </w:p>
        </w:tc>
      </w:tr>
    </w:tbl>
    <w:p>
      <w:pPr>
        <w:spacing w:after="0" w:line="36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 5 //</w:t>
      </w:r>
    </w:p>
    <w:p>
      <w:pPr>
        <w:sectPr>
          <w:pgSz w:w="11900" w:h="16838" w:orient="portrait"/>
          <w:cols w:equalWidth="0" w:num="1">
            <w:col w:w="10940"/>
          </w:cols>
          <w:pgMar w:left="320" w:top="473" w:right="6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 xml:space="preserve">Richard J. Byrne </w:t>
      </w:r>
      <w:r>
        <w:rPr>
          <w:rFonts w:ascii="Arial" w:cs="Arial" w:eastAsia="Arial" w:hAnsi="Arial"/>
          <w:sz w:val="13"/>
          <w:szCs w:val="13"/>
          <w:b w:val="1"/>
          <w:bCs w:val="1"/>
          <w:i w:val="1"/>
          <w:iCs w:val="1"/>
          <w:color w:val="333D3F"/>
        </w:rPr>
        <w:t>CEO, Chair of the Board of Franklin BSP Realty Trust, Inc.</w:t>
      </w:r>
    </w:p>
    <w:p>
      <w:pPr>
        <w:spacing w:after="0" w:line="229" w:lineRule="exact"/>
        <w:rPr>
          <w:sz w:val="20"/>
          <w:szCs w:val="20"/>
          <w:color w:val="auto"/>
        </w:rPr>
      </w:pPr>
    </w:p>
    <w:p>
      <w:pPr>
        <w:ind w:left="320" w:right="280"/>
        <w:spacing w:after="0" w:line="235" w:lineRule="auto"/>
        <w:rPr>
          <w:sz w:val="20"/>
          <w:szCs w:val="20"/>
          <w:color w:val="auto"/>
        </w:rPr>
      </w:pPr>
      <w:r>
        <w:rPr>
          <w:rFonts w:ascii="Arial" w:cs="Arial" w:eastAsia="Arial" w:hAnsi="Arial"/>
          <w:sz w:val="14"/>
          <w:szCs w:val="14"/>
          <w:color w:val="auto"/>
        </w:rPr>
        <w:t>Mr. Byrne is Chair of the Board and CEO of Franklin BSP Realty Trust, Inc., a publicly-traded commercial real estate finance company, which is externally managed by Benefit Street Partners L.L.C., (a wholly owned subsidiary of Franklin Resources, Inc.), where Mr. Byrne has served as president since 2013. In addition to his one public company board chair position, Mr. Byrne serves as CEO and chair of two related non-publicly traded business-development companies regulated by the Investment Company Act of 1940: Franklin BSP Lending Corp. since 2016 and Franklin BSP Capital Corp. since 2020. Mr. Byrne is a member of the board of directors of New York Road Runners and is also the Founder and Chief Executive Officer of KASAI Elite Grappling Championships.</w:t>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320" w:type="dxa"/>
        <w:tblCellMar>
          <w:top w:w="0" w:type="dxa"/>
          <w:left w:w="0" w:type="dxa"/>
          <w:bottom w:w="0" w:type="dxa"/>
          <w:right w:w="0" w:type="dxa"/>
        </w:tblCellMar>
      </w:tblPr>
      <w:tr>
        <w:trPr>
          <w:trHeight w:val="335"/>
        </w:trPr>
        <w:tc>
          <w:tcPr>
            <w:tcW w:w="160" w:type="dxa"/>
            <w:vAlign w:val="bottom"/>
            <w:shd w:val="clear" w:color="auto" w:fill="FBF9EC"/>
          </w:tcPr>
          <w:p>
            <w:pPr>
              <w:spacing w:after="0"/>
              <w:rPr>
                <w:sz w:val="24"/>
                <w:szCs w:val="24"/>
                <w:color w:val="auto"/>
              </w:rPr>
            </w:pPr>
          </w:p>
        </w:tc>
        <w:tc>
          <w:tcPr>
            <w:tcW w:w="126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Director Since</w:t>
            </w:r>
          </w:p>
        </w:tc>
        <w:tc>
          <w:tcPr>
            <w:tcW w:w="16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August 2018</w:t>
            </w:r>
          </w:p>
        </w:tc>
      </w:tr>
      <w:tr>
        <w:trPr>
          <w:trHeight w:val="68"/>
        </w:trPr>
        <w:tc>
          <w:tcPr>
            <w:tcW w:w="160" w:type="dxa"/>
            <w:vAlign w:val="bottom"/>
            <w:tcBorders>
              <w:bottom w:val="single" w:sz="8" w:color="FBF9EC"/>
            </w:tcBorders>
            <w:shd w:val="clear" w:color="auto" w:fill="FBF9EC"/>
          </w:tcPr>
          <w:p>
            <w:pPr>
              <w:spacing w:after="0"/>
              <w:rPr>
                <w:sz w:val="5"/>
                <w:szCs w:val="5"/>
                <w:color w:val="auto"/>
              </w:rPr>
            </w:pPr>
          </w:p>
        </w:tc>
        <w:tc>
          <w:tcPr>
            <w:tcW w:w="1260" w:type="dxa"/>
            <w:vAlign w:val="bottom"/>
            <w:tcBorders>
              <w:bottom w:val="single" w:sz="8" w:color="auto"/>
            </w:tcBorders>
            <w:shd w:val="clear" w:color="auto" w:fill="FBF9EC"/>
          </w:tcPr>
          <w:p>
            <w:pPr>
              <w:spacing w:after="0"/>
              <w:rPr>
                <w:sz w:val="5"/>
                <w:szCs w:val="5"/>
                <w:color w:val="auto"/>
              </w:rPr>
            </w:pPr>
          </w:p>
        </w:tc>
        <w:tc>
          <w:tcPr>
            <w:tcW w:w="1520" w:type="dxa"/>
            <w:vAlign w:val="bottom"/>
            <w:tcBorders>
              <w:bottom w:val="single" w:sz="8" w:color="auto"/>
            </w:tcBorders>
            <w:shd w:val="clear" w:color="auto" w:fill="FBF9EC"/>
          </w:tcPr>
          <w:p>
            <w:pPr>
              <w:spacing w:after="0"/>
              <w:rPr>
                <w:sz w:val="5"/>
                <w:szCs w:val="5"/>
                <w:color w:val="auto"/>
              </w:rPr>
            </w:pPr>
          </w:p>
        </w:tc>
        <w:tc>
          <w:tcPr>
            <w:tcW w:w="120" w:type="dxa"/>
            <w:vAlign w:val="bottom"/>
            <w:tcBorders>
              <w:bottom w:val="single" w:sz="8" w:color="FBF9EC"/>
            </w:tcBorders>
            <w:shd w:val="clear" w:color="auto" w:fill="FBF9EC"/>
          </w:tcPr>
          <w:p>
            <w:pPr>
              <w:spacing w:after="0"/>
              <w:rPr>
                <w:sz w:val="5"/>
                <w:szCs w:val="5"/>
                <w:color w:val="auto"/>
              </w:rPr>
            </w:pPr>
          </w:p>
        </w:tc>
      </w:tr>
      <w:tr>
        <w:trPr>
          <w:trHeight w:val="328"/>
        </w:trPr>
        <w:tc>
          <w:tcPr>
            <w:tcW w:w="160" w:type="dxa"/>
            <w:vAlign w:val="bottom"/>
            <w:shd w:val="clear" w:color="auto" w:fill="FBF9EC"/>
          </w:tcPr>
          <w:p>
            <w:pPr>
              <w:spacing w:after="0"/>
              <w:rPr>
                <w:sz w:val="24"/>
                <w:szCs w:val="24"/>
                <w:color w:val="auto"/>
              </w:rPr>
            </w:pPr>
          </w:p>
        </w:tc>
        <w:tc>
          <w:tcPr>
            <w:tcW w:w="126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Term Expires</w:t>
            </w:r>
          </w:p>
        </w:tc>
        <w:tc>
          <w:tcPr>
            <w:tcW w:w="16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2023 Annual Meeting</w:t>
            </w:r>
          </w:p>
        </w:tc>
      </w:tr>
      <w:tr>
        <w:trPr>
          <w:trHeight w:val="68"/>
        </w:trPr>
        <w:tc>
          <w:tcPr>
            <w:tcW w:w="160" w:type="dxa"/>
            <w:vAlign w:val="bottom"/>
            <w:tcBorders>
              <w:bottom w:val="single" w:sz="8" w:color="FBF9EC"/>
            </w:tcBorders>
            <w:shd w:val="clear" w:color="auto" w:fill="FBF9EC"/>
          </w:tcPr>
          <w:p>
            <w:pPr>
              <w:spacing w:after="0"/>
              <w:rPr>
                <w:sz w:val="5"/>
                <w:szCs w:val="5"/>
                <w:color w:val="auto"/>
              </w:rPr>
            </w:pPr>
          </w:p>
        </w:tc>
        <w:tc>
          <w:tcPr>
            <w:tcW w:w="1260" w:type="dxa"/>
            <w:vAlign w:val="bottom"/>
            <w:tcBorders>
              <w:bottom w:val="single" w:sz="8" w:color="auto"/>
            </w:tcBorders>
            <w:shd w:val="clear" w:color="auto" w:fill="FBF9EC"/>
          </w:tcPr>
          <w:p>
            <w:pPr>
              <w:spacing w:after="0"/>
              <w:rPr>
                <w:sz w:val="5"/>
                <w:szCs w:val="5"/>
                <w:color w:val="auto"/>
              </w:rPr>
            </w:pPr>
          </w:p>
        </w:tc>
        <w:tc>
          <w:tcPr>
            <w:tcW w:w="1520" w:type="dxa"/>
            <w:vAlign w:val="bottom"/>
            <w:tcBorders>
              <w:bottom w:val="single" w:sz="8" w:color="auto"/>
            </w:tcBorders>
            <w:shd w:val="clear" w:color="auto" w:fill="FBF9EC"/>
          </w:tcPr>
          <w:p>
            <w:pPr>
              <w:spacing w:after="0"/>
              <w:rPr>
                <w:sz w:val="5"/>
                <w:szCs w:val="5"/>
                <w:color w:val="auto"/>
              </w:rPr>
            </w:pPr>
          </w:p>
        </w:tc>
        <w:tc>
          <w:tcPr>
            <w:tcW w:w="120" w:type="dxa"/>
            <w:vAlign w:val="bottom"/>
            <w:tcBorders>
              <w:bottom w:val="single" w:sz="8" w:color="FBF9EC"/>
            </w:tcBorders>
            <w:shd w:val="clear" w:color="auto" w:fill="FBF9EC"/>
          </w:tcPr>
          <w:p>
            <w:pPr>
              <w:spacing w:after="0"/>
              <w:rPr>
                <w:sz w:val="5"/>
                <w:szCs w:val="5"/>
                <w:color w:val="auto"/>
              </w:rPr>
            </w:pPr>
          </w:p>
        </w:tc>
      </w:tr>
      <w:tr>
        <w:trPr>
          <w:trHeight w:val="328"/>
        </w:trPr>
        <w:tc>
          <w:tcPr>
            <w:tcW w:w="160" w:type="dxa"/>
            <w:vAlign w:val="bottom"/>
            <w:shd w:val="clear" w:color="auto" w:fill="FBF9EC"/>
          </w:tcPr>
          <w:p>
            <w:pPr>
              <w:spacing w:after="0"/>
              <w:rPr>
                <w:sz w:val="24"/>
                <w:szCs w:val="24"/>
                <w:color w:val="auto"/>
              </w:rPr>
            </w:pPr>
          </w:p>
        </w:tc>
        <w:tc>
          <w:tcPr>
            <w:tcW w:w="126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Age</w:t>
            </w:r>
          </w:p>
        </w:tc>
        <w:tc>
          <w:tcPr>
            <w:tcW w:w="152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62</w:t>
            </w:r>
          </w:p>
        </w:tc>
        <w:tc>
          <w:tcPr>
            <w:tcW w:w="120" w:type="dxa"/>
            <w:vAlign w:val="bottom"/>
            <w:shd w:val="clear" w:color="auto" w:fill="FBF9EC"/>
          </w:tcPr>
          <w:p>
            <w:pPr>
              <w:spacing w:after="0"/>
              <w:rPr>
                <w:sz w:val="24"/>
                <w:szCs w:val="24"/>
                <w:color w:val="auto"/>
              </w:rPr>
            </w:pPr>
          </w:p>
        </w:tc>
      </w:tr>
      <w:tr>
        <w:trPr>
          <w:trHeight w:val="68"/>
        </w:trPr>
        <w:tc>
          <w:tcPr>
            <w:tcW w:w="160" w:type="dxa"/>
            <w:vAlign w:val="bottom"/>
            <w:tcBorders>
              <w:bottom w:val="single" w:sz="8" w:color="FBF9EC"/>
            </w:tcBorders>
            <w:shd w:val="clear" w:color="auto" w:fill="FBF9EC"/>
          </w:tcPr>
          <w:p>
            <w:pPr>
              <w:spacing w:after="0"/>
              <w:rPr>
                <w:sz w:val="5"/>
                <w:szCs w:val="5"/>
                <w:color w:val="auto"/>
              </w:rPr>
            </w:pPr>
          </w:p>
        </w:tc>
        <w:tc>
          <w:tcPr>
            <w:tcW w:w="1260" w:type="dxa"/>
            <w:vAlign w:val="bottom"/>
            <w:tcBorders>
              <w:bottom w:val="single" w:sz="8" w:color="auto"/>
            </w:tcBorders>
            <w:shd w:val="clear" w:color="auto" w:fill="FBF9EC"/>
          </w:tcPr>
          <w:p>
            <w:pPr>
              <w:spacing w:after="0"/>
              <w:rPr>
                <w:sz w:val="5"/>
                <w:szCs w:val="5"/>
                <w:color w:val="auto"/>
              </w:rPr>
            </w:pPr>
          </w:p>
        </w:tc>
        <w:tc>
          <w:tcPr>
            <w:tcW w:w="1520" w:type="dxa"/>
            <w:vAlign w:val="bottom"/>
            <w:tcBorders>
              <w:bottom w:val="single" w:sz="8" w:color="auto"/>
            </w:tcBorders>
            <w:shd w:val="clear" w:color="auto" w:fill="FBF9EC"/>
          </w:tcPr>
          <w:p>
            <w:pPr>
              <w:spacing w:after="0"/>
              <w:rPr>
                <w:sz w:val="5"/>
                <w:szCs w:val="5"/>
                <w:color w:val="auto"/>
              </w:rPr>
            </w:pPr>
          </w:p>
        </w:tc>
        <w:tc>
          <w:tcPr>
            <w:tcW w:w="120" w:type="dxa"/>
            <w:vAlign w:val="bottom"/>
            <w:tcBorders>
              <w:bottom w:val="single" w:sz="8" w:color="FBF9EC"/>
            </w:tcBorders>
            <w:shd w:val="clear" w:color="auto" w:fill="FBF9EC"/>
          </w:tcPr>
          <w:p>
            <w:pPr>
              <w:spacing w:after="0"/>
              <w:rPr>
                <w:sz w:val="5"/>
                <w:szCs w:val="5"/>
                <w:color w:val="auto"/>
              </w:rPr>
            </w:pPr>
          </w:p>
        </w:tc>
      </w:tr>
      <w:tr>
        <w:trPr>
          <w:trHeight w:val="312"/>
        </w:trPr>
        <w:tc>
          <w:tcPr>
            <w:tcW w:w="160" w:type="dxa"/>
            <w:vAlign w:val="bottom"/>
            <w:shd w:val="clear" w:color="auto" w:fill="FBF9EC"/>
          </w:tcPr>
          <w:p>
            <w:pPr>
              <w:spacing w:after="0"/>
              <w:rPr>
                <w:sz w:val="24"/>
                <w:szCs w:val="24"/>
                <w:color w:val="auto"/>
              </w:rPr>
            </w:pPr>
          </w:p>
        </w:tc>
        <w:tc>
          <w:tcPr>
            <w:tcW w:w="126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Board Committees:</w:t>
            </w:r>
          </w:p>
        </w:tc>
        <w:tc>
          <w:tcPr>
            <w:tcW w:w="16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Audit (Financial Expert)</w:t>
            </w:r>
          </w:p>
        </w:tc>
      </w:tr>
      <w:tr>
        <w:trPr>
          <w:trHeight w:val="146"/>
        </w:trPr>
        <w:tc>
          <w:tcPr>
            <w:tcW w:w="160" w:type="dxa"/>
            <w:vAlign w:val="bottom"/>
            <w:shd w:val="clear" w:color="auto" w:fill="FBF9EC"/>
          </w:tcPr>
          <w:p>
            <w:pPr>
              <w:spacing w:after="0"/>
              <w:rPr>
                <w:sz w:val="12"/>
                <w:szCs w:val="12"/>
                <w:color w:val="auto"/>
              </w:rPr>
            </w:pPr>
          </w:p>
        </w:tc>
        <w:tc>
          <w:tcPr>
            <w:tcW w:w="1260" w:type="dxa"/>
            <w:vAlign w:val="bottom"/>
            <w:shd w:val="clear" w:color="auto" w:fill="FBF9EC"/>
          </w:tcPr>
          <w:p>
            <w:pPr>
              <w:spacing w:after="0"/>
              <w:rPr>
                <w:sz w:val="12"/>
                <w:szCs w:val="12"/>
                <w:color w:val="auto"/>
              </w:rPr>
            </w:pPr>
          </w:p>
        </w:tc>
        <w:tc>
          <w:tcPr>
            <w:tcW w:w="16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Compensation</w:t>
            </w:r>
          </w:p>
        </w:tc>
      </w:tr>
      <w:tr>
        <w:trPr>
          <w:trHeight w:val="302"/>
        </w:trPr>
        <w:tc>
          <w:tcPr>
            <w:tcW w:w="160" w:type="dxa"/>
            <w:vAlign w:val="bottom"/>
            <w:shd w:val="clear" w:color="auto" w:fill="FBF9EC"/>
          </w:tcPr>
          <w:p>
            <w:pPr>
              <w:spacing w:after="0"/>
              <w:rPr>
                <w:sz w:val="24"/>
                <w:szCs w:val="24"/>
                <w:color w:val="auto"/>
              </w:rPr>
            </w:pPr>
          </w:p>
        </w:tc>
        <w:tc>
          <w:tcPr>
            <w:tcW w:w="1260" w:type="dxa"/>
            <w:vAlign w:val="bottom"/>
            <w:shd w:val="clear" w:color="auto" w:fill="FBF9EC"/>
          </w:tcPr>
          <w:p>
            <w:pPr>
              <w:spacing w:after="0"/>
              <w:rPr>
                <w:sz w:val="24"/>
                <w:szCs w:val="24"/>
                <w:color w:val="auto"/>
              </w:rPr>
            </w:pPr>
          </w:p>
        </w:tc>
        <w:tc>
          <w:tcPr>
            <w:tcW w:w="1520" w:type="dxa"/>
            <w:vAlign w:val="bottom"/>
            <w:shd w:val="clear" w:color="auto" w:fill="FBF9EC"/>
          </w:tcPr>
          <w:p>
            <w:pPr>
              <w:spacing w:after="0"/>
              <w:rPr>
                <w:sz w:val="24"/>
                <w:szCs w:val="24"/>
                <w:color w:val="auto"/>
              </w:rPr>
            </w:pPr>
          </w:p>
        </w:tc>
        <w:tc>
          <w:tcPr>
            <w:tcW w:w="120" w:type="dxa"/>
            <w:vAlign w:val="bottom"/>
            <w:shd w:val="clear" w:color="auto" w:fill="FBF9E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-2832735</wp:posOffset>
            </wp:positionV>
            <wp:extent cx="1924685" cy="1553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24685" cy="155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PREVIOUS EXPERIENCE</w:t>
      </w:r>
    </w:p>
    <w:p>
      <w:pPr>
        <w:spacing w:after="0" w:line="16" w:lineRule="exact"/>
        <w:rPr>
          <w:sz w:val="20"/>
          <w:szCs w:val="20"/>
          <w:color w:val="auto"/>
        </w:rPr>
      </w:pPr>
    </w:p>
    <w:p>
      <w:pPr>
        <w:ind w:left="180" w:right="40" w:hanging="172"/>
        <w:spacing w:after="0" w:line="237" w:lineRule="auto"/>
        <w:rPr>
          <w:sz w:val="20"/>
          <w:szCs w:val="20"/>
          <w:color w:val="auto"/>
        </w:rPr>
      </w:pPr>
      <w:r>
        <w:rPr>
          <w:rFonts w:ascii="Arial" w:cs="Arial" w:eastAsia="Arial" w:hAnsi="Arial"/>
          <w:sz w:val="14"/>
          <w:szCs w:val="14"/>
          <w:color w:val="auto"/>
        </w:rPr>
        <w:t>–   1999 to 2013: Chief Executive Officer, Deutsche Bank Securities, Inc. (2008-2013); Global Co-Head of Capital Markets at Deutsche Bank (2006-2013); member of the Global Banking Executive Committee and the Global Markets Executive Committee (2001-2010)</w:t>
      </w:r>
    </w:p>
    <w:p>
      <w:pPr>
        <w:spacing w:after="0" w:line="69" w:lineRule="exact"/>
        <w:rPr>
          <w:sz w:val="20"/>
          <w:szCs w:val="20"/>
          <w:color w:val="auto"/>
        </w:rPr>
      </w:pPr>
    </w:p>
    <w:p>
      <w:pPr>
        <w:ind w:left="180" w:right="20" w:hanging="172"/>
        <w:spacing w:after="0" w:line="239" w:lineRule="auto"/>
        <w:rPr>
          <w:sz w:val="20"/>
          <w:szCs w:val="20"/>
          <w:color w:val="auto"/>
        </w:rPr>
      </w:pPr>
      <w:r>
        <w:rPr>
          <w:rFonts w:ascii="Arial" w:cs="Arial" w:eastAsia="Arial" w:hAnsi="Arial"/>
          <w:sz w:val="14"/>
          <w:szCs w:val="14"/>
          <w:color w:val="auto"/>
        </w:rPr>
        <w:t>–   1985 to 1999: Global Co-Head of the Leveraged Finance Group and Global Head of Credit Research at Merrill Lynch &amp; Co.</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–   Highly-ranked credit research analyst, principally in the gaming, lodging and leisure sector</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EDUCATION</w:t>
      </w:r>
    </w:p>
    <w:p>
      <w:pPr>
        <w:spacing w:after="0" w:line="16" w:lineRule="exact"/>
        <w:rPr>
          <w:sz w:val="20"/>
          <w:szCs w:val="20"/>
          <w:color w:val="auto"/>
        </w:rPr>
      </w:pPr>
    </w:p>
    <w:p>
      <w:pPr>
        <w:ind w:right="120"/>
        <w:spacing w:after="0" w:line="239" w:lineRule="auto"/>
        <w:rPr>
          <w:sz w:val="20"/>
          <w:szCs w:val="20"/>
          <w:color w:val="auto"/>
        </w:rPr>
      </w:pPr>
      <w:r>
        <w:rPr>
          <w:rFonts w:ascii="Arial" w:cs="Arial" w:eastAsia="Arial" w:hAnsi="Arial"/>
          <w:sz w:val="14"/>
          <w:szCs w:val="14"/>
          <w:color w:val="auto"/>
        </w:rPr>
        <w:t>Mr. Byrne graduated with a B.A. from Binghamton University and a Masters of Business Administration (M.B.A.) from the Kellogg School of Management at Northwestern University.</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EXPERTISE</w:t>
      </w:r>
    </w:p>
    <w:p>
      <w:pPr>
        <w:spacing w:after="0" w:line="16" w:lineRule="exact"/>
        <w:rPr>
          <w:sz w:val="20"/>
          <w:szCs w:val="20"/>
          <w:color w:val="auto"/>
        </w:rPr>
      </w:pPr>
    </w:p>
    <w:p>
      <w:pPr>
        <w:ind w:right="20"/>
        <w:spacing w:after="0" w:line="237" w:lineRule="auto"/>
        <w:rPr>
          <w:sz w:val="20"/>
          <w:szCs w:val="20"/>
          <w:color w:val="auto"/>
        </w:rPr>
      </w:pPr>
      <w:r>
        <w:rPr>
          <w:rFonts w:ascii="Arial" w:cs="Arial" w:eastAsia="Arial" w:hAnsi="Arial"/>
          <w:sz w:val="14"/>
          <w:szCs w:val="14"/>
          <w:color w:val="auto"/>
        </w:rPr>
        <w:t>Mr. Byrne has extensive high-level experience in the investment banking and financial services industries, adding expertise in corporate finance and substantial knowledge of the public and private capital markets to our Board. Mr. Byrne also has a deep background in the casino resort industry.</w:t>
      </w:r>
    </w:p>
    <w:p>
      <w:pPr>
        <w:spacing w:after="0" w:line="1944" w:lineRule="exact"/>
        <w:rPr>
          <w:sz w:val="20"/>
          <w:szCs w:val="20"/>
          <w:color w:val="auto"/>
        </w:rPr>
      </w:pPr>
    </w:p>
    <w:p>
      <w:pPr>
        <w:sectPr>
          <w:pgSz w:w="11900" w:h="16838" w:orient="portrait"/>
          <w:cols w:equalWidth="0" w:num="2">
            <w:col w:w="3380" w:space="600"/>
            <w:col w:w="6960"/>
          </w:cols>
          <w:pgMar w:left="320" w:top="473" w:right="639" w:bottom="1440" w:gutter="0" w:footer="0" w:header="0"/>
          <w:type w:val="continuous"/>
        </w:sectPr>
      </w:pPr>
    </w:p>
    <w:p>
      <w:pPr>
        <w:ind w:left="320"/>
        <w:spacing w:after="0"/>
        <w:rPr>
          <w:sz w:val="20"/>
          <w:szCs w:val="20"/>
          <w:color w:val="auto"/>
        </w:rPr>
      </w:pPr>
      <w:r>
        <w:rPr>
          <w:rFonts w:ascii="Arial" w:cs="Arial" w:eastAsia="Arial" w:hAnsi="Arial"/>
          <w:sz w:val="12"/>
          <w:szCs w:val="12"/>
          <w:b w:val="1"/>
          <w:bCs w:val="1"/>
          <w:color w:val="B3AB9D"/>
        </w:rPr>
        <w:t>SKILLS AND QUALIFICATIONS</w:t>
      </w:r>
    </w:p>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20" w:type="dxa"/>
            <w:vAlign w:val="bottom"/>
            <w:shd w:val="clear" w:color="auto" w:fill="E2E0DE"/>
          </w:tcPr>
          <w:p>
            <w:pPr>
              <w:ind w:left="60"/>
              <w:spacing w:after="0"/>
              <w:rPr>
                <w:sz w:val="20"/>
                <w:szCs w:val="20"/>
                <w:color w:val="auto"/>
              </w:rPr>
            </w:pPr>
            <w:r>
              <w:rPr>
                <w:rFonts w:ascii="Arial" w:cs="Arial" w:eastAsia="Arial" w:hAnsi="Arial"/>
                <w:sz w:val="14"/>
                <w:szCs w:val="14"/>
                <w:color w:val="auto"/>
              </w:rPr>
              <w:t>Gaming or Other Regulated</w:t>
            </w:r>
          </w:p>
        </w:tc>
        <w:tc>
          <w:tcPr>
            <w:tcW w:w="8600" w:type="dxa"/>
            <w:vAlign w:val="bottom"/>
            <w:shd w:val="clear" w:color="auto" w:fill="E2E0DE"/>
          </w:tcPr>
          <w:p>
            <w:pPr>
              <w:ind w:left="240"/>
              <w:spacing w:after="0"/>
              <w:rPr>
                <w:sz w:val="20"/>
                <w:szCs w:val="20"/>
                <w:color w:val="auto"/>
              </w:rPr>
            </w:pPr>
            <w:r>
              <w:rPr>
                <w:rFonts w:ascii="Arial" w:cs="Arial" w:eastAsia="Arial" w:hAnsi="Arial"/>
                <w:sz w:val="14"/>
                <w:szCs w:val="14"/>
                <w:color w:val="auto"/>
              </w:rPr>
              <w:t>Each of the entities where Mr. Byrne serves or served in executive capacities are regulated by various state and federal agencies,</w:t>
            </w:r>
          </w:p>
        </w:tc>
      </w:tr>
      <w:tr>
        <w:trPr>
          <w:trHeight w:val="156"/>
        </w:trPr>
        <w:tc>
          <w:tcPr>
            <w:tcW w:w="2020" w:type="dxa"/>
            <w:vAlign w:val="bottom"/>
            <w:shd w:val="clear" w:color="auto" w:fill="E2E0DE"/>
          </w:tcPr>
          <w:p>
            <w:pPr>
              <w:ind w:left="60"/>
              <w:spacing w:after="0" w:line="156" w:lineRule="exact"/>
              <w:rPr>
                <w:sz w:val="20"/>
                <w:szCs w:val="20"/>
                <w:color w:val="auto"/>
              </w:rPr>
            </w:pPr>
            <w:r>
              <w:rPr>
                <w:rFonts w:ascii="Arial" w:cs="Arial" w:eastAsia="Arial" w:hAnsi="Arial"/>
                <w:sz w:val="14"/>
                <w:szCs w:val="14"/>
                <w:color w:val="auto"/>
              </w:rPr>
              <w:t>Industry</w:t>
            </w:r>
          </w:p>
        </w:tc>
        <w:tc>
          <w:tcPr>
            <w:tcW w:w="8600" w:type="dxa"/>
            <w:vAlign w:val="bottom"/>
            <w:shd w:val="clear" w:color="auto" w:fill="E2E0DE"/>
          </w:tcPr>
          <w:p>
            <w:pPr>
              <w:ind w:left="240"/>
              <w:spacing w:after="0" w:line="156" w:lineRule="exact"/>
              <w:rPr>
                <w:sz w:val="20"/>
                <w:szCs w:val="20"/>
                <w:color w:val="auto"/>
              </w:rPr>
            </w:pPr>
            <w:r>
              <w:rPr>
                <w:rFonts w:ascii="Arial" w:cs="Arial" w:eastAsia="Arial" w:hAnsi="Arial"/>
                <w:sz w:val="14"/>
                <w:szCs w:val="14"/>
                <w:color w:val="auto"/>
              </w:rPr>
              <w:t>including the SEC and FINRA. Further, throughout his career with both Merrill Lynch and Deutsche Bank, Mr. Byrne was a top-ranked</w:t>
            </w:r>
          </w:p>
        </w:tc>
      </w:tr>
      <w:tr>
        <w:trPr>
          <w:trHeight w:val="178"/>
        </w:trPr>
        <w:tc>
          <w:tcPr>
            <w:tcW w:w="2020" w:type="dxa"/>
            <w:vAlign w:val="bottom"/>
            <w:shd w:val="clear" w:color="auto" w:fill="E2E0DE"/>
          </w:tcPr>
          <w:p>
            <w:pPr>
              <w:spacing w:after="0"/>
              <w:rPr>
                <w:sz w:val="15"/>
                <w:szCs w:val="15"/>
                <w:color w:val="auto"/>
              </w:rPr>
            </w:pPr>
          </w:p>
        </w:tc>
        <w:tc>
          <w:tcPr>
            <w:tcW w:w="8600" w:type="dxa"/>
            <w:vAlign w:val="bottom"/>
            <w:shd w:val="clear" w:color="auto" w:fill="E2E0DE"/>
          </w:tcPr>
          <w:p>
            <w:pPr>
              <w:ind w:left="240"/>
              <w:spacing w:after="0"/>
              <w:rPr>
                <w:sz w:val="20"/>
                <w:szCs w:val="20"/>
                <w:color w:val="auto"/>
              </w:rPr>
            </w:pPr>
            <w:r>
              <w:rPr>
                <w:rFonts w:ascii="Arial" w:cs="Arial" w:eastAsia="Arial" w:hAnsi="Arial"/>
                <w:sz w:val="14"/>
                <w:szCs w:val="14"/>
                <w:color w:val="auto"/>
              </w:rPr>
              <w:t>research analyst in casino gaming.</w:t>
            </w:r>
          </w:p>
        </w:tc>
      </w:tr>
      <w:tr>
        <w:trPr>
          <w:trHeight w:val="161"/>
        </w:trPr>
        <w:tc>
          <w:tcPr>
            <w:tcW w:w="2020" w:type="dxa"/>
            <w:vAlign w:val="bottom"/>
          </w:tcPr>
          <w:p>
            <w:pPr>
              <w:ind w:left="60"/>
              <w:spacing w:after="0"/>
              <w:rPr>
                <w:sz w:val="20"/>
                <w:szCs w:val="20"/>
                <w:color w:val="auto"/>
              </w:rPr>
            </w:pPr>
            <w:r>
              <w:rPr>
                <w:rFonts w:ascii="Arial" w:cs="Arial" w:eastAsia="Arial" w:hAnsi="Arial"/>
                <w:sz w:val="14"/>
                <w:szCs w:val="14"/>
                <w:color w:val="auto"/>
              </w:rPr>
              <w:t>Public Company C-Suite</w:t>
            </w:r>
          </w:p>
        </w:tc>
        <w:tc>
          <w:tcPr>
            <w:tcW w:w="8600" w:type="dxa"/>
            <w:vAlign w:val="bottom"/>
          </w:tcPr>
          <w:p>
            <w:pPr>
              <w:ind w:left="240"/>
              <w:spacing w:after="0"/>
              <w:rPr>
                <w:sz w:val="20"/>
                <w:szCs w:val="20"/>
                <w:color w:val="auto"/>
              </w:rPr>
            </w:pPr>
            <w:r>
              <w:rPr>
                <w:rFonts w:ascii="Arial" w:cs="Arial" w:eastAsia="Arial" w:hAnsi="Arial"/>
                <w:sz w:val="14"/>
                <w:szCs w:val="14"/>
                <w:color w:val="auto"/>
              </w:rPr>
              <w:t>Mr. Byrne was Chief Executive Officer of Deutsche Bank Securities, Inc., from 2008-2013 and was also the global head of capital</w:t>
            </w:r>
          </w:p>
        </w:tc>
      </w:tr>
      <w:tr>
        <w:trPr>
          <w:trHeight w:val="156"/>
        </w:trPr>
        <w:tc>
          <w:tcPr>
            <w:tcW w:w="2020" w:type="dxa"/>
            <w:vAlign w:val="bottom"/>
          </w:tcPr>
          <w:p>
            <w:pPr>
              <w:spacing w:after="0"/>
              <w:rPr>
                <w:sz w:val="13"/>
                <w:szCs w:val="13"/>
                <w:color w:val="auto"/>
              </w:rPr>
            </w:pPr>
          </w:p>
        </w:tc>
        <w:tc>
          <w:tcPr>
            <w:tcW w:w="8600" w:type="dxa"/>
            <w:vAlign w:val="bottom"/>
          </w:tcPr>
          <w:p>
            <w:pPr>
              <w:ind w:left="240"/>
              <w:spacing w:after="0" w:line="156" w:lineRule="exact"/>
              <w:rPr>
                <w:sz w:val="20"/>
                <w:szCs w:val="20"/>
                <w:color w:val="auto"/>
              </w:rPr>
            </w:pPr>
            <w:r>
              <w:rPr>
                <w:rFonts w:ascii="Arial" w:cs="Arial" w:eastAsia="Arial" w:hAnsi="Arial"/>
                <w:sz w:val="14"/>
                <w:szCs w:val="14"/>
                <w:color w:val="auto"/>
              </w:rPr>
              <w:t>markets at Deutsche Bank and a member of their global banking and global markets executive committees. Before joining Deutsche</w:t>
            </w:r>
          </w:p>
        </w:tc>
      </w:tr>
      <w:tr>
        <w:trPr>
          <w:trHeight w:val="172"/>
        </w:trPr>
        <w:tc>
          <w:tcPr>
            <w:tcW w:w="2020" w:type="dxa"/>
            <w:vAlign w:val="bottom"/>
          </w:tcPr>
          <w:p>
            <w:pPr>
              <w:spacing w:after="0"/>
              <w:rPr>
                <w:sz w:val="14"/>
                <w:szCs w:val="14"/>
                <w:color w:val="auto"/>
              </w:rPr>
            </w:pPr>
          </w:p>
        </w:tc>
        <w:tc>
          <w:tcPr>
            <w:tcW w:w="8600" w:type="dxa"/>
            <w:vAlign w:val="bottom"/>
          </w:tcPr>
          <w:p>
            <w:pPr>
              <w:ind w:left="240"/>
              <w:spacing w:after="0"/>
              <w:rPr>
                <w:sz w:val="20"/>
                <w:szCs w:val="20"/>
                <w:color w:val="auto"/>
              </w:rPr>
            </w:pPr>
            <w:r>
              <w:rPr>
                <w:rFonts w:ascii="Arial" w:cs="Arial" w:eastAsia="Arial" w:hAnsi="Arial"/>
                <w:sz w:val="14"/>
                <w:szCs w:val="14"/>
                <w:color w:val="auto"/>
              </w:rPr>
              <w:t>Bank, Mr. Byrne was global co-head of the leveraged finance group and global head of credit research at Merrill Lynch.</w:t>
            </w:r>
          </w:p>
        </w:tc>
      </w:tr>
      <w:tr>
        <w:trPr>
          <w:trHeight w:val="188"/>
        </w:trPr>
        <w:tc>
          <w:tcPr>
            <w:tcW w:w="2020" w:type="dxa"/>
            <w:vAlign w:val="bottom"/>
            <w:shd w:val="clear" w:color="auto" w:fill="E2E0DE"/>
          </w:tcPr>
          <w:p>
            <w:pPr>
              <w:ind w:left="60"/>
              <w:spacing w:after="0"/>
              <w:rPr>
                <w:sz w:val="20"/>
                <w:szCs w:val="20"/>
                <w:color w:val="auto"/>
              </w:rPr>
            </w:pPr>
            <w:r>
              <w:rPr>
                <w:rFonts w:ascii="Arial" w:cs="Arial" w:eastAsia="Arial" w:hAnsi="Arial"/>
                <w:sz w:val="14"/>
                <w:szCs w:val="14"/>
                <w:color w:val="auto"/>
              </w:rPr>
              <w:t>Public Company Board</w:t>
            </w:r>
          </w:p>
        </w:tc>
        <w:tc>
          <w:tcPr>
            <w:tcW w:w="8600" w:type="dxa"/>
            <w:vAlign w:val="bottom"/>
            <w:shd w:val="clear" w:color="auto" w:fill="E2E0DE"/>
          </w:tcPr>
          <w:p>
            <w:pPr>
              <w:ind w:left="240"/>
              <w:spacing w:after="0"/>
              <w:rPr>
                <w:sz w:val="20"/>
                <w:szCs w:val="20"/>
                <w:color w:val="auto"/>
              </w:rPr>
            </w:pPr>
            <w:r>
              <w:rPr>
                <w:rFonts w:ascii="Arial" w:cs="Arial" w:eastAsia="Arial" w:hAnsi="Arial"/>
                <w:sz w:val="14"/>
                <w:szCs w:val="14"/>
                <w:color w:val="auto"/>
              </w:rPr>
              <w:t>Mr. Byrne is the Chairman of Franklin BSP Realty Trust, Inc.</w:t>
            </w:r>
          </w:p>
        </w:tc>
      </w:tr>
      <w:tr>
        <w:trPr>
          <w:trHeight w:val="161"/>
        </w:trPr>
        <w:tc>
          <w:tcPr>
            <w:tcW w:w="2020" w:type="dxa"/>
            <w:vAlign w:val="bottom"/>
          </w:tcPr>
          <w:p>
            <w:pPr>
              <w:ind w:left="60"/>
              <w:spacing w:after="0"/>
              <w:rPr>
                <w:sz w:val="20"/>
                <w:szCs w:val="20"/>
                <w:color w:val="auto"/>
              </w:rPr>
            </w:pPr>
            <w:r>
              <w:rPr>
                <w:rFonts w:ascii="Arial" w:cs="Arial" w:eastAsia="Arial" w:hAnsi="Arial"/>
                <w:sz w:val="14"/>
                <w:szCs w:val="14"/>
                <w:color w:val="auto"/>
              </w:rPr>
              <w:t>Finance or Accounting</w:t>
            </w:r>
          </w:p>
        </w:tc>
        <w:tc>
          <w:tcPr>
            <w:tcW w:w="8600" w:type="dxa"/>
            <w:vAlign w:val="bottom"/>
          </w:tcPr>
          <w:p>
            <w:pPr>
              <w:ind w:left="240"/>
              <w:spacing w:after="0"/>
              <w:rPr>
                <w:sz w:val="20"/>
                <w:szCs w:val="20"/>
                <w:color w:val="auto"/>
              </w:rPr>
            </w:pPr>
            <w:r>
              <w:rPr>
                <w:rFonts w:ascii="Arial" w:cs="Arial" w:eastAsia="Arial" w:hAnsi="Arial"/>
                <w:sz w:val="14"/>
                <w:szCs w:val="14"/>
                <w:color w:val="auto"/>
                <w:w w:val="98"/>
              </w:rPr>
              <w:t>Mr. Byrne ran global leveraged finance at Merrill Lynch. He served in many capacities at Deutsche Bank, including global head of capital</w:t>
            </w:r>
          </w:p>
        </w:tc>
      </w:tr>
      <w:tr>
        <w:trPr>
          <w:trHeight w:val="156"/>
        </w:trPr>
        <w:tc>
          <w:tcPr>
            <w:tcW w:w="2020" w:type="dxa"/>
            <w:vAlign w:val="bottom"/>
          </w:tcPr>
          <w:p>
            <w:pPr>
              <w:spacing w:after="0"/>
              <w:rPr>
                <w:sz w:val="13"/>
                <w:szCs w:val="13"/>
                <w:color w:val="auto"/>
              </w:rPr>
            </w:pPr>
          </w:p>
        </w:tc>
        <w:tc>
          <w:tcPr>
            <w:tcW w:w="8600" w:type="dxa"/>
            <w:vAlign w:val="bottom"/>
          </w:tcPr>
          <w:p>
            <w:pPr>
              <w:ind w:left="240"/>
              <w:spacing w:after="0" w:line="156" w:lineRule="exact"/>
              <w:rPr>
                <w:sz w:val="20"/>
                <w:szCs w:val="20"/>
                <w:color w:val="auto"/>
              </w:rPr>
            </w:pPr>
            <w:r>
              <w:rPr>
                <w:rFonts w:ascii="Arial" w:cs="Arial" w:eastAsia="Arial" w:hAnsi="Arial"/>
                <w:sz w:val="14"/>
                <w:szCs w:val="14"/>
                <w:color w:val="auto"/>
              </w:rPr>
              <w:t>markets, and ultimately, chief executive officer of Deutsche Bank Securities until 2013. He has been the president of Benefit Street</w:t>
            </w:r>
          </w:p>
        </w:tc>
      </w:tr>
      <w:tr>
        <w:trPr>
          <w:trHeight w:val="172"/>
        </w:trPr>
        <w:tc>
          <w:tcPr>
            <w:tcW w:w="2020" w:type="dxa"/>
            <w:vAlign w:val="bottom"/>
          </w:tcPr>
          <w:p>
            <w:pPr>
              <w:spacing w:after="0"/>
              <w:rPr>
                <w:sz w:val="14"/>
                <w:szCs w:val="14"/>
                <w:color w:val="auto"/>
              </w:rPr>
            </w:pPr>
          </w:p>
        </w:tc>
        <w:tc>
          <w:tcPr>
            <w:tcW w:w="8600" w:type="dxa"/>
            <w:vAlign w:val="bottom"/>
          </w:tcPr>
          <w:p>
            <w:pPr>
              <w:ind w:left="240"/>
              <w:spacing w:after="0"/>
              <w:rPr>
                <w:sz w:val="20"/>
                <w:szCs w:val="20"/>
                <w:color w:val="auto"/>
              </w:rPr>
            </w:pPr>
            <w:r>
              <w:rPr>
                <w:rFonts w:ascii="Arial" w:cs="Arial" w:eastAsia="Arial" w:hAnsi="Arial"/>
                <w:sz w:val="14"/>
                <w:szCs w:val="14"/>
                <w:color w:val="auto"/>
              </w:rPr>
              <w:t>Partners, LLC, an alternative asset management firm, since 2013.</w:t>
            </w:r>
          </w:p>
        </w:tc>
      </w:tr>
      <w:tr>
        <w:trPr>
          <w:trHeight w:val="167"/>
        </w:trPr>
        <w:tc>
          <w:tcPr>
            <w:tcW w:w="2020" w:type="dxa"/>
            <w:vAlign w:val="bottom"/>
            <w:shd w:val="clear" w:color="auto" w:fill="E2E0DE"/>
          </w:tcPr>
          <w:p>
            <w:pPr>
              <w:ind w:left="60"/>
              <w:spacing w:after="0"/>
              <w:rPr>
                <w:sz w:val="20"/>
                <w:szCs w:val="20"/>
                <w:color w:val="auto"/>
              </w:rPr>
            </w:pPr>
            <w:r>
              <w:rPr>
                <w:rFonts w:ascii="Arial" w:cs="Arial" w:eastAsia="Arial" w:hAnsi="Arial"/>
                <w:sz w:val="14"/>
                <w:szCs w:val="14"/>
                <w:color w:val="auto"/>
              </w:rPr>
              <w:t>Real Estate or Project</w:t>
            </w:r>
          </w:p>
        </w:tc>
        <w:tc>
          <w:tcPr>
            <w:tcW w:w="8600" w:type="dxa"/>
            <w:vAlign w:val="bottom"/>
            <w:shd w:val="clear" w:color="auto" w:fill="E2E0DE"/>
          </w:tcPr>
          <w:p>
            <w:pPr>
              <w:ind w:left="240"/>
              <w:spacing w:after="0"/>
              <w:rPr>
                <w:sz w:val="20"/>
                <w:szCs w:val="20"/>
                <w:color w:val="auto"/>
              </w:rPr>
            </w:pPr>
            <w:r>
              <w:rPr>
                <w:rFonts w:ascii="Arial" w:cs="Arial" w:eastAsia="Arial" w:hAnsi="Arial"/>
                <w:sz w:val="14"/>
                <w:szCs w:val="14"/>
                <w:color w:val="auto"/>
              </w:rPr>
              <w:t>Franklin BSP Realty Trust, Inc., where Mr. Byrne is CEO and Chair of the Board, is a real estate investment trust that originates,</w:t>
            </w:r>
          </w:p>
        </w:tc>
      </w:tr>
      <w:tr>
        <w:trPr>
          <w:trHeight w:val="178"/>
        </w:trPr>
        <w:tc>
          <w:tcPr>
            <w:tcW w:w="2020" w:type="dxa"/>
            <w:vAlign w:val="bottom"/>
            <w:shd w:val="clear" w:color="auto" w:fill="E2E0DE"/>
          </w:tcPr>
          <w:p>
            <w:pPr>
              <w:ind w:left="60"/>
              <w:spacing w:after="0"/>
              <w:rPr>
                <w:sz w:val="20"/>
                <w:szCs w:val="20"/>
                <w:color w:val="auto"/>
              </w:rPr>
            </w:pPr>
            <w:r>
              <w:rPr>
                <w:rFonts w:ascii="Arial" w:cs="Arial" w:eastAsia="Arial" w:hAnsi="Arial"/>
                <w:sz w:val="14"/>
                <w:szCs w:val="14"/>
                <w:color w:val="auto"/>
              </w:rPr>
              <w:t>Construction</w:t>
            </w:r>
          </w:p>
        </w:tc>
        <w:tc>
          <w:tcPr>
            <w:tcW w:w="8600" w:type="dxa"/>
            <w:vAlign w:val="bottom"/>
            <w:shd w:val="clear" w:color="auto" w:fill="E2E0DE"/>
          </w:tcPr>
          <w:p>
            <w:pPr>
              <w:ind w:left="240"/>
              <w:spacing w:after="0"/>
              <w:rPr>
                <w:sz w:val="20"/>
                <w:szCs w:val="20"/>
                <w:color w:val="auto"/>
              </w:rPr>
            </w:pPr>
            <w:r>
              <w:rPr>
                <w:rFonts w:ascii="Arial" w:cs="Arial" w:eastAsia="Arial" w:hAnsi="Arial"/>
                <w:sz w:val="14"/>
                <w:szCs w:val="14"/>
                <w:color w:val="auto"/>
              </w:rPr>
              <w:t>acquires and manages a diversified portfolio of commercial real estate debt secured by properties located in the United States.</w:t>
            </w:r>
          </w:p>
        </w:tc>
      </w:tr>
      <w:tr>
        <w:trPr>
          <w:trHeight w:val="313"/>
        </w:trPr>
        <w:tc>
          <w:tcPr>
            <w:tcW w:w="2020" w:type="dxa"/>
            <w:vAlign w:val="bottom"/>
          </w:tcPr>
          <w:p>
            <w:pPr>
              <w:spacing w:after="0"/>
              <w:rPr>
                <w:sz w:val="20"/>
                <w:szCs w:val="20"/>
                <w:color w:val="auto"/>
              </w:rPr>
            </w:pPr>
            <w:r>
              <w:rPr>
                <w:rFonts w:ascii="Arial" w:cs="Arial" w:eastAsia="Arial" w:hAnsi="Arial"/>
                <w:sz w:val="10"/>
                <w:szCs w:val="10"/>
                <w:b w:val="1"/>
                <w:bCs w:val="1"/>
                <w:color w:val="auto"/>
              </w:rPr>
              <w:t>2023 PROXY STATEMENT</w:t>
            </w:r>
          </w:p>
        </w:tc>
        <w:tc>
          <w:tcPr>
            <w:tcW w:w="8600" w:type="dxa"/>
            <w:vAlign w:val="bottom"/>
          </w:tcPr>
          <w:p>
            <w:pPr>
              <w:ind w:left="3220"/>
              <w:spacing w:after="0"/>
              <w:rPr>
                <w:sz w:val="20"/>
                <w:szCs w:val="20"/>
                <w:color w:val="auto"/>
              </w:rPr>
            </w:pPr>
            <w:r>
              <w:rPr>
                <w:rFonts w:ascii="Arial" w:cs="Arial" w:eastAsia="Arial" w:hAnsi="Arial"/>
                <w:sz w:val="14"/>
                <w:szCs w:val="14"/>
                <w:color w:val="auto"/>
              </w:rPr>
              <w:t>// 6 //</w:t>
            </w:r>
          </w:p>
        </w:tc>
      </w:tr>
    </w:tbl>
    <w:p>
      <w:pPr>
        <w:sectPr>
          <w:pgSz w:w="11900" w:h="16838" w:orient="portrait"/>
          <w:cols w:equalWidth="0" w:num="1">
            <w:col w:w="10940"/>
          </w:cols>
          <w:pgMar w:left="320" w:top="473" w:right="6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25" w:lineRule="exact"/>
        <w:rPr>
          <w:sz w:val="20"/>
          <w:szCs w:val="20"/>
          <w:color w:val="auto"/>
        </w:rPr>
      </w:pPr>
    </w:p>
    <w:p>
      <w:pPr>
        <w:ind w:left="320" w:right="2340"/>
        <w:spacing w:after="0" w:line="191" w:lineRule="auto"/>
        <w:rPr>
          <w:sz w:val="20"/>
          <w:szCs w:val="20"/>
          <w:color w:val="auto"/>
        </w:rPr>
      </w:pPr>
      <w:r>
        <w:rPr>
          <w:rFonts w:ascii="Arial" w:cs="Arial" w:eastAsia="Arial" w:hAnsi="Arial"/>
          <w:sz w:val="31"/>
          <w:szCs w:val="31"/>
          <w:b w:val="1"/>
          <w:bCs w:val="1"/>
          <w:color w:val="auto"/>
        </w:rPr>
        <w:t xml:space="preserve">Patricia Mulroy </w:t>
      </w:r>
      <w:r>
        <w:rPr>
          <w:rFonts w:ascii="Arial" w:cs="Arial" w:eastAsia="Arial" w:hAnsi="Arial"/>
          <w:sz w:val="13"/>
          <w:szCs w:val="13"/>
          <w:b w:val="1"/>
          <w:bCs w:val="1"/>
          <w:i w:val="1"/>
          <w:iCs w:val="1"/>
          <w:color w:val="333D3F"/>
        </w:rPr>
        <w:t>Non-Resident Senior Fellow for Climate Adaptation &amp; Environmental Policy, Practitioner in</w:t>
      </w:r>
      <w:r>
        <w:rPr>
          <w:rFonts w:ascii="Arial" w:cs="Arial" w:eastAsia="Arial" w:hAnsi="Arial"/>
          <w:sz w:val="31"/>
          <w:szCs w:val="31"/>
          <w:b w:val="1"/>
          <w:bCs w:val="1"/>
          <w:color w:val="auto"/>
        </w:rPr>
        <w:t xml:space="preserve"> </w:t>
      </w:r>
      <w:r>
        <w:rPr>
          <w:rFonts w:ascii="Arial" w:cs="Arial" w:eastAsia="Arial" w:hAnsi="Arial"/>
          <w:sz w:val="13"/>
          <w:szCs w:val="13"/>
          <w:b w:val="1"/>
          <w:bCs w:val="1"/>
          <w:i w:val="1"/>
          <w:iCs w:val="1"/>
          <w:color w:val="333D3F"/>
        </w:rPr>
        <w:t>Residence, Saltman Center for Conflict Resolution, William S. Boyd School of Law, University of Nevada, Las Vegas</w:t>
      </w:r>
    </w:p>
    <w:p>
      <w:pPr>
        <w:spacing w:after="0" w:line="174" w:lineRule="exact"/>
        <w:rPr>
          <w:sz w:val="20"/>
          <w:szCs w:val="20"/>
          <w:color w:val="auto"/>
        </w:rPr>
      </w:pPr>
    </w:p>
    <w:p>
      <w:pPr>
        <w:ind w:left="320" w:right="40"/>
        <w:spacing w:after="0" w:line="235" w:lineRule="auto"/>
        <w:rPr>
          <w:sz w:val="20"/>
          <w:szCs w:val="20"/>
          <w:color w:val="auto"/>
        </w:rPr>
      </w:pPr>
      <w:r>
        <w:rPr>
          <w:rFonts w:ascii="Arial" w:cs="Arial" w:eastAsia="Arial" w:hAnsi="Arial"/>
          <w:sz w:val="14"/>
          <w:szCs w:val="14"/>
          <w:color w:val="auto"/>
        </w:rPr>
        <w:t>Ms. Mulroy is currently a Non-Resident Senior Fellow for Climate Adaptation and Environmental Policy and Practitioner in Residence at the Saltman Center for Conflict Resolution at the William S. Boyd School of Law at the University of Nevada, Las Vegas, joining them after having served as a Non-Resident Senior Fellow of the Brookings Institute She serves on the Board of Bowman Consulting, Inc. a publicly traded engineering consulting firm. Ms. Mulroy operates a consulting firm representing both corporate and government clients in water matters Ms. Mulroy is a recognized expert in climate related adaptation strategies for both governments and corporations having worked with organizations such as the World Bank in China and with the government of Saudi Arabia on their Project Neon. Ms. Mulroy formerly was a member of the Global Agenda Council on Water of the World Economic Forum and still serves as a Water Advisor to the organization.</w:t>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320" w:type="dxa"/>
        <w:tblCellMar>
          <w:top w:w="0" w:type="dxa"/>
          <w:left w:w="0" w:type="dxa"/>
          <w:bottom w:w="0" w:type="dxa"/>
          <w:right w:w="0" w:type="dxa"/>
        </w:tblCellMar>
      </w:tblPr>
      <w:tr>
        <w:trPr>
          <w:trHeight w:val="335"/>
        </w:trPr>
        <w:tc>
          <w:tcPr>
            <w:tcW w:w="140" w:type="dxa"/>
            <w:vAlign w:val="bottom"/>
            <w:shd w:val="clear" w:color="auto" w:fill="FBF9EC"/>
          </w:tcPr>
          <w:p>
            <w:pPr>
              <w:spacing w:after="0"/>
              <w:rPr>
                <w:sz w:val="24"/>
                <w:szCs w:val="24"/>
                <w:color w:val="auto"/>
              </w:rPr>
            </w:pPr>
          </w:p>
        </w:tc>
        <w:tc>
          <w:tcPr>
            <w:tcW w:w="140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Director Since</w:t>
            </w:r>
          </w:p>
        </w:tc>
        <w:tc>
          <w:tcPr>
            <w:tcW w:w="15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October 2015</w:t>
            </w:r>
          </w:p>
        </w:tc>
      </w:tr>
      <w:tr>
        <w:trPr>
          <w:trHeight w:val="68"/>
        </w:trPr>
        <w:tc>
          <w:tcPr>
            <w:tcW w:w="140" w:type="dxa"/>
            <w:vAlign w:val="bottom"/>
            <w:tcBorders>
              <w:bottom w:val="single" w:sz="8" w:color="FBF9EC"/>
            </w:tcBorders>
            <w:shd w:val="clear" w:color="auto" w:fill="FBF9EC"/>
          </w:tcPr>
          <w:p>
            <w:pPr>
              <w:spacing w:after="0"/>
              <w:rPr>
                <w:sz w:val="5"/>
                <w:szCs w:val="5"/>
                <w:color w:val="auto"/>
              </w:rPr>
            </w:pPr>
          </w:p>
        </w:tc>
        <w:tc>
          <w:tcPr>
            <w:tcW w:w="1400" w:type="dxa"/>
            <w:vAlign w:val="bottom"/>
            <w:tcBorders>
              <w:bottom w:val="single" w:sz="8" w:color="auto"/>
            </w:tcBorders>
            <w:shd w:val="clear" w:color="auto" w:fill="FBF9EC"/>
          </w:tcPr>
          <w:p>
            <w:pPr>
              <w:spacing w:after="0"/>
              <w:rPr>
                <w:sz w:val="5"/>
                <w:szCs w:val="5"/>
                <w:color w:val="auto"/>
              </w:rPr>
            </w:pPr>
          </w:p>
        </w:tc>
        <w:tc>
          <w:tcPr>
            <w:tcW w:w="1400" w:type="dxa"/>
            <w:vAlign w:val="bottom"/>
            <w:tcBorders>
              <w:bottom w:val="single" w:sz="8" w:color="auto"/>
            </w:tcBorders>
            <w:shd w:val="clear" w:color="auto" w:fill="FBF9EC"/>
          </w:tcPr>
          <w:p>
            <w:pPr>
              <w:spacing w:after="0"/>
              <w:rPr>
                <w:sz w:val="5"/>
                <w:szCs w:val="5"/>
                <w:color w:val="auto"/>
              </w:rPr>
            </w:pPr>
          </w:p>
        </w:tc>
        <w:tc>
          <w:tcPr>
            <w:tcW w:w="140" w:type="dxa"/>
            <w:vAlign w:val="bottom"/>
            <w:tcBorders>
              <w:bottom w:val="single" w:sz="8" w:color="FBF9EC"/>
            </w:tcBorders>
            <w:shd w:val="clear" w:color="auto" w:fill="FBF9EC"/>
          </w:tcPr>
          <w:p>
            <w:pPr>
              <w:spacing w:after="0"/>
              <w:rPr>
                <w:sz w:val="5"/>
                <w:szCs w:val="5"/>
                <w:color w:val="auto"/>
              </w:rPr>
            </w:pPr>
          </w:p>
        </w:tc>
      </w:tr>
      <w:tr>
        <w:trPr>
          <w:trHeight w:val="328"/>
        </w:trPr>
        <w:tc>
          <w:tcPr>
            <w:tcW w:w="140" w:type="dxa"/>
            <w:vAlign w:val="bottom"/>
            <w:shd w:val="clear" w:color="auto" w:fill="FBF9EC"/>
          </w:tcPr>
          <w:p>
            <w:pPr>
              <w:spacing w:after="0"/>
              <w:rPr>
                <w:sz w:val="24"/>
                <w:szCs w:val="24"/>
                <w:color w:val="auto"/>
              </w:rPr>
            </w:pPr>
          </w:p>
        </w:tc>
        <w:tc>
          <w:tcPr>
            <w:tcW w:w="140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Term Expires</w:t>
            </w:r>
          </w:p>
        </w:tc>
        <w:tc>
          <w:tcPr>
            <w:tcW w:w="15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2023 Annual Meeting</w:t>
            </w:r>
          </w:p>
        </w:tc>
      </w:tr>
      <w:tr>
        <w:trPr>
          <w:trHeight w:val="68"/>
        </w:trPr>
        <w:tc>
          <w:tcPr>
            <w:tcW w:w="140" w:type="dxa"/>
            <w:vAlign w:val="bottom"/>
            <w:tcBorders>
              <w:bottom w:val="single" w:sz="8" w:color="FBF9EC"/>
            </w:tcBorders>
            <w:shd w:val="clear" w:color="auto" w:fill="FBF9EC"/>
          </w:tcPr>
          <w:p>
            <w:pPr>
              <w:spacing w:after="0"/>
              <w:rPr>
                <w:sz w:val="5"/>
                <w:szCs w:val="5"/>
                <w:color w:val="auto"/>
              </w:rPr>
            </w:pPr>
          </w:p>
        </w:tc>
        <w:tc>
          <w:tcPr>
            <w:tcW w:w="1400" w:type="dxa"/>
            <w:vAlign w:val="bottom"/>
            <w:tcBorders>
              <w:bottom w:val="single" w:sz="8" w:color="auto"/>
            </w:tcBorders>
            <w:shd w:val="clear" w:color="auto" w:fill="FBF9EC"/>
          </w:tcPr>
          <w:p>
            <w:pPr>
              <w:spacing w:after="0"/>
              <w:rPr>
                <w:sz w:val="5"/>
                <w:szCs w:val="5"/>
                <w:color w:val="auto"/>
              </w:rPr>
            </w:pPr>
          </w:p>
        </w:tc>
        <w:tc>
          <w:tcPr>
            <w:tcW w:w="1400" w:type="dxa"/>
            <w:vAlign w:val="bottom"/>
            <w:tcBorders>
              <w:bottom w:val="single" w:sz="8" w:color="auto"/>
            </w:tcBorders>
            <w:shd w:val="clear" w:color="auto" w:fill="FBF9EC"/>
          </w:tcPr>
          <w:p>
            <w:pPr>
              <w:spacing w:after="0"/>
              <w:rPr>
                <w:sz w:val="5"/>
                <w:szCs w:val="5"/>
                <w:color w:val="auto"/>
              </w:rPr>
            </w:pPr>
          </w:p>
        </w:tc>
        <w:tc>
          <w:tcPr>
            <w:tcW w:w="140" w:type="dxa"/>
            <w:vAlign w:val="bottom"/>
            <w:tcBorders>
              <w:bottom w:val="single" w:sz="8" w:color="FBF9EC"/>
            </w:tcBorders>
            <w:shd w:val="clear" w:color="auto" w:fill="FBF9EC"/>
          </w:tcPr>
          <w:p>
            <w:pPr>
              <w:spacing w:after="0"/>
              <w:rPr>
                <w:sz w:val="5"/>
                <w:szCs w:val="5"/>
                <w:color w:val="auto"/>
              </w:rPr>
            </w:pPr>
          </w:p>
        </w:tc>
      </w:tr>
      <w:tr>
        <w:trPr>
          <w:trHeight w:val="328"/>
        </w:trPr>
        <w:tc>
          <w:tcPr>
            <w:tcW w:w="140" w:type="dxa"/>
            <w:vAlign w:val="bottom"/>
            <w:shd w:val="clear" w:color="auto" w:fill="FBF9EC"/>
          </w:tcPr>
          <w:p>
            <w:pPr>
              <w:spacing w:after="0"/>
              <w:rPr>
                <w:sz w:val="24"/>
                <w:szCs w:val="24"/>
                <w:color w:val="auto"/>
              </w:rPr>
            </w:pPr>
          </w:p>
        </w:tc>
        <w:tc>
          <w:tcPr>
            <w:tcW w:w="140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Age</w:t>
            </w:r>
          </w:p>
        </w:tc>
        <w:tc>
          <w:tcPr>
            <w:tcW w:w="140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70</w:t>
            </w:r>
          </w:p>
        </w:tc>
        <w:tc>
          <w:tcPr>
            <w:tcW w:w="140" w:type="dxa"/>
            <w:vAlign w:val="bottom"/>
            <w:shd w:val="clear" w:color="auto" w:fill="FBF9EC"/>
          </w:tcPr>
          <w:p>
            <w:pPr>
              <w:spacing w:after="0"/>
              <w:rPr>
                <w:sz w:val="24"/>
                <w:szCs w:val="24"/>
                <w:color w:val="auto"/>
              </w:rPr>
            </w:pPr>
          </w:p>
        </w:tc>
      </w:tr>
      <w:tr>
        <w:trPr>
          <w:trHeight w:val="68"/>
        </w:trPr>
        <w:tc>
          <w:tcPr>
            <w:tcW w:w="140" w:type="dxa"/>
            <w:vAlign w:val="bottom"/>
            <w:tcBorders>
              <w:bottom w:val="single" w:sz="8" w:color="FBF9EC"/>
            </w:tcBorders>
            <w:shd w:val="clear" w:color="auto" w:fill="FBF9EC"/>
          </w:tcPr>
          <w:p>
            <w:pPr>
              <w:spacing w:after="0"/>
              <w:rPr>
                <w:sz w:val="5"/>
                <w:szCs w:val="5"/>
                <w:color w:val="auto"/>
              </w:rPr>
            </w:pPr>
          </w:p>
        </w:tc>
        <w:tc>
          <w:tcPr>
            <w:tcW w:w="1400" w:type="dxa"/>
            <w:vAlign w:val="bottom"/>
            <w:tcBorders>
              <w:bottom w:val="single" w:sz="8" w:color="auto"/>
            </w:tcBorders>
            <w:shd w:val="clear" w:color="auto" w:fill="FBF9EC"/>
          </w:tcPr>
          <w:p>
            <w:pPr>
              <w:spacing w:after="0"/>
              <w:rPr>
                <w:sz w:val="5"/>
                <w:szCs w:val="5"/>
                <w:color w:val="auto"/>
              </w:rPr>
            </w:pPr>
          </w:p>
        </w:tc>
        <w:tc>
          <w:tcPr>
            <w:tcW w:w="1400" w:type="dxa"/>
            <w:vAlign w:val="bottom"/>
            <w:tcBorders>
              <w:bottom w:val="single" w:sz="8" w:color="auto"/>
            </w:tcBorders>
            <w:shd w:val="clear" w:color="auto" w:fill="FBF9EC"/>
          </w:tcPr>
          <w:p>
            <w:pPr>
              <w:spacing w:after="0"/>
              <w:rPr>
                <w:sz w:val="5"/>
                <w:szCs w:val="5"/>
                <w:color w:val="auto"/>
              </w:rPr>
            </w:pPr>
          </w:p>
        </w:tc>
        <w:tc>
          <w:tcPr>
            <w:tcW w:w="140" w:type="dxa"/>
            <w:vAlign w:val="bottom"/>
            <w:tcBorders>
              <w:bottom w:val="single" w:sz="8" w:color="FBF9EC"/>
            </w:tcBorders>
            <w:shd w:val="clear" w:color="auto" w:fill="FBF9EC"/>
          </w:tcPr>
          <w:p>
            <w:pPr>
              <w:spacing w:after="0"/>
              <w:rPr>
                <w:sz w:val="5"/>
                <w:szCs w:val="5"/>
                <w:color w:val="auto"/>
              </w:rPr>
            </w:pPr>
          </w:p>
        </w:tc>
      </w:tr>
      <w:tr>
        <w:trPr>
          <w:trHeight w:val="312"/>
        </w:trPr>
        <w:tc>
          <w:tcPr>
            <w:tcW w:w="140" w:type="dxa"/>
            <w:vAlign w:val="bottom"/>
            <w:shd w:val="clear" w:color="auto" w:fill="FBF9EC"/>
          </w:tcPr>
          <w:p>
            <w:pPr>
              <w:spacing w:after="0"/>
              <w:rPr>
                <w:sz w:val="24"/>
                <w:szCs w:val="24"/>
                <w:color w:val="auto"/>
              </w:rPr>
            </w:pPr>
          </w:p>
        </w:tc>
        <w:tc>
          <w:tcPr>
            <w:tcW w:w="140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Board Committees:</w:t>
            </w:r>
          </w:p>
        </w:tc>
        <w:tc>
          <w:tcPr>
            <w:tcW w:w="15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Audit</w:t>
            </w:r>
          </w:p>
        </w:tc>
      </w:tr>
      <w:tr>
        <w:trPr>
          <w:trHeight w:val="130"/>
        </w:trPr>
        <w:tc>
          <w:tcPr>
            <w:tcW w:w="140" w:type="dxa"/>
            <w:vAlign w:val="bottom"/>
            <w:shd w:val="clear" w:color="auto" w:fill="FBF9EC"/>
          </w:tcPr>
          <w:p>
            <w:pPr>
              <w:spacing w:after="0"/>
              <w:rPr>
                <w:sz w:val="11"/>
                <w:szCs w:val="11"/>
                <w:color w:val="auto"/>
              </w:rPr>
            </w:pPr>
          </w:p>
        </w:tc>
        <w:tc>
          <w:tcPr>
            <w:tcW w:w="1400" w:type="dxa"/>
            <w:vAlign w:val="bottom"/>
            <w:shd w:val="clear" w:color="auto" w:fill="FBF9EC"/>
          </w:tcPr>
          <w:p>
            <w:pPr>
              <w:spacing w:after="0"/>
              <w:rPr>
                <w:sz w:val="11"/>
                <w:szCs w:val="11"/>
                <w:color w:val="auto"/>
              </w:rPr>
            </w:pPr>
          </w:p>
        </w:tc>
        <w:tc>
          <w:tcPr>
            <w:tcW w:w="1540" w:type="dxa"/>
            <w:vAlign w:val="bottom"/>
            <w:gridSpan w:val="2"/>
            <w:shd w:val="clear" w:color="auto" w:fill="FBF9EC"/>
          </w:tcPr>
          <w:p>
            <w:pPr>
              <w:ind w:left="40"/>
              <w:spacing w:after="0" w:line="130" w:lineRule="exact"/>
              <w:rPr>
                <w:sz w:val="20"/>
                <w:szCs w:val="20"/>
                <w:color w:val="auto"/>
              </w:rPr>
            </w:pPr>
            <w:r>
              <w:rPr>
                <w:rFonts w:ascii="Arial" w:cs="Arial" w:eastAsia="Arial" w:hAnsi="Arial"/>
                <w:sz w:val="12"/>
                <w:szCs w:val="12"/>
                <w:color w:val="333D3F"/>
              </w:rPr>
              <w:t>Nominating</w:t>
            </w:r>
          </w:p>
        </w:tc>
      </w:tr>
      <w:tr>
        <w:trPr>
          <w:trHeight w:val="130"/>
        </w:trPr>
        <w:tc>
          <w:tcPr>
            <w:tcW w:w="140" w:type="dxa"/>
            <w:vAlign w:val="bottom"/>
            <w:shd w:val="clear" w:color="auto" w:fill="FBF9EC"/>
          </w:tcPr>
          <w:p>
            <w:pPr>
              <w:spacing w:after="0"/>
              <w:rPr>
                <w:sz w:val="11"/>
                <w:szCs w:val="11"/>
                <w:color w:val="auto"/>
              </w:rPr>
            </w:pPr>
          </w:p>
        </w:tc>
        <w:tc>
          <w:tcPr>
            <w:tcW w:w="1400" w:type="dxa"/>
            <w:vAlign w:val="bottom"/>
            <w:shd w:val="clear" w:color="auto" w:fill="FBF9EC"/>
          </w:tcPr>
          <w:p>
            <w:pPr>
              <w:spacing w:after="0"/>
              <w:rPr>
                <w:sz w:val="11"/>
                <w:szCs w:val="11"/>
                <w:color w:val="auto"/>
              </w:rPr>
            </w:pPr>
          </w:p>
        </w:tc>
        <w:tc>
          <w:tcPr>
            <w:tcW w:w="1540" w:type="dxa"/>
            <w:vAlign w:val="bottom"/>
            <w:gridSpan w:val="2"/>
            <w:shd w:val="clear" w:color="auto" w:fill="FBF9EC"/>
          </w:tcPr>
          <w:p>
            <w:pPr>
              <w:ind w:left="40"/>
              <w:spacing w:after="0" w:line="130" w:lineRule="exact"/>
              <w:rPr>
                <w:sz w:val="20"/>
                <w:szCs w:val="20"/>
                <w:color w:val="auto"/>
              </w:rPr>
            </w:pPr>
            <w:r>
              <w:rPr>
                <w:rFonts w:ascii="Arial" w:cs="Arial" w:eastAsia="Arial" w:hAnsi="Arial"/>
                <w:sz w:val="12"/>
                <w:szCs w:val="12"/>
                <w:color w:val="333D3F"/>
              </w:rPr>
              <w:t>and Corporate</w:t>
            </w:r>
          </w:p>
        </w:tc>
      </w:tr>
      <w:tr>
        <w:trPr>
          <w:trHeight w:val="146"/>
        </w:trPr>
        <w:tc>
          <w:tcPr>
            <w:tcW w:w="140" w:type="dxa"/>
            <w:vAlign w:val="bottom"/>
            <w:shd w:val="clear" w:color="auto" w:fill="FBF9EC"/>
          </w:tcPr>
          <w:p>
            <w:pPr>
              <w:spacing w:after="0"/>
              <w:rPr>
                <w:sz w:val="12"/>
                <w:szCs w:val="12"/>
                <w:color w:val="auto"/>
              </w:rPr>
            </w:pPr>
          </w:p>
        </w:tc>
        <w:tc>
          <w:tcPr>
            <w:tcW w:w="1400" w:type="dxa"/>
            <w:vAlign w:val="bottom"/>
            <w:shd w:val="clear" w:color="auto" w:fill="FBF9EC"/>
          </w:tcPr>
          <w:p>
            <w:pPr>
              <w:spacing w:after="0"/>
              <w:rPr>
                <w:sz w:val="12"/>
                <w:szCs w:val="12"/>
                <w:color w:val="auto"/>
              </w:rPr>
            </w:pPr>
          </w:p>
        </w:tc>
        <w:tc>
          <w:tcPr>
            <w:tcW w:w="15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Governance (Chair)</w:t>
            </w:r>
          </w:p>
        </w:tc>
      </w:tr>
      <w:tr>
        <w:trPr>
          <w:trHeight w:val="107"/>
        </w:trPr>
        <w:tc>
          <w:tcPr>
            <w:tcW w:w="140" w:type="dxa"/>
            <w:vAlign w:val="bottom"/>
            <w:shd w:val="clear" w:color="auto" w:fill="FBF9EC"/>
          </w:tcPr>
          <w:p>
            <w:pPr>
              <w:spacing w:after="0"/>
              <w:rPr>
                <w:sz w:val="9"/>
                <w:szCs w:val="9"/>
                <w:color w:val="auto"/>
              </w:rPr>
            </w:pPr>
          </w:p>
        </w:tc>
        <w:tc>
          <w:tcPr>
            <w:tcW w:w="1400" w:type="dxa"/>
            <w:vAlign w:val="bottom"/>
            <w:shd w:val="clear" w:color="auto" w:fill="FBF9EC"/>
          </w:tcPr>
          <w:p>
            <w:pPr>
              <w:spacing w:after="0"/>
              <w:rPr>
                <w:sz w:val="9"/>
                <w:szCs w:val="9"/>
                <w:color w:val="auto"/>
              </w:rPr>
            </w:pPr>
          </w:p>
        </w:tc>
        <w:tc>
          <w:tcPr>
            <w:tcW w:w="1400" w:type="dxa"/>
            <w:vAlign w:val="bottom"/>
            <w:shd w:val="clear" w:color="auto" w:fill="FBF9EC"/>
          </w:tcPr>
          <w:p>
            <w:pPr>
              <w:spacing w:after="0"/>
              <w:rPr>
                <w:sz w:val="9"/>
                <w:szCs w:val="9"/>
                <w:color w:val="auto"/>
              </w:rPr>
            </w:pPr>
          </w:p>
        </w:tc>
        <w:tc>
          <w:tcPr>
            <w:tcW w:w="140" w:type="dxa"/>
            <w:vAlign w:val="bottom"/>
            <w:shd w:val="clear" w:color="auto" w:fill="FBF9EC"/>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-2692400</wp:posOffset>
            </wp:positionV>
            <wp:extent cx="1932940" cy="1371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32940"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PREVIOUS EXPERIENCE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–   July 2014 to October 2015: served on the Nevada Gaming Commission</w:t>
      </w:r>
    </w:p>
    <w:p>
      <w:pPr>
        <w:spacing w:after="0" w:line="73" w:lineRule="exact"/>
        <w:rPr>
          <w:sz w:val="20"/>
          <w:szCs w:val="20"/>
          <w:color w:val="auto"/>
        </w:rPr>
      </w:pPr>
    </w:p>
    <w:p>
      <w:pPr>
        <w:ind w:left="180" w:right="180" w:hanging="172"/>
        <w:spacing w:after="0" w:line="237" w:lineRule="auto"/>
        <w:rPr>
          <w:sz w:val="20"/>
          <w:szCs w:val="20"/>
          <w:color w:val="auto"/>
        </w:rPr>
      </w:pPr>
      <w:r>
        <w:rPr>
          <w:rFonts w:ascii="Arial" w:cs="Arial" w:eastAsia="Arial" w:hAnsi="Arial"/>
          <w:sz w:val="14"/>
          <w:szCs w:val="14"/>
          <w:color w:val="auto"/>
        </w:rPr>
        <w:t>–   1995 to 2014: Nevada’s representative in all interstate, national and international negotiations and matters regarding the Colorado River negotiating numerous groundbreaking interstate agreements and international treaty modifications.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1993 to 2014: Chief executive of the Southern Nevada Water Authority</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–   1989 to 2014: Chief executive of the Las Vegas Valley Water District</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EDUCATION</w:t>
      </w:r>
    </w:p>
    <w:p>
      <w:pPr>
        <w:spacing w:after="0" w:line="16" w:lineRule="exact"/>
        <w:rPr>
          <w:sz w:val="20"/>
          <w:szCs w:val="20"/>
          <w:color w:val="auto"/>
        </w:rPr>
      </w:pPr>
    </w:p>
    <w:p>
      <w:pPr>
        <w:ind w:right="380"/>
        <w:spacing w:after="0" w:line="239" w:lineRule="auto"/>
        <w:rPr>
          <w:sz w:val="20"/>
          <w:szCs w:val="20"/>
          <w:color w:val="auto"/>
        </w:rPr>
      </w:pPr>
      <w:r>
        <w:rPr>
          <w:rFonts w:ascii="Arial" w:cs="Arial" w:eastAsia="Arial" w:hAnsi="Arial"/>
          <w:sz w:val="14"/>
          <w:szCs w:val="14"/>
          <w:color w:val="auto"/>
        </w:rPr>
        <w:t>Ms. Mulroy graduated with a B.A. and M.A. from the University of Nevada, Las Vegas and pursued doctoral studies at Stanford University.</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EXPERTISE</w:t>
      </w:r>
    </w:p>
    <w:p>
      <w:pPr>
        <w:spacing w:after="0" w:line="16" w:lineRule="exact"/>
        <w:rPr>
          <w:sz w:val="20"/>
          <w:szCs w:val="20"/>
          <w:color w:val="auto"/>
        </w:rPr>
      </w:pPr>
    </w:p>
    <w:p>
      <w:pPr>
        <w:ind w:right="180"/>
        <w:spacing w:after="0" w:line="236" w:lineRule="auto"/>
        <w:rPr>
          <w:sz w:val="20"/>
          <w:szCs w:val="20"/>
          <w:color w:val="auto"/>
        </w:rPr>
      </w:pPr>
      <w:r>
        <w:rPr>
          <w:rFonts w:ascii="Arial" w:cs="Arial" w:eastAsia="Arial" w:hAnsi="Arial"/>
          <w:sz w:val="14"/>
          <w:szCs w:val="14"/>
          <w:color w:val="auto"/>
        </w:rPr>
        <w:t>Ms. Mulroy brings more than 30 years of government experience to the Board, serving in numerous leadership roles focusing on Nevada’s public infrastructure. Additionally, Ms. Mulroy’s experience on the Nevada Gaming Commission brings experience and insight into state regulatory and public policy issues impacting the Company’s operations.</w:t>
      </w:r>
    </w:p>
    <w:p>
      <w:pPr>
        <w:spacing w:after="0" w:line="1488" w:lineRule="exact"/>
        <w:rPr>
          <w:sz w:val="20"/>
          <w:szCs w:val="20"/>
          <w:color w:val="auto"/>
        </w:rPr>
      </w:pPr>
    </w:p>
    <w:p>
      <w:pPr>
        <w:sectPr>
          <w:pgSz w:w="11900" w:h="16838" w:orient="portrait"/>
          <w:cols w:equalWidth="0" w:num="2">
            <w:col w:w="3400" w:space="580"/>
            <w:col w:w="6960"/>
          </w:cols>
          <w:pgMar w:left="320" w:top="473" w:right="639" w:bottom="1440" w:gutter="0" w:footer="0" w:header="0"/>
          <w:type w:val="continuous"/>
        </w:sectPr>
      </w:pPr>
    </w:p>
    <w:p>
      <w:pPr>
        <w:ind w:left="320"/>
        <w:spacing w:after="0"/>
        <w:rPr>
          <w:sz w:val="20"/>
          <w:szCs w:val="20"/>
          <w:color w:val="auto"/>
        </w:rPr>
      </w:pPr>
      <w:r>
        <w:rPr>
          <w:rFonts w:ascii="Arial" w:cs="Arial" w:eastAsia="Arial" w:hAnsi="Arial"/>
          <w:sz w:val="12"/>
          <w:szCs w:val="12"/>
          <w:b w:val="1"/>
          <w:bCs w:val="1"/>
          <w:color w:val="B3AB9D"/>
        </w:rPr>
        <w:t>SKILLS AND QUALIFICATIONS</w:t>
      </w:r>
    </w:p>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20" w:type="dxa"/>
            <w:vAlign w:val="bottom"/>
            <w:shd w:val="clear" w:color="auto" w:fill="E2E0DE"/>
          </w:tcPr>
          <w:p>
            <w:pPr>
              <w:ind w:left="60"/>
              <w:spacing w:after="0"/>
              <w:rPr>
                <w:sz w:val="20"/>
                <w:szCs w:val="20"/>
                <w:color w:val="auto"/>
              </w:rPr>
            </w:pPr>
            <w:r>
              <w:rPr>
                <w:rFonts w:ascii="Arial" w:cs="Arial" w:eastAsia="Arial" w:hAnsi="Arial"/>
                <w:sz w:val="14"/>
                <w:szCs w:val="14"/>
                <w:color w:val="auto"/>
              </w:rPr>
              <w:t>Gaming or Other Regulated</w:t>
            </w:r>
          </w:p>
        </w:tc>
        <w:tc>
          <w:tcPr>
            <w:tcW w:w="8600" w:type="dxa"/>
            <w:vAlign w:val="bottom"/>
            <w:shd w:val="clear" w:color="auto" w:fill="E2E0DE"/>
          </w:tcPr>
          <w:p>
            <w:pPr>
              <w:ind w:left="240"/>
              <w:spacing w:after="0"/>
              <w:rPr>
                <w:sz w:val="20"/>
                <w:szCs w:val="20"/>
                <w:color w:val="auto"/>
              </w:rPr>
            </w:pPr>
            <w:r>
              <w:rPr>
                <w:rFonts w:ascii="Arial" w:cs="Arial" w:eastAsia="Arial" w:hAnsi="Arial"/>
                <w:sz w:val="14"/>
                <w:szCs w:val="14"/>
                <w:color w:val="auto"/>
              </w:rPr>
              <w:t>Ms. Mulroy served as a member of the Nevada Gaming Commission.</w:t>
            </w:r>
          </w:p>
        </w:tc>
      </w:tr>
      <w:tr>
        <w:trPr>
          <w:trHeight w:val="178"/>
        </w:trPr>
        <w:tc>
          <w:tcPr>
            <w:tcW w:w="2020" w:type="dxa"/>
            <w:vAlign w:val="bottom"/>
            <w:shd w:val="clear" w:color="auto" w:fill="E2E0DE"/>
          </w:tcPr>
          <w:p>
            <w:pPr>
              <w:ind w:left="60"/>
              <w:spacing w:after="0"/>
              <w:rPr>
                <w:sz w:val="20"/>
                <w:szCs w:val="20"/>
                <w:color w:val="auto"/>
              </w:rPr>
            </w:pPr>
            <w:r>
              <w:rPr>
                <w:rFonts w:ascii="Arial" w:cs="Arial" w:eastAsia="Arial" w:hAnsi="Arial"/>
                <w:sz w:val="14"/>
                <w:szCs w:val="14"/>
                <w:color w:val="auto"/>
              </w:rPr>
              <w:t>Industry</w:t>
            </w:r>
          </w:p>
        </w:tc>
        <w:tc>
          <w:tcPr>
            <w:tcW w:w="8600" w:type="dxa"/>
            <w:vAlign w:val="bottom"/>
            <w:shd w:val="clear" w:color="auto" w:fill="E2E0DE"/>
          </w:tcPr>
          <w:p>
            <w:pPr>
              <w:spacing w:after="0"/>
              <w:rPr>
                <w:sz w:val="15"/>
                <w:szCs w:val="15"/>
                <w:color w:val="auto"/>
              </w:rPr>
            </w:pPr>
          </w:p>
        </w:tc>
      </w:tr>
      <w:tr>
        <w:trPr>
          <w:trHeight w:val="176"/>
        </w:trPr>
        <w:tc>
          <w:tcPr>
            <w:tcW w:w="2020" w:type="dxa"/>
            <w:vAlign w:val="bottom"/>
          </w:tcPr>
          <w:p>
            <w:pPr>
              <w:ind w:left="60"/>
              <w:spacing w:after="0"/>
              <w:rPr>
                <w:sz w:val="20"/>
                <w:szCs w:val="20"/>
                <w:color w:val="auto"/>
              </w:rPr>
            </w:pPr>
            <w:r>
              <w:rPr>
                <w:rFonts w:ascii="Arial" w:cs="Arial" w:eastAsia="Arial" w:hAnsi="Arial"/>
                <w:sz w:val="14"/>
                <w:szCs w:val="14"/>
                <w:color w:val="auto"/>
              </w:rPr>
              <w:t>Public Company Board</w:t>
            </w:r>
          </w:p>
        </w:tc>
        <w:tc>
          <w:tcPr>
            <w:tcW w:w="8600" w:type="dxa"/>
            <w:vAlign w:val="bottom"/>
          </w:tcPr>
          <w:p>
            <w:pPr>
              <w:ind w:left="240"/>
              <w:spacing w:after="0"/>
              <w:rPr>
                <w:sz w:val="20"/>
                <w:szCs w:val="20"/>
                <w:color w:val="auto"/>
              </w:rPr>
            </w:pPr>
            <w:r>
              <w:rPr>
                <w:rFonts w:ascii="Arial" w:cs="Arial" w:eastAsia="Arial" w:hAnsi="Arial"/>
                <w:sz w:val="14"/>
                <w:szCs w:val="14"/>
                <w:color w:val="auto"/>
              </w:rPr>
              <w:t>Ms. Mulroy serves on the Board of Bowman Consulting, Inc.</w:t>
            </w:r>
          </w:p>
        </w:tc>
      </w:tr>
      <w:tr>
        <w:trPr>
          <w:trHeight w:val="188"/>
        </w:trPr>
        <w:tc>
          <w:tcPr>
            <w:tcW w:w="2020" w:type="dxa"/>
            <w:vAlign w:val="bottom"/>
            <w:shd w:val="clear" w:color="auto" w:fill="E2E0DE"/>
          </w:tcPr>
          <w:p>
            <w:pPr>
              <w:ind w:left="60"/>
              <w:spacing w:after="0"/>
              <w:rPr>
                <w:sz w:val="20"/>
                <w:szCs w:val="20"/>
                <w:color w:val="auto"/>
              </w:rPr>
            </w:pPr>
            <w:r>
              <w:rPr>
                <w:rFonts w:ascii="Arial" w:cs="Arial" w:eastAsia="Arial" w:hAnsi="Arial"/>
                <w:sz w:val="14"/>
                <w:szCs w:val="14"/>
                <w:color w:val="auto"/>
              </w:rPr>
              <w:t>International Politics</w:t>
            </w:r>
          </w:p>
        </w:tc>
        <w:tc>
          <w:tcPr>
            <w:tcW w:w="8600" w:type="dxa"/>
            <w:vAlign w:val="bottom"/>
            <w:shd w:val="clear" w:color="auto" w:fill="E2E0DE"/>
          </w:tcPr>
          <w:p>
            <w:pPr>
              <w:ind w:left="240"/>
              <w:spacing w:after="0"/>
              <w:rPr>
                <w:sz w:val="20"/>
                <w:szCs w:val="20"/>
                <w:color w:val="auto"/>
              </w:rPr>
            </w:pPr>
            <w:r>
              <w:rPr>
                <w:rFonts w:ascii="Arial" w:cs="Arial" w:eastAsia="Arial" w:hAnsi="Arial"/>
                <w:sz w:val="14"/>
                <w:szCs w:val="14"/>
                <w:color w:val="auto"/>
              </w:rPr>
              <w:t>Ms. Mulroy served as a member of the Global Agenda Council on Water of the World Economic Forum.</w:t>
            </w:r>
          </w:p>
        </w:tc>
      </w:tr>
      <w:tr>
        <w:trPr>
          <w:trHeight w:val="161"/>
        </w:trPr>
        <w:tc>
          <w:tcPr>
            <w:tcW w:w="2020" w:type="dxa"/>
            <w:vAlign w:val="bottom"/>
          </w:tcPr>
          <w:p>
            <w:pPr>
              <w:ind w:left="60"/>
              <w:spacing w:after="0"/>
              <w:rPr>
                <w:sz w:val="20"/>
                <w:szCs w:val="20"/>
                <w:color w:val="auto"/>
              </w:rPr>
            </w:pPr>
            <w:r>
              <w:rPr>
                <w:rFonts w:ascii="Arial" w:cs="Arial" w:eastAsia="Arial" w:hAnsi="Arial"/>
                <w:sz w:val="14"/>
                <w:szCs w:val="14"/>
                <w:color w:val="auto"/>
              </w:rPr>
              <w:t>Real Estate or Project</w:t>
            </w:r>
          </w:p>
        </w:tc>
        <w:tc>
          <w:tcPr>
            <w:tcW w:w="8600" w:type="dxa"/>
            <w:vAlign w:val="bottom"/>
          </w:tcPr>
          <w:p>
            <w:pPr>
              <w:ind w:left="240"/>
              <w:spacing w:after="0"/>
              <w:rPr>
                <w:sz w:val="20"/>
                <w:szCs w:val="20"/>
                <w:color w:val="auto"/>
              </w:rPr>
            </w:pPr>
            <w:r>
              <w:rPr>
                <w:rFonts w:ascii="Arial" w:cs="Arial" w:eastAsia="Arial" w:hAnsi="Arial"/>
                <w:sz w:val="14"/>
                <w:szCs w:val="14"/>
                <w:color w:val="auto"/>
              </w:rPr>
              <w:t>As the chief executive of the Southern Nevada Water Authority she managed several massive construction projects to protect the Las</w:t>
            </w:r>
          </w:p>
        </w:tc>
      </w:tr>
      <w:tr>
        <w:trPr>
          <w:trHeight w:val="172"/>
        </w:trPr>
        <w:tc>
          <w:tcPr>
            <w:tcW w:w="2020" w:type="dxa"/>
            <w:vAlign w:val="bottom"/>
          </w:tcPr>
          <w:p>
            <w:pPr>
              <w:ind w:left="60"/>
              <w:spacing w:after="0"/>
              <w:rPr>
                <w:sz w:val="20"/>
                <w:szCs w:val="20"/>
                <w:color w:val="auto"/>
              </w:rPr>
            </w:pPr>
            <w:r>
              <w:rPr>
                <w:rFonts w:ascii="Arial" w:cs="Arial" w:eastAsia="Arial" w:hAnsi="Arial"/>
                <w:sz w:val="14"/>
                <w:szCs w:val="14"/>
                <w:color w:val="auto"/>
              </w:rPr>
              <w:t>Construction</w:t>
            </w:r>
          </w:p>
        </w:tc>
        <w:tc>
          <w:tcPr>
            <w:tcW w:w="8600" w:type="dxa"/>
            <w:vAlign w:val="bottom"/>
          </w:tcPr>
          <w:p>
            <w:pPr>
              <w:ind w:left="240"/>
              <w:spacing w:after="0"/>
              <w:rPr>
                <w:sz w:val="20"/>
                <w:szCs w:val="20"/>
                <w:color w:val="auto"/>
              </w:rPr>
            </w:pPr>
            <w:r>
              <w:rPr>
                <w:rFonts w:ascii="Arial" w:cs="Arial" w:eastAsia="Arial" w:hAnsi="Arial"/>
                <w:sz w:val="14"/>
                <w:szCs w:val="14"/>
                <w:color w:val="auto"/>
              </w:rPr>
              <w:t>Vegas community from water shortages and to ensure water infrastructure and treatment facilities were state-of-the-art.</w:t>
            </w:r>
          </w:p>
        </w:tc>
      </w:tr>
      <w:tr>
        <w:trPr>
          <w:trHeight w:val="167"/>
        </w:trPr>
        <w:tc>
          <w:tcPr>
            <w:tcW w:w="2020" w:type="dxa"/>
            <w:vAlign w:val="bottom"/>
            <w:shd w:val="clear" w:color="auto" w:fill="E2E0DE"/>
          </w:tcPr>
          <w:p>
            <w:pPr>
              <w:ind w:left="60"/>
              <w:spacing w:after="0"/>
              <w:rPr>
                <w:sz w:val="20"/>
                <w:szCs w:val="20"/>
                <w:color w:val="auto"/>
              </w:rPr>
            </w:pPr>
            <w:r>
              <w:rPr>
                <w:rFonts w:ascii="Arial" w:cs="Arial" w:eastAsia="Arial" w:hAnsi="Arial"/>
                <w:sz w:val="14"/>
                <w:szCs w:val="14"/>
                <w:color w:val="auto"/>
              </w:rPr>
              <w:t>ESG</w:t>
            </w:r>
          </w:p>
        </w:tc>
        <w:tc>
          <w:tcPr>
            <w:tcW w:w="8600" w:type="dxa"/>
            <w:vAlign w:val="bottom"/>
            <w:shd w:val="clear" w:color="auto" w:fill="E2E0DE"/>
          </w:tcPr>
          <w:p>
            <w:pPr>
              <w:ind w:left="240"/>
              <w:spacing w:after="0"/>
              <w:rPr>
                <w:sz w:val="20"/>
                <w:szCs w:val="20"/>
                <w:color w:val="auto"/>
              </w:rPr>
            </w:pPr>
            <w:r>
              <w:rPr>
                <w:rFonts w:ascii="Arial" w:cs="Arial" w:eastAsia="Arial" w:hAnsi="Arial"/>
                <w:sz w:val="14"/>
                <w:szCs w:val="14"/>
                <w:color w:val="auto"/>
              </w:rPr>
              <w:t>Ms. Mulroy is an acknowledged expert in environmental strategies having represented both governments and companies in water</w:t>
            </w:r>
          </w:p>
        </w:tc>
      </w:tr>
      <w:tr>
        <w:trPr>
          <w:trHeight w:val="156"/>
        </w:trPr>
        <w:tc>
          <w:tcPr>
            <w:tcW w:w="2020" w:type="dxa"/>
            <w:vAlign w:val="bottom"/>
            <w:shd w:val="clear" w:color="auto" w:fill="E2E0DE"/>
          </w:tcPr>
          <w:p>
            <w:pPr>
              <w:spacing w:after="0"/>
              <w:rPr>
                <w:sz w:val="13"/>
                <w:szCs w:val="13"/>
                <w:color w:val="auto"/>
              </w:rPr>
            </w:pPr>
          </w:p>
        </w:tc>
        <w:tc>
          <w:tcPr>
            <w:tcW w:w="8600" w:type="dxa"/>
            <w:vAlign w:val="bottom"/>
            <w:shd w:val="clear" w:color="auto" w:fill="E2E0DE"/>
          </w:tcPr>
          <w:p>
            <w:pPr>
              <w:ind w:left="240"/>
              <w:spacing w:after="0" w:line="156" w:lineRule="exact"/>
              <w:rPr>
                <w:sz w:val="20"/>
                <w:szCs w:val="20"/>
                <w:color w:val="auto"/>
              </w:rPr>
            </w:pPr>
            <w:r>
              <w:rPr>
                <w:rFonts w:ascii="Arial" w:cs="Arial" w:eastAsia="Arial" w:hAnsi="Arial"/>
                <w:sz w:val="14"/>
                <w:szCs w:val="14"/>
                <w:color w:val="auto"/>
              </w:rPr>
              <w:t>matters. She was the chief executive of the Southern Nevada Water Authority which is responsible for all regional water management</w:t>
            </w:r>
          </w:p>
        </w:tc>
      </w:tr>
      <w:tr>
        <w:trPr>
          <w:trHeight w:val="178"/>
        </w:trPr>
        <w:tc>
          <w:tcPr>
            <w:tcW w:w="2020" w:type="dxa"/>
            <w:vAlign w:val="bottom"/>
            <w:shd w:val="clear" w:color="auto" w:fill="E2E0DE"/>
          </w:tcPr>
          <w:p>
            <w:pPr>
              <w:spacing w:after="0"/>
              <w:rPr>
                <w:sz w:val="15"/>
                <w:szCs w:val="15"/>
                <w:color w:val="auto"/>
              </w:rPr>
            </w:pPr>
          </w:p>
        </w:tc>
        <w:tc>
          <w:tcPr>
            <w:tcW w:w="8600" w:type="dxa"/>
            <w:vAlign w:val="bottom"/>
            <w:shd w:val="clear" w:color="auto" w:fill="E2E0DE"/>
          </w:tcPr>
          <w:p>
            <w:pPr>
              <w:ind w:left="240"/>
              <w:spacing w:after="0"/>
              <w:rPr>
                <w:sz w:val="20"/>
                <w:szCs w:val="20"/>
                <w:color w:val="auto"/>
              </w:rPr>
            </w:pPr>
            <w:r>
              <w:rPr>
                <w:rFonts w:ascii="Arial" w:cs="Arial" w:eastAsia="Arial" w:hAnsi="Arial"/>
                <w:sz w:val="14"/>
                <w:szCs w:val="14"/>
                <w:color w:val="auto"/>
              </w:rPr>
              <w:t>and facilities serving all of Southern Nevada and its 3 million inhabitants and 42 million annual visitors.</w:t>
            </w:r>
          </w:p>
        </w:tc>
      </w:tr>
      <w:tr>
        <w:trPr>
          <w:trHeight w:val="313"/>
        </w:trPr>
        <w:tc>
          <w:tcPr>
            <w:tcW w:w="2020" w:type="dxa"/>
            <w:vAlign w:val="bottom"/>
          </w:tcPr>
          <w:p>
            <w:pPr>
              <w:spacing w:after="0"/>
              <w:rPr>
                <w:sz w:val="24"/>
                <w:szCs w:val="24"/>
                <w:color w:val="auto"/>
              </w:rPr>
            </w:pPr>
          </w:p>
        </w:tc>
        <w:tc>
          <w:tcPr>
            <w:tcW w:w="8600" w:type="dxa"/>
            <w:vAlign w:val="bottom"/>
          </w:tcPr>
          <w:p>
            <w:pPr>
              <w:ind w:left="3220"/>
              <w:spacing w:after="0"/>
              <w:rPr>
                <w:sz w:val="20"/>
                <w:szCs w:val="20"/>
                <w:color w:val="auto"/>
              </w:rPr>
            </w:pPr>
            <w:r>
              <w:rPr>
                <w:rFonts w:ascii="Arial" w:cs="Arial" w:eastAsia="Arial" w:hAnsi="Arial"/>
                <w:sz w:val="14"/>
                <w:szCs w:val="14"/>
                <w:color w:val="auto"/>
              </w:rPr>
              <w:t>// 7 //</w:t>
            </w:r>
          </w:p>
        </w:tc>
      </w:tr>
    </w:tbl>
    <w:p>
      <w:pPr>
        <w:sectPr>
          <w:pgSz w:w="11900" w:h="16838" w:orient="portrait"/>
          <w:cols w:equalWidth="0" w:num="1">
            <w:col w:w="10940"/>
          </w:cols>
          <w:pgMar w:left="320" w:top="473" w:right="6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0" w:right="2320"/>
        <w:spacing w:after="0" w:line="191" w:lineRule="auto"/>
        <w:rPr>
          <w:sz w:val="20"/>
          <w:szCs w:val="20"/>
          <w:color w:val="auto"/>
        </w:rPr>
      </w:pPr>
      <w:r>
        <w:rPr>
          <w:rFonts w:ascii="Arial" w:cs="Arial" w:eastAsia="Arial" w:hAnsi="Arial"/>
          <w:sz w:val="31"/>
          <w:szCs w:val="31"/>
          <w:b w:val="1"/>
          <w:bCs w:val="1"/>
          <w:color w:val="auto"/>
        </w:rPr>
        <w:t xml:space="preserve">Margaret J. Myers </w:t>
      </w:r>
      <w:r>
        <w:rPr>
          <w:rFonts w:ascii="Arial" w:cs="Arial" w:eastAsia="Arial" w:hAnsi="Arial"/>
          <w:sz w:val="13"/>
          <w:szCs w:val="13"/>
          <w:b w:val="1"/>
          <w:bCs w:val="1"/>
          <w:i w:val="1"/>
          <w:iCs w:val="1"/>
          <w:color w:val="333D3F"/>
        </w:rPr>
        <w:t>Senior Advisor to the Governor of California and Director of the Governor’s Office of</w:t>
      </w:r>
      <w:r>
        <w:rPr>
          <w:rFonts w:ascii="Arial" w:cs="Arial" w:eastAsia="Arial" w:hAnsi="Arial"/>
          <w:sz w:val="31"/>
          <w:szCs w:val="31"/>
          <w:b w:val="1"/>
          <w:bCs w:val="1"/>
          <w:color w:val="auto"/>
        </w:rPr>
        <w:t xml:space="preserve"> </w:t>
      </w:r>
      <w:r>
        <w:rPr>
          <w:rFonts w:ascii="Arial" w:cs="Arial" w:eastAsia="Arial" w:hAnsi="Arial"/>
          <w:sz w:val="13"/>
          <w:szCs w:val="13"/>
          <w:b w:val="1"/>
          <w:bCs w:val="1"/>
          <w:i w:val="1"/>
          <w:iCs w:val="1"/>
          <w:color w:val="333D3F"/>
        </w:rPr>
        <w:t>Business and Economic Development</w:t>
      </w:r>
    </w:p>
    <w:p>
      <w:pPr>
        <w:spacing w:after="0" w:line="174" w:lineRule="exact"/>
        <w:rPr>
          <w:sz w:val="20"/>
          <w:szCs w:val="20"/>
          <w:color w:val="auto"/>
        </w:rPr>
      </w:pPr>
    </w:p>
    <w:p>
      <w:pPr>
        <w:ind w:left="320" w:right="120"/>
        <w:spacing w:after="0" w:line="237" w:lineRule="auto"/>
        <w:rPr>
          <w:sz w:val="20"/>
          <w:szCs w:val="20"/>
          <w:color w:val="auto"/>
        </w:rPr>
      </w:pPr>
      <w:r>
        <w:rPr>
          <w:rFonts w:ascii="Arial" w:cs="Arial" w:eastAsia="Arial" w:hAnsi="Arial"/>
          <w:sz w:val="14"/>
          <w:szCs w:val="14"/>
          <w:color w:val="auto"/>
        </w:rPr>
        <w:t>Ms. Myers is currently Senior Advisor to the Governor of California and Director of the Governor’s Office of Business and Economic Development. From September 2014 to April 2020, Ms. Myers was Executive Vice President, Worldwide Corporate Communications and Public Affairs for Warner Bros. Entertainment, Inc. (“Warner Bros.”), a broad-based global entertainment company.</w:t>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320" w:type="dxa"/>
        <w:tblCellMar>
          <w:top w:w="0" w:type="dxa"/>
          <w:left w:w="0" w:type="dxa"/>
          <w:bottom w:w="0" w:type="dxa"/>
          <w:right w:w="0" w:type="dxa"/>
        </w:tblCellMar>
      </w:tblPr>
      <w:tr>
        <w:trPr>
          <w:trHeight w:val="335"/>
        </w:trPr>
        <w:tc>
          <w:tcPr>
            <w:tcW w:w="140" w:type="dxa"/>
            <w:vAlign w:val="bottom"/>
            <w:shd w:val="clear" w:color="auto" w:fill="FBF9EC"/>
          </w:tcPr>
          <w:p>
            <w:pPr>
              <w:spacing w:after="0"/>
              <w:rPr>
                <w:sz w:val="24"/>
                <w:szCs w:val="24"/>
                <w:color w:val="auto"/>
              </w:rPr>
            </w:pPr>
          </w:p>
        </w:tc>
        <w:tc>
          <w:tcPr>
            <w:tcW w:w="140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Director Since</w:t>
            </w:r>
          </w:p>
        </w:tc>
        <w:tc>
          <w:tcPr>
            <w:tcW w:w="15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April 2018</w:t>
            </w:r>
          </w:p>
        </w:tc>
      </w:tr>
      <w:tr>
        <w:trPr>
          <w:trHeight w:val="68"/>
        </w:trPr>
        <w:tc>
          <w:tcPr>
            <w:tcW w:w="140" w:type="dxa"/>
            <w:vAlign w:val="bottom"/>
            <w:tcBorders>
              <w:bottom w:val="single" w:sz="8" w:color="FBF9EC"/>
            </w:tcBorders>
            <w:shd w:val="clear" w:color="auto" w:fill="FBF9EC"/>
          </w:tcPr>
          <w:p>
            <w:pPr>
              <w:spacing w:after="0"/>
              <w:rPr>
                <w:sz w:val="5"/>
                <w:szCs w:val="5"/>
                <w:color w:val="auto"/>
              </w:rPr>
            </w:pPr>
          </w:p>
        </w:tc>
        <w:tc>
          <w:tcPr>
            <w:tcW w:w="1400" w:type="dxa"/>
            <w:vAlign w:val="bottom"/>
            <w:tcBorders>
              <w:bottom w:val="single" w:sz="8" w:color="auto"/>
            </w:tcBorders>
            <w:shd w:val="clear" w:color="auto" w:fill="FBF9EC"/>
          </w:tcPr>
          <w:p>
            <w:pPr>
              <w:spacing w:after="0"/>
              <w:rPr>
                <w:sz w:val="5"/>
                <w:szCs w:val="5"/>
                <w:color w:val="auto"/>
              </w:rPr>
            </w:pPr>
          </w:p>
        </w:tc>
        <w:tc>
          <w:tcPr>
            <w:tcW w:w="1440" w:type="dxa"/>
            <w:vAlign w:val="bottom"/>
            <w:tcBorders>
              <w:bottom w:val="single" w:sz="8" w:color="auto"/>
            </w:tcBorders>
            <w:shd w:val="clear" w:color="auto" w:fill="FBF9EC"/>
          </w:tcPr>
          <w:p>
            <w:pPr>
              <w:spacing w:after="0"/>
              <w:rPr>
                <w:sz w:val="5"/>
                <w:szCs w:val="5"/>
                <w:color w:val="auto"/>
              </w:rPr>
            </w:pPr>
          </w:p>
        </w:tc>
        <w:tc>
          <w:tcPr>
            <w:tcW w:w="100" w:type="dxa"/>
            <w:vAlign w:val="bottom"/>
            <w:tcBorders>
              <w:bottom w:val="single" w:sz="8" w:color="FBF9EC"/>
            </w:tcBorders>
            <w:shd w:val="clear" w:color="auto" w:fill="FBF9EC"/>
          </w:tcPr>
          <w:p>
            <w:pPr>
              <w:spacing w:after="0"/>
              <w:rPr>
                <w:sz w:val="5"/>
                <w:szCs w:val="5"/>
                <w:color w:val="auto"/>
              </w:rPr>
            </w:pPr>
          </w:p>
        </w:tc>
      </w:tr>
      <w:tr>
        <w:trPr>
          <w:trHeight w:val="328"/>
        </w:trPr>
        <w:tc>
          <w:tcPr>
            <w:tcW w:w="140" w:type="dxa"/>
            <w:vAlign w:val="bottom"/>
            <w:shd w:val="clear" w:color="auto" w:fill="FBF9EC"/>
          </w:tcPr>
          <w:p>
            <w:pPr>
              <w:spacing w:after="0"/>
              <w:rPr>
                <w:sz w:val="24"/>
                <w:szCs w:val="24"/>
                <w:color w:val="auto"/>
              </w:rPr>
            </w:pPr>
          </w:p>
        </w:tc>
        <w:tc>
          <w:tcPr>
            <w:tcW w:w="140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Term Expires</w:t>
            </w:r>
          </w:p>
        </w:tc>
        <w:tc>
          <w:tcPr>
            <w:tcW w:w="15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2025 Annual Meeting</w:t>
            </w:r>
          </w:p>
        </w:tc>
      </w:tr>
      <w:tr>
        <w:trPr>
          <w:trHeight w:val="68"/>
        </w:trPr>
        <w:tc>
          <w:tcPr>
            <w:tcW w:w="140" w:type="dxa"/>
            <w:vAlign w:val="bottom"/>
            <w:tcBorders>
              <w:bottom w:val="single" w:sz="8" w:color="FBF9EC"/>
            </w:tcBorders>
            <w:shd w:val="clear" w:color="auto" w:fill="FBF9EC"/>
          </w:tcPr>
          <w:p>
            <w:pPr>
              <w:spacing w:after="0"/>
              <w:rPr>
                <w:sz w:val="5"/>
                <w:szCs w:val="5"/>
                <w:color w:val="auto"/>
              </w:rPr>
            </w:pPr>
          </w:p>
        </w:tc>
        <w:tc>
          <w:tcPr>
            <w:tcW w:w="1400" w:type="dxa"/>
            <w:vAlign w:val="bottom"/>
            <w:tcBorders>
              <w:bottom w:val="single" w:sz="8" w:color="auto"/>
            </w:tcBorders>
            <w:shd w:val="clear" w:color="auto" w:fill="FBF9EC"/>
          </w:tcPr>
          <w:p>
            <w:pPr>
              <w:spacing w:after="0"/>
              <w:rPr>
                <w:sz w:val="5"/>
                <w:szCs w:val="5"/>
                <w:color w:val="auto"/>
              </w:rPr>
            </w:pPr>
          </w:p>
        </w:tc>
        <w:tc>
          <w:tcPr>
            <w:tcW w:w="1440" w:type="dxa"/>
            <w:vAlign w:val="bottom"/>
            <w:tcBorders>
              <w:bottom w:val="single" w:sz="8" w:color="auto"/>
            </w:tcBorders>
            <w:shd w:val="clear" w:color="auto" w:fill="FBF9EC"/>
          </w:tcPr>
          <w:p>
            <w:pPr>
              <w:spacing w:after="0"/>
              <w:rPr>
                <w:sz w:val="5"/>
                <w:szCs w:val="5"/>
                <w:color w:val="auto"/>
              </w:rPr>
            </w:pPr>
          </w:p>
        </w:tc>
        <w:tc>
          <w:tcPr>
            <w:tcW w:w="100" w:type="dxa"/>
            <w:vAlign w:val="bottom"/>
            <w:tcBorders>
              <w:bottom w:val="single" w:sz="8" w:color="FBF9EC"/>
            </w:tcBorders>
            <w:shd w:val="clear" w:color="auto" w:fill="FBF9EC"/>
          </w:tcPr>
          <w:p>
            <w:pPr>
              <w:spacing w:after="0"/>
              <w:rPr>
                <w:sz w:val="5"/>
                <w:szCs w:val="5"/>
                <w:color w:val="auto"/>
              </w:rPr>
            </w:pPr>
          </w:p>
        </w:tc>
      </w:tr>
      <w:tr>
        <w:trPr>
          <w:trHeight w:val="328"/>
        </w:trPr>
        <w:tc>
          <w:tcPr>
            <w:tcW w:w="140" w:type="dxa"/>
            <w:vAlign w:val="bottom"/>
            <w:shd w:val="clear" w:color="auto" w:fill="FBF9EC"/>
          </w:tcPr>
          <w:p>
            <w:pPr>
              <w:spacing w:after="0"/>
              <w:rPr>
                <w:sz w:val="24"/>
                <w:szCs w:val="24"/>
                <w:color w:val="auto"/>
              </w:rPr>
            </w:pPr>
          </w:p>
        </w:tc>
        <w:tc>
          <w:tcPr>
            <w:tcW w:w="140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Age</w:t>
            </w:r>
          </w:p>
        </w:tc>
        <w:tc>
          <w:tcPr>
            <w:tcW w:w="144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61</w:t>
            </w:r>
          </w:p>
        </w:tc>
        <w:tc>
          <w:tcPr>
            <w:tcW w:w="100" w:type="dxa"/>
            <w:vAlign w:val="bottom"/>
            <w:shd w:val="clear" w:color="auto" w:fill="FBF9EC"/>
          </w:tcPr>
          <w:p>
            <w:pPr>
              <w:spacing w:after="0"/>
              <w:rPr>
                <w:sz w:val="24"/>
                <w:szCs w:val="24"/>
                <w:color w:val="auto"/>
              </w:rPr>
            </w:pPr>
          </w:p>
        </w:tc>
      </w:tr>
      <w:tr>
        <w:trPr>
          <w:trHeight w:val="68"/>
        </w:trPr>
        <w:tc>
          <w:tcPr>
            <w:tcW w:w="140" w:type="dxa"/>
            <w:vAlign w:val="bottom"/>
            <w:tcBorders>
              <w:bottom w:val="single" w:sz="8" w:color="FBF9EC"/>
            </w:tcBorders>
            <w:shd w:val="clear" w:color="auto" w:fill="FBF9EC"/>
          </w:tcPr>
          <w:p>
            <w:pPr>
              <w:spacing w:after="0"/>
              <w:rPr>
                <w:sz w:val="5"/>
                <w:szCs w:val="5"/>
                <w:color w:val="auto"/>
              </w:rPr>
            </w:pPr>
          </w:p>
        </w:tc>
        <w:tc>
          <w:tcPr>
            <w:tcW w:w="1400" w:type="dxa"/>
            <w:vAlign w:val="bottom"/>
            <w:tcBorders>
              <w:bottom w:val="single" w:sz="8" w:color="auto"/>
            </w:tcBorders>
            <w:shd w:val="clear" w:color="auto" w:fill="FBF9EC"/>
          </w:tcPr>
          <w:p>
            <w:pPr>
              <w:spacing w:after="0"/>
              <w:rPr>
                <w:sz w:val="5"/>
                <w:szCs w:val="5"/>
                <w:color w:val="auto"/>
              </w:rPr>
            </w:pPr>
          </w:p>
        </w:tc>
        <w:tc>
          <w:tcPr>
            <w:tcW w:w="1440" w:type="dxa"/>
            <w:vAlign w:val="bottom"/>
            <w:tcBorders>
              <w:bottom w:val="single" w:sz="8" w:color="auto"/>
            </w:tcBorders>
            <w:shd w:val="clear" w:color="auto" w:fill="FBF9EC"/>
          </w:tcPr>
          <w:p>
            <w:pPr>
              <w:spacing w:after="0"/>
              <w:rPr>
                <w:sz w:val="5"/>
                <w:szCs w:val="5"/>
                <w:color w:val="auto"/>
              </w:rPr>
            </w:pPr>
          </w:p>
        </w:tc>
        <w:tc>
          <w:tcPr>
            <w:tcW w:w="100" w:type="dxa"/>
            <w:vAlign w:val="bottom"/>
            <w:tcBorders>
              <w:bottom w:val="single" w:sz="8" w:color="FBF9EC"/>
            </w:tcBorders>
            <w:shd w:val="clear" w:color="auto" w:fill="FBF9EC"/>
          </w:tcPr>
          <w:p>
            <w:pPr>
              <w:spacing w:after="0"/>
              <w:rPr>
                <w:sz w:val="5"/>
                <w:szCs w:val="5"/>
                <w:color w:val="auto"/>
              </w:rPr>
            </w:pPr>
          </w:p>
        </w:tc>
      </w:tr>
      <w:tr>
        <w:trPr>
          <w:trHeight w:val="312"/>
        </w:trPr>
        <w:tc>
          <w:tcPr>
            <w:tcW w:w="140" w:type="dxa"/>
            <w:vAlign w:val="bottom"/>
            <w:shd w:val="clear" w:color="auto" w:fill="FBF9EC"/>
          </w:tcPr>
          <w:p>
            <w:pPr>
              <w:spacing w:after="0"/>
              <w:rPr>
                <w:sz w:val="24"/>
                <w:szCs w:val="24"/>
                <w:color w:val="auto"/>
              </w:rPr>
            </w:pPr>
          </w:p>
        </w:tc>
        <w:tc>
          <w:tcPr>
            <w:tcW w:w="140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Board Committees:</w:t>
            </w:r>
          </w:p>
        </w:tc>
        <w:tc>
          <w:tcPr>
            <w:tcW w:w="15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Compensation</w:t>
            </w:r>
          </w:p>
        </w:tc>
      </w:tr>
      <w:tr>
        <w:trPr>
          <w:trHeight w:val="130"/>
        </w:trPr>
        <w:tc>
          <w:tcPr>
            <w:tcW w:w="140" w:type="dxa"/>
            <w:vAlign w:val="bottom"/>
            <w:shd w:val="clear" w:color="auto" w:fill="FBF9EC"/>
          </w:tcPr>
          <w:p>
            <w:pPr>
              <w:spacing w:after="0"/>
              <w:rPr>
                <w:sz w:val="11"/>
                <w:szCs w:val="11"/>
                <w:color w:val="auto"/>
              </w:rPr>
            </w:pPr>
          </w:p>
        </w:tc>
        <w:tc>
          <w:tcPr>
            <w:tcW w:w="1400" w:type="dxa"/>
            <w:vAlign w:val="bottom"/>
            <w:shd w:val="clear" w:color="auto" w:fill="FBF9EC"/>
          </w:tcPr>
          <w:p>
            <w:pPr>
              <w:spacing w:after="0"/>
              <w:rPr>
                <w:sz w:val="11"/>
                <w:szCs w:val="11"/>
                <w:color w:val="auto"/>
              </w:rPr>
            </w:pPr>
          </w:p>
        </w:tc>
        <w:tc>
          <w:tcPr>
            <w:tcW w:w="1540" w:type="dxa"/>
            <w:vAlign w:val="bottom"/>
            <w:gridSpan w:val="2"/>
            <w:shd w:val="clear" w:color="auto" w:fill="FBF9EC"/>
          </w:tcPr>
          <w:p>
            <w:pPr>
              <w:ind w:left="40"/>
              <w:spacing w:after="0" w:line="130" w:lineRule="exact"/>
              <w:rPr>
                <w:sz w:val="20"/>
                <w:szCs w:val="20"/>
                <w:color w:val="auto"/>
              </w:rPr>
            </w:pPr>
            <w:r>
              <w:rPr>
                <w:rFonts w:ascii="Arial" w:cs="Arial" w:eastAsia="Arial" w:hAnsi="Arial"/>
                <w:sz w:val="12"/>
                <w:szCs w:val="12"/>
                <w:color w:val="333D3F"/>
              </w:rPr>
              <w:t>Nominating and</w:t>
            </w:r>
          </w:p>
        </w:tc>
      </w:tr>
      <w:tr>
        <w:trPr>
          <w:trHeight w:val="146"/>
        </w:trPr>
        <w:tc>
          <w:tcPr>
            <w:tcW w:w="140" w:type="dxa"/>
            <w:vAlign w:val="bottom"/>
            <w:shd w:val="clear" w:color="auto" w:fill="FBF9EC"/>
          </w:tcPr>
          <w:p>
            <w:pPr>
              <w:spacing w:after="0"/>
              <w:rPr>
                <w:sz w:val="12"/>
                <w:szCs w:val="12"/>
                <w:color w:val="auto"/>
              </w:rPr>
            </w:pPr>
          </w:p>
        </w:tc>
        <w:tc>
          <w:tcPr>
            <w:tcW w:w="1400" w:type="dxa"/>
            <w:vAlign w:val="bottom"/>
            <w:shd w:val="clear" w:color="auto" w:fill="FBF9EC"/>
          </w:tcPr>
          <w:p>
            <w:pPr>
              <w:spacing w:after="0"/>
              <w:rPr>
                <w:sz w:val="12"/>
                <w:szCs w:val="12"/>
                <w:color w:val="auto"/>
              </w:rPr>
            </w:pPr>
          </w:p>
        </w:tc>
        <w:tc>
          <w:tcPr>
            <w:tcW w:w="15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Corporate Governance</w:t>
            </w:r>
          </w:p>
        </w:tc>
      </w:tr>
      <w:tr>
        <w:trPr>
          <w:trHeight w:val="237"/>
        </w:trPr>
        <w:tc>
          <w:tcPr>
            <w:tcW w:w="140" w:type="dxa"/>
            <w:vAlign w:val="bottom"/>
            <w:shd w:val="clear" w:color="auto" w:fill="FBF9EC"/>
          </w:tcPr>
          <w:p>
            <w:pPr>
              <w:spacing w:after="0"/>
              <w:rPr>
                <w:sz w:val="20"/>
                <w:szCs w:val="20"/>
                <w:color w:val="auto"/>
              </w:rPr>
            </w:pPr>
          </w:p>
        </w:tc>
        <w:tc>
          <w:tcPr>
            <w:tcW w:w="1400" w:type="dxa"/>
            <w:vAlign w:val="bottom"/>
            <w:shd w:val="clear" w:color="auto" w:fill="FBF9EC"/>
          </w:tcPr>
          <w:p>
            <w:pPr>
              <w:spacing w:after="0"/>
              <w:rPr>
                <w:sz w:val="20"/>
                <w:szCs w:val="20"/>
                <w:color w:val="auto"/>
              </w:rPr>
            </w:pPr>
          </w:p>
        </w:tc>
        <w:tc>
          <w:tcPr>
            <w:tcW w:w="1440" w:type="dxa"/>
            <w:vAlign w:val="bottom"/>
            <w:shd w:val="clear" w:color="auto" w:fill="FBF9EC"/>
          </w:tcPr>
          <w:p>
            <w:pPr>
              <w:spacing w:after="0"/>
              <w:rPr>
                <w:sz w:val="20"/>
                <w:szCs w:val="20"/>
                <w:color w:val="auto"/>
              </w:rPr>
            </w:pPr>
          </w:p>
        </w:tc>
        <w:tc>
          <w:tcPr>
            <w:tcW w:w="100" w:type="dxa"/>
            <w:vAlign w:val="bottom"/>
            <w:shd w:val="clear" w:color="auto" w:fill="FBF9E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-2692400</wp:posOffset>
            </wp:positionV>
            <wp:extent cx="1932940" cy="1371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32940"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PREVIOUS EXPERIENCE</w:t>
      </w:r>
    </w:p>
    <w:p>
      <w:pPr>
        <w:spacing w:after="0" w:line="16" w:lineRule="exact"/>
        <w:rPr>
          <w:sz w:val="20"/>
          <w:szCs w:val="20"/>
          <w:color w:val="auto"/>
        </w:rPr>
      </w:pPr>
    </w:p>
    <w:p>
      <w:pPr>
        <w:ind w:left="160" w:right="340" w:hanging="172"/>
        <w:spacing w:after="0" w:line="239" w:lineRule="auto"/>
        <w:rPr>
          <w:sz w:val="20"/>
          <w:szCs w:val="20"/>
          <w:color w:val="auto"/>
        </w:rPr>
      </w:pPr>
      <w:r>
        <w:rPr>
          <w:rFonts w:ascii="Arial" w:cs="Arial" w:eastAsia="Arial" w:hAnsi="Arial"/>
          <w:sz w:val="14"/>
          <w:szCs w:val="14"/>
          <w:color w:val="auto"/>
        </w:rPr>
        <w:t>–   September 2010 to June 2014: Managing Director, Strategic Communications and Public Affairs Practice, Glover Park Group</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–   1994 to 2010: Political analyst, commentator and writer</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–   January 1993 to December 1994: White House Press Secretary</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Ms. Myers is the author of the 2008 New York Times best-selling book, </w:t>
      </w:r>
      <w:r>
        <w:rPr>
          <w:rFonts w:ascii="Arial" w:cs="Arial" w:eastAsia="Arial" w:hAnsi="Arial"/>
          <w:sz w:val="13"/>
          <w:szCs w:val="13"/>
          <w:i w:val="1"/>
          <w:iCs w:val="1"/>
          <w:color w:val="auto"/>
        </w:rPr>
        <w:t>“Why Women Should Rule the World”</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EDUCATION</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Ms. Myers graduated with a B.S. from Santa Clara University.</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EXPERTISE</w:t>
      </w:r>
    </w:p>
    <w:p>
      <w:pPr>
        <w:spacing w:after="0" w:line="16" w:lineRule="exact"/>
        <w:rPr>
          <w:sz w:val="20"/>
          <w:szCs w:val="20"/>
          <w:color w:val="auto"/>
        </w:rPr>
      </w:pPr>
    </w:p>
    <w:p>
      <w:pPr>
        <w:ind w:right="520"/>
        <w:spacing w:after="0" w:line="236" w:lineRule="auto"/>
        <w:rPr>
          <w:sz w:val="20"/>
          <w:szCs w:val="20"/>
          <w:color w:val="auto"/>
        </w:rPr>
      </w:pPr>
      <w:r>
        <w:rPr>
          <w:rFonts w:ascii="Arial" w:cs="Arial" w:eastAsia="Arial" w:hAnsi="Arial"/>
          <w:sz w:val="14"/>
          <w:szCs w:val="14"/>
          <w:color w:val="auto"/>
        </w:rPr>
        <w:t>Ms. Myers has extensive experience in both the public and private sectors, as a C-Suite executive, senior government official and board member. She brings to our Board expertise in strategic growth, policy and governance and corporate communications strategies, including media relations, crisis and reputation management, executive communications, corporate responsibility, and philanthropy.</w:t>
      </w:r>
    </w:p>
    <w:p>
      <w:pPr>
        <w:spacing w:after="0" w:line="1800" w:lineRule="exact"/>
        <w:rPr>
          <w:sz w:val="20"/>
          <w:szCs w:val="20"/>
          <w:color w:val="auto"/>
        </w:rPr>
      </w:pPr>
    </w:p>
    <w:p>
      <w:pPr>
        <w:sectPr>
          <w:pgSz w:w="11900" w:h="16838" w:orient="portrait"/>
          <w:cols w:equalWidth="0" w:num="2">
            <w:col w:w="3400" w:space="580"/>
            <w:col w:w="6960"/>
          </w:cols>
          <w:pgMar w:left="320" w:top="473" w:right="639" w:bottom="1440" w:gutter="0" w:footer="0" w:header="0"/>
          <w:type w:val="continuous"/>
        </w:sectPr>
      </w:pPr>
    </w:p>
    <w:p>
      <w:pPr>
        <w:ind w:left="320"/>
        <w:spacing w:after="0"/>
        <w:rPr>
          <w:sz w:val="20"/>
          <w:szCs w:val="20"/>
          <w:color w:val="auto"/>
        </w:rPr>
      </w:pPr>
      <w:r>
        <w:rPr>
          <w:rFonts w:ascii="Arial" w:cs="Arial" w:eastAsia="Arial" w:hAnsi="Arial"/>
          <w:sz w:val="12"/>
          <w:szCs w:val="12"/>
          <w:b w:val="1"/>
          <w:bCs w:val="1"/>
          <w:color w:val="B3AB9D"/>
        </w:rPr>
        <w:t>SKILLS AND QUALIFICATIONS</w:t>
      </w:r>
    </w:p>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40" w:type="dxa"/>
            <w:vAlign w:val="bottom"/>
            <w:shd w:val="clear" w:color="auto" w:fill="E2E0DE"/>
          </w:tcPr>
          <w:p>
            <w:pPr>
              <w:ind w:left="60"/>
              <w:spacing w:after="0"/>
              <w:rPr>
                <w:sz w:val="20"/>
                <w:szCs w:val="20"/>
                <w:color w:val="auto"/>
              </w:rPr>
            </w:pPr>
            <w:r>
              <w:rPr>
                <w:rFonts w:ascii="Arial" w:cs="Arial" w:eastAsia="Arial" w:hAnsi="Arial"/>
                <w:sz w:val="14"/>
                <w:szCs w:val="14"/>
                <w:color w:val="auto"/>
              </w:rPr>
              <w:t>Travel, Leisure, Hospitality &amp;</w:t>
            </w:r>
          </w:p>
        </w:tc>
        <w:tc>
          <w:tcPr>
            <w:tcW w:w="8580" w:type="dxa"/>
            <w:vAlign w:val="bottom"/>
            <w:shd w:val="clear" w:color="auto" w:fill="E2E0DE"/>
          </w:tcPr>
          <w:p>
            <w:pPr>
              <w:ind w:left="220"/>
              <w:spacing w:after="0"/>
              <w:rPr>
                <w:sz w:val="20"/>
                <w:szCs w:val="20"/>
                <w:color w:val="auto"/>
              </w:rPr>
            </w:pPr>
            <w:r>
              <w:rPr>
                <w:rFonts w:ascii="Arial" w:cs="Arial" w:eastAsia="Arial" w:hAnsi="Arial"/>
                <w:sz w:val="14"/>
                <w:szCs w:val="14"/>
                <w:color w:val="auto"/>
                <w:w w:val="99"/>
              </w:rPr>
              <w:t>Ms. Myers served as the Executive Vice President, Worldwide Corporate Communications and Public Affairs for Warner Bros., a broad-</w:t>
            </w:r>
          </w:p>
        </w:tc>
      </w:tr>
      <w:tr>
        <w:trPr>
          <w:trHeight w:val="178"/>
        </w:trPr>
        <w:tc>
          <w:tcPr>
            <w:tcW w:w="2040" w:type="dxa"/>
            <w:vAlign w:val="bottom"/>
            <w:shd w:val="clear" w:color="auto" w:fill="E2E0DE"/>
          </w:tcPr>
          <w:p>
            <w:pPr>
              <w:ind w:left="60"/>
              <w:spacing w:after="0"/>
              <w:rPr>
                <w:sz w:val="20"/>
                <w:szCs w:val="20"/>
                <w:color w:val="auto"/>
              </w:rPr>
            </w:pPr>
            <w:r>
              <w:rPr>
                <w:rFonts w:ascii="Arial" w:cs="Arial" w:eastAsia="Arial" w:hAnsi="Arial"/>
                <w:sz w:val="14"/>
                <w:szCs w:val="14"/>
                <w:color w:val="auto"/>
              </w:rPr>
              <w:t>Entertainment</w:t>
            </w:r>
          </w:p>
        </w:tc>
        <w:tc>
          <w:tcPr>
            <w:tcW w:w="8580" w:type="dxa"/>
            <w:vAlign w:val="bottom"/>
            <w:shd w:val="clear" w:color="auto" w:fill="E2E0DE"/>
          </w:tcPr>
          <w:p>
            <w:pPr>
              <w:ind w:left="220"/>
              <w:spacing w:after="0"/>
              <w:rPr>
                <w:sz w:val="20"/>
                <w:szCs w:val="20"/>
                <w:color w:val="auto"/>
              </w:rPr>
            </w:pPr>
            <w:r>
              <w:rPr>
                <w:rFonts w:ascii="Arial" w:cs="Arial" w:eastAsia="Arial" w:hAnsi="Arial"/>
                <w:sz w:val="14"/>
                <w:szCs w:val="14"/>
                <w:color w:val="auto"/>
              </w:rPr>
              <w:t>based global entertainment company.</w:t>
            </w:r>
          </w:p>
        </w:tc>
      </w:tr>
      <w:tr>
        <w:trPr>
          <w:trHeight w:val="176"/>
        </w:trPr>
        <w:tc>
          <w:tcPr>
            <w:tcW w:w="2040" w:type="dxa"/>
            <w:vAlign w:val="bottom"/>
          </w:tcPr>
          <w:p>
            <w:pPr>
              <w:ind w:left="60"/>
              <w:spacing w:after="0"/>
              <w:rPr>
                <w:sz w:val="20"/>
                <w:szCs w:val="20"/>
                <w:color w:val="auto"/>
              </w:rPr>
            </w:pPr>
            <w:r>
              <w:rPr>
                <w:rFonts w:ascii="Arial" w:cs="Arial" w:eastAsia="Arial" w:hAnsi="Arial"/>
                <w:sz w:val="14"/>
                <w:szCs w:val="14"/>
                <w:color w:val="auto"/>
              </w:rPr>
              <w:t>Public Company C-Suite</w:t>
            </w:r>
          </w:p>
        </w:tc>
        <w:tc>
          <w:tcPr>
            <w:tcW w:w="8580" w:type="dxa"/>
            <w:vAlign w:val="bottom"/>
          </w:tcPr>
          <w:p>
            <w:pPr>
              <w:ind w:left="220"/>
              <w:spacing w:after="0"/>
              <w:rPr>
                <w:sz w:val="20"/>
                <w:szCs w:val="20"/>
                <w:color w:val="auto"/>
              </w:rPr>
            </w:pPr>
            <w:r>
              <w:rPr>
                <w:rFonts w:ascii="Arial" w:cs="Arial" w:eastAsia="Arial" w:hAnsi="Arial"/>
                <w:sz w:val="14"/>
                <w:szCs w:val="14"/>
                <w:color w:val="auto"/>
              </w:rPr>
              <w:t>Ms. Myers served as the Executive Vice President, Worldwide Corporate Communications and Public Affairs for Warner Bros.</w:t>
            </w:r>
          </w:p>
        </w:tc>
      </w:tr>
      <w:tr>
        <w:trPr>
          <w:trHeight w:val="167"/>
        </w:trPr>
        <w:tc>
          <w:tcPr>
            <w:tcW w:w="2040" w:type="dxa"/>
            <w:vAlign w:val="bottom"/>
            <w:shd w:val="clear" w:color="auto" w:fill="E2E0DE"/>
          </w:tcPr>
          <w:p>
            <w:pPr>
              <w:ind w:left="60"/>
              <w:spacing w:after="0"/>
              <w:rPr>
                <w:sz w:val="20"/>
                <w:szCs w:val="20"/>
                <w:color w:val="auto"/>
              </w:rPr>
            </w:pPr>
            <w:r>
              <w:rPr>
                <w:rFonts w:ascii="Arial" w:cs="Arial" w:eastAsia="Arial" w:hAnsi="Arial"/>
                <w:sz w:val="14"/>
                <w:szCs w:val="14"/>
                <w:color w:val="auto"/>
              </w:rPr>
              <w:t>International Politics</w:t>
            </w:r>
          </w:p>
        </w:tc>
        <w:tc>
          <w:tcPr>
            <w:tcW w:w="8580" w:type="dxa"/>
            <w:vAlign w:val="bottom"/>
            <w:shd w:val="clear" w:color="auto" w:fill="E2E0DE"/>
          </w:tcPr>
          <w:p>
            <w:pPr>
              <w:ind w:left="220"/>
              <w:spacing w:after="0"/>
              <w:rPr>
                <w:sz w:val="20"/>
                <w:szCs w:val="20"/>
                <w:color w:val="auto"/>
              </w:rPr>
            </w:pPr>
            <w:r>
              <w:rPr>
                <w:rFonts w:ascii="Arial" w:cs="Arial" w:eastAsia="Arial" w:hAnsi="Arial"/>
                <w:sz w:val="14"/>
                <w:szCs w:val="14"/>
                <w:color w:val="auto"/>
                <w:w w:val="99"/>
              </w:rPr>
              <w:t>Ms. Myers served as the White House Press Secretary for President William J. Clinton, the official spokesperson of the President of the</w:t>
            </w:r>
          </w:p>
        </w:tc>
      </w:tr>
      <w:tr>
        <w:trPr>
          <w:trHeight w:val="156"/>
        </w:trPr>
        <w:tc>
          <w:tcPr>
            <w:tcW w:w="2040" w:type="dxa"/>
            <w:vAlign w:val="bottom"/>
            <w:shd w:val="clear" w:color="auto" w:fill="E2E0DE"/>
          </w:tcPr>
          <w:p>
            <w:pPr>
              <w:spacing w:after="0"/>
              <w:rPr>
                <w:sz w:val="13"/>
                <w:szCs w:val="13"/>
                <w:color w:val="auto"/>
              </w:rPr>
            </w:pPr>
          </w:p>
        </w:tc>
        <w:tc>
          <w:tcPr>
            <w:tcW w:w="8580" w:type="dxa"/>
            <w:vAlign w:val="bottom"/>
            <w:shd w:val="clear" w:color="auto" w:fill="E2E0DE"/>
          </w:tcPr>
          <w:p>
            <w:pPr>
              <w:ind w:left="220"/>
              <w:spacing w:after="0" w:line="156" w:lineRule="exact"/>
              <w:rPr>
                <w:sz w:val="20"/>
                <w:szCs w:val="20"/>
                <w:color w:val="auto"/>
              </w:rPr>
            </w:pPr>
            <w:r>
              <w:rPr>
                <w:rFonts w:ascii="Arial" w:cs="Arial" w:eastAsia="Arial" w:hAnsi="Arial"/>
                <w:sz w:val="14"/>
                <w:szCs w:val="14"/>
                <w:color w:val="auto"/>
                <w:w w:val="99"/>
              </w:rPr>
              <w:t>United States. In that position she was responsible for communicating the administration’s positions on foreign and domestic issues to a</w:t>
            </w:r>
          </w:p>
        </w:tc>
      </w:tr>
      <w:tr>
        <w:trPr>
          <w:trHeight w:val="156"/>
        </w:trPr>
        <w:tc>
          <w:tcPr>
            <w:tcW w:w="2040" w:type="dxa"/>
            <w:vAlign w:val="bottom"/>
            <w:shd w:val="clear" w:color="auto" w:fill="E2E0DE"/>
          </w:tcPr>
          <w:p>
            <w:pPr>
              <w:spacing w:after="0"/>
              <w:rPr>
                <w:sz w:val="13"/>
                <w:szCs w:val="13"/>
                <w:color w:val="auto"/>
              </w:rPr>
            </w:pPr>
          </w:p>
        </w:tc>
        <w:tc>
          <w:tcPr>
            <w:tcW w:w="8580" w:type="dxa"/>
            <w:vAlign w:val="bottom"/>
            <w:shd w:val="clear" w:color="auto" w:fill="E2E0DE"/>
          </w:tcPr>
          <w:p>
            <w:pPr>
              <w:ind w:left="220"/>
              <w:spacing w:after="0" w:line="156" w:lineRule="exact"/>
              <w:rPr>
                <w:sz w:val="20"/>
                <w:szCs w:val="20"/>
                <w:color w:val="auto"/>
              </w:rPr>
            </w:pPr>
            <w:r>
              <w:rPr>
                <w:rFonts w:ascii="Arial" w:cs="Arial" w:eastAsia="Arial" w:hAnsi="Arial"/>
                <w:sz w:val="14"/>
                <w:szCs w:val="14"/>
                <w:color w:val="auto"/>
              </w:rPr>
              <w:t>global audience. She also met regularly with international government officials to help navigate market access and regulatory issues</w:t>
            </w:r>
          </w:p>
        </w:tc>
      </w:tr>
      <w:tr>
        <w:trPr>
          <w:trHeight w:val="178"/>
        </w:trPr>
        <w:tc>
          <w:tcPr>
            <w:tcW w:w="2040" w:type="dxa"/>
            <w:vAlign w:val="bottom"/>
            <w:shd w:val="clear" w:color="auto" w:fill="E2E0DE"/>
          </w:tcPr>
          <w:p>
            <w:pPr>
              <w:spacing w:after="0"/>
              <w:rPr>
                <w:sz w:val="15"/>
                <w:szCs w:val="15"/>
                <w:color w:val="auto"/>
              </w:rPr>
            </w:pPr>
          </w:p>
        </w:tc>
        <w:tc>
          <w:tcPr>
            <w:tcW w:w="8580" w:type="dxa"/>
            <w:vAlign w:val="bottom"/>
            <w:shd w:val="clear" w:color="auto" w:fill="E2E0DE"/>
          </w:tcPr>
          <w:p>
            <w:pPr>
              <w:ind w:left="220"/>
              <w:spacing w:after="0"/>
              <w:rPr>
                <w:sz w:val="20"/>
                <w:szCs w:val="20"/>
                <w:color w:val="auto"/>
              </w:rPr>
            </w:pPr>
            <w:r>
              <w:rPr>
                <w:rFonts w:ascii="Arial" w:cs="Arial" w:eastAsia="Arial" w:hAnsi="Arial"/>
                <w:sz w:val="14"/>
                <w:szCs w:val="14"/>
                <w:color w:val="auto"/>
              </w:rPr>
              <w:t>while at Warner Bros.</w:t>
            </w:r>
          </w:p>
        </w:tc>
      </w:tr>
      <w:tr>
        <w:trPr>
          <w:trHeight w:val="161"/>
        </w:trPr>
        <w:tc>
          <w:tcPr>
            <w:tcW w:w="2040" w:type="dxa"/>
            <w:vAlign w:val="bottom"/>
          </w:tcPr>
          <w:p>
            <w:pPr>
              <w:ind w:left="60"/>
              <w:spacing w:after="0"/>
              <w:rPr>
                <w:sz w:val="20"/>
                <w:szCs w:val="20"/>
                <w:color w:val="auto"/>
              </w:rPr>
            </w:pPr>
            <w:r>
              <w:rPr>
                <w:rFonts w:ascii="Arial" w:cs="Arial" w:eastAsia="Arial" w:hAnsi="Arial"/>
                <w:sz w:val="14"/>
                <w:szCs w:val="14"/>
                <w:color w:val="auto"/>
              </w:rPr>
              <w:t>ESG</w:t>
            </w:r>
          </w:p>
        </w:tc>
        <w:tc>
          <w:tcPr>
            <w:tcW w:w="8580" w:type="dxa"/>
            <w:vAlign w:val="bottom"/>
          </w:tcPr>
          <w:p>
            <w:pPr>
              <w:ind w:left="220"/>
              <w:spacing w:after="0"/>
              <w:rPr>
                <w:sz w:val="20"/>
                <w:szCs w:val="20"/>
                <w:color w:val="auto"/>
              </w:rPr>
            </w:pPr>
            <w:r>
              <w:rPr>
                <w:rFonts w:ascii="Arial" w:cs="Arial" w:eastAsia="Arial" w:hAnsi="Arial"/>
                <w:sz w:val="14"/>
                <w:szCs w:val="14"/>
                <w:color w:val="auto"/>
              </w:rPr>
              <w:t>Ms. Myers led corporate responsibility and philanthropy initiatives at Warner Bros. and advised numerous international and domestic</w:t>
            </w:r>
          </w:p>
        </w:tc>
      </w:tr>
      <w:tr>
        <w:trPr>
          <w:trHeight w:val="166"/>
        </w:trPr>
        <w:tc>
          <w:tcPr>
            <w:tcW w:w="2040" w:type="dxa"/>
            <w:vAlign w:val="bottom"/>
          </w:tcPr>
          <w:p>
            <w:pPr>
              <w:spacing w:after="0"/>
              <w:rPr>
                <w:sz w:val="14"/>
                <w:szCs w:val="14"/>
                <w:color w:val="auto"/>
              </w:rPr>
            </w:pPr>
          </w:p>
        </w:tc>
        <w:tc>
          <w:tcPr>
            <w:tcW w:w="8580" w:type="dxa"/>
            <w:vAlign w:val="bottom"/>
          </w:tcPr>
          <w:p>
            <w:pPr>
              <w:ind w:left="220"/>
              <w:spacing w:after="0"/>
              <w:rPr>
                <w:sz w:val="20"/>
                <w:szCs w:val="20"/>
                <w:color w:val="auto"/>
              </w:rPr>
            </w:pPr>
            <w:r>
              <w:rPr>
                <w:rFonts w:ascii="Arial" w:cs="Arial" w:eastAsia="Arial" w:hAnsi="Arial"/>
                <w:sz w:val="14"/>
                <w:szCs w:val="14"/>
                <w:color w:val="auto"/>
              </w:rPr>
              <w:t>clients on meeting their social and governance objectives at the Grover Park Group.</w:t>
            </w:r>
          </w:p>
        </w:tc>
      </w:tr>
      <w:tr>
        <w:trPr>
          <w:trHeight w:val="325"/>
        </w:trPr>
        <w:tc>
          <w:tcPr>
            <w:tcW w:w="2040" w:type="dxa"/>
            <w:vAlign w:val="bottom"/>
          </w:tcPr>
          <w:p>
            <w:pPr>
              <w:spacing w:after="0"/>
              <w:rPr>
                <w:sz w:val="20"/>
                <w:szCs w:val="20"/>
                <w:color w:val="auto"/>
              </w:rPr>
            </w:pPr>
            <w:r>
              <w:rPr>
                <w:rFonts w:ascii="Arial" w:cs="Arial" w:eastAsia="Arial" w:hAnsi="Arial"/>
                <w:sz w:val="10"/>
                <w:szCs w:val="10"/>
                <w:b w:val="1"/>
                <w:bCs w:val="1"/>
                <w:color w:val="auto"/>
              </w:rPr>
              <w:t>2023 PROXY STATEMENT</w:t>
            </w:r>
          </w:p>
        </w:tc>
        <w:tc>
          <w:tcPr>
            <w:tcW w:w="8580" w:type="dxa"/>
            <w:vAlign w:val="bottom"/>
          </w:tcPr>
          <w:p>
            <w:pPr>
              <w:ind w:left="3200"/>
              <w:spacing w:after="0"/>
              <w:rPr>
                <w:sz w:val="20"/>
                <w:szCs w:val="20"/>
                <w:color w:val="auto"/>
              </w:rPr>
            </w:pPr>
            <w:r>
              <w:rPr>
                <w:rFonts w:ascii="Arial" w:cs="Arial" w:eastAsia="Arial" w:hAnsi="Arial"/>
                <w:sz w:val="14"/>
                <w:szCs w:val="14"/>
                <w:color w:val="auto"/>
              </w:rPr>
              <w:t>// 8 //</w:t>
            </w:r>
          </w:p>
        </w:tc>
      </w:tr>
    </w:tbl>
    <w:p>
      <w:pPr>
        <w:sectPr>
          <w:pgSz w:w="11900" w:h="16838" w:orient="portrait"/>
          <w:cols w:equalWidth="0" w:num="1">
            <w:col w:w="10940"/>
          </w:cols>
          <w:pgMar w:left="320" w:top="473" w:right="6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 xml:space="preserve">Clark T. Randt Jr. </w:t>
      </w:r>
      <w:r>
        <w:rPr>
          <w:rFonts w:ascii="Arial" w:cs="Arial" w:eastAsia="Arial" w:hAnsi="Arial"/>
          <w:sz w:val="13"/>
          <w:szCs w:val="13"/>
          <w:b w:val="1"/>
          <w:bCs w:val="1"/>
          <w:i w:val="1"/>
          <w:iCs w:val="1"/>
          <w:color w:val="333D3F"/>
        </w:rPr>
        <w:t>President, Randt &amp; Co. LLC</w:t>
      </w:r>
    </w:p>
    <w:p>
      <w:pPr>
        <w:spacing w:after="0" w:line="229" w:lineRule="exact"/>
        <w:rPr>
          <w:sz w:val="20"/>
          <w:szCs w:val="20"/>
          <w:color w:val="auto"/>
        </w:rPr>
      </w:pPr>
    </w:p>
    <w:p>
      <w:pPr>
        <w:ind w:left="320"/>
        <w:spacing w:after="0" w:line="237" w:lineRule="auto"/>
        <w:rPr>
          <w:sz w:val="20"/>
          <w:szCs w:val="20"/>
          <w:color w:val="auto"/>
        </w:rPr>
      </w:pPr>
      <w:r>
        <w:rPr>
          <w:rFonts w:ascii="Arial" w:cs="Arial" w:eastAsia="Arial" w:hAnsi="Arial"/>
          <w:sz w:val="14"/>
          <w:szCs w:val="14"/>
          <w:color w:val="auto"/>
        </w:rPr>
        <w:t>Ambassador Randt is currently President of Randt &amp; Co. LLC, which advises firms with interests in China. Ambassador Randt has been a Director of Valmont Industries since February 2009. Ambassador Randt is also a member of the Council on Foreign Relations. Ambassador Randt is a member of the New York State Bar Association, was admitted to the Hong Kong Bar Association, and has over 25 years of experience in cross-border corporate and finance transactions.</w:t>
      </w:r>
    </w:p>
    <w:p>
      <w:pPr>
        <w:spacing w:after="0" w:line="175" w:lineRule="exact"/>
        <w:rPr>
          <w:sz w:val="20"/>
          <w:szCs w:val="20"/>
          <w:color w:val="auto"/>
        </w:rPr>
      </w:pPr>
    </w:p>
    <w:p>
      <w:pPr>
        <w:ind w:left="3980"/>
        <w:spacing w:after="0"/>
        <w:rPr>
          <w:sz w:val="20"/>
          <w:szCs w:val="20"/>
          <w:color w:val="auto"/>
        </w:rPr>
      </w:pPr>
      <w:r>
        <w:rPr>
          <w:rFonts w:ascii="Arial" w:cs="Arial" w:eastAsia="Arial" w:hAnsi="Arial"/>
          <w:sz w:val="12"/>
          <w:szCs w:val="12"/>
          <w:b w:val="1"/>
          <w:bCs w:val="1"/>
          <w:color w:val="B3AB9D"/>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-74295</wp:posOffset>
            </wp:positionV>
            <wp:extent cx="1932940" cy="1371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32940" cy="1371600"/>
                    </a:xfrm>
                    <a:prstGeom prst="rect">
                      <a:avLst/>
                    </a:prstGeom>
                    <a:noFill/>
                  </pic:spPr>
                </pic:pic>
              </a:graphicData>
            </a:graphic>
          </wp:anchor>
        </w:drawing>
      </w:r>
    </w:p>
    <w:p>
      <w:pPr>
        <w:ind w:left="3980" w:right="2120"/>
        <w:spacing w:after="0" w:line="355" w:lineRule="auto"/>
        <w:rPr>
          <w:sz w:val="20"/>
          <w:szCs w:val="20"/>
          <w:color w:val="auto"/>
        </w:rPr>
      </w:pPr>
      <w:r>
        <w:rPr>
          <w:rFonts w:ascii="Arial" w:cs="Arial" w:eastAsia="Arial" w:hAnsi="Arial"/>
          <w:sz w:val="14"/>
          <w:szCs w:val="14"/>
          <w:color w:val="auto"/>
        </w:rPr>
        <w:t>–   2001 to 2009: United States Ambassador to the People’s Republic of China –   Previously, partner at Shearman &amp; Sterling, head of China practice</w:t>
      </w:r>
    </w:p>
    <w:p>
      <w:pPr>
        <w:spacing w:after="0" w:line="85" w:lineRule="exact"/>
        <w:rPr>
          <w:sz w:val="20"/>
          <w:szCs w:val="20"/>
          <w:color w:val="auto"/>
        </w:rPr>
      </w:pPr>
    </w:p>
    <w:p>
      <w:pPr>
        <w:ind w:left="3980"/>
        <w:spacing w:after="0"/>
        <w:rPr>
          <w:sz w:val="20"/>
          <w:szCs w:val="20"/>
          <w:color w:val="auto"/>
        </w:rPr>
      </w:pPr>
      <w:r>
        <w:rPr>
          <w:rFonts w:ascii="Arial" w:cs="Arial" w:eastAsia="Arial" w:hAnsi="Arial"/>
          <w:sz w:val="12"/>
          <w:szCs w:val="12"/>
          <w:b w:val="1"/>
          <w:bCs w:val="1"/>
          <w:color w:val="B3AB9D"/>
        </w:rPr>
        <w:t>EDUCATION</w:t>
      </w:r>
    </w:p>
    <w:p>
      <w:pPr>
        <w:spacing w:after="0" w:line="16" w:lineRule="exact"/>
        <w:rPr>
          <w:sz w:val="20"/>
          <w:szCs w:val="20"/>
          <w:color w:val="auto"/>
        </w:rPr>
      </w:pPr>
    </w:p>
    <w:p>
      <w:pPr>
        <w:ind w:left="3980" w:right="200"/>
        <w:spacing w:after="0" w:line="239" w:lineRule="auto"/>
        <w:rPr>
          <w:sz w:val="20"/>
          <w:szCs w:val="20"/>
          <w:color w:val="auto"/>
        </w:rPr>
      </w:pPr>
      <w:r>
        <w:rPr>
          <w:rFonts w:ascii="Arial" w:cs="Arial" w:eastAsia="Arial" w:hAnsi="Arial"/>
          <w:sz w:val="14"/>
          <w:szCs w:val="14"/>
          <w:color w:val="auto"/>
        </w:rPr>
        <w:t>Ambassador Randt graduated with a B.A. from Yale University, and has a J.D. from the University of Michigan Law School.</w:t>
      </w:r>
    </w:p>
    <w:p>
      <w:pPr>
        <w:spacing w:after="0" w:line="162" w:lineRule="exact"/>
        <w:rPr>
          <w:sz w:val="20"/>
          <w:szCs w:val="20"/>
          <w:color w:val="auto"/>
        </w:rPr>
      </w:pPr>
    </w:p>
    <w:p>
      <w:pPr>
        <w:ind w:left="3980"/>
        <w:spacing w:after="0"/>
        <w:rPr>
          <w:sz w:val="20"/>
          <w:szCs w:val="20"/>
          <w:color w:val="auto"/>
        </w:rPr>
      </w:pPr>
      <w:r>
        <w:rPr>
          <w:rFonts w:ascii="Arial" w:cs="Arial" w:eastAsia="Arial" w:hAnsi="Arial"/>
          <w:sz w:val="12"/>
          <w:szCs w:val="12"/>
          <w:b w:val="1"/>
          <w:bCs w:val="1"/>
          <w:color w:val="B3AB9D"/>
        </w:rPr>
        <w:t>EXPERTISE</w:t>
      </w:r>
    </w:p>
    <w:p>
      <w:pPr>
        <w:spacing w:after="0" w:line="16" w:lineRule="exact"/>
        <w:rPr>
          <w:sz w:val="20"/>
          <w:szCs w:val="20"/>
          <w:color w:val="auto"/>
        </w:rPr>
      </w:pPr>
    </w:p>
    <w:p>
      <w:pPr>
        <w:ind w:left="3980" w:right="280"/>
        <w:spacing w:after="0" w:line="236" w:lineRule="auto"/>
        <w:rPr>
          <w:sz w:val="20"/>
          <w:szCs w:val="20"/>
          <w:color w:val="auto"/>
        </w:rPr>
      </w:pPr>
      <w:r>
        <w:rPr>
          <w:rFonts w:ascii="Arial" w:cs="Arial" w:eastAsia="Arial" w:hAnsi="Arial"/>
          <w:sz w:val="14"/>
          <w:szCs w:val="14"/>
          <w:color w:val="auto"/>
        </w:rPr>
        <w:t>Ambassador Randt’s service as the U.S. Ambassador to the People’s Republic of China and his ongoing expertise regarding China give him a unique perspective on international business and foreign policy issues. Additionally, his fluency in Mandarin Chinese and extensive China experience make him well-suited to meaningfully contribute to the Board’s oversight of the Company’s operations in Macau.</w:t>
      </w:r>
    </w:p>
    <w:p>
      <w:pPr>
        <w:spacing w:after="0" w:line="39" w:lineRule="exact"/>
        <w:rPr>
          <w:sz w:val="20"/>
          <w:szCs w:val="20"/>
          <w:color w:val="auto"/>
        </w:rPr>
      </w:pPr>
    </w:p>
    <w:tbl>
      <w:tblPr>
        <w:tblLayout w:type="fixed"/>
        <w:tblInd w:w="320" w:type="dxa"/>
        <w:tblCellMar>
          <w:top w:w="0" w:type="dxa"/>
          <w:left w:w="0" w:type="dxa"/>
          <w:bottom w:w="0" w:type="dxa"/>
          <w:right w:w="0" w:type="dxa"/>
        </w:tblCellMar>
      </w:tblPr>
      <w:tr>
        <w:trPr>
          <w:trHeight w:val="335"/>
        </w:trPr>
        <w:tc>
          <w:tcPr>
            <w:tcW w:w="160" w:type="dxa"/>
            <w:vAlign w:val="bottom"/>
            <w:shd w:val="clear" w:color="auto" w:fill="FBF9EC"/>
          </w:tcPr>
          <w:p>
            <w:pPr>
              <w:spacing w:after="0"/>
              <w:rPr>
                <w:sz w:val="24"/>
                <w:szCs w:val="24"/>
                <w:color w:val="auto"/>
              </w:rPr>
            </w:pPr>
          </w:p>
        </w:tc>
        <w:tc>
          <w:tcPr>
            <w:tcW w:w="130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Director Since</w:t>
            </w:r>
          </w:p>
        </w:tc>
        <w:tc>
          <w:tcPr>
            <w:tcW w:w="160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October 2015</w:t>
            </w:r>
          </w:p>
        </w:tc>
      </w:tr>
      <w:tr>
        <w:trPr>
          <w:trHeight w:val="68"/>
        </w:trPr>
        <w:tc>
          <w:tcPr>
            <w:tcW w:w="160" w:type="dxa"/>
            <w:vAlign w:val="bottom"/>
            <w:tcBorders>
              <w:bottom w:val="single" w:sz="8" w:color="FBF9EC"/>
            </w:tcBorders>
            <w:shd w:val="clear" w:color="auto" w:fill="FBF9EC"/>
          </w:tcPr>
          <w:p>
            <w:pPr>
              <w:spacing w:after="0"/>
              <w:rPr>
                <w:sz w:val="5"/>
                <w:szCs w:val="5"/>
                <w:color w:val="auto"/>
              </w:rPr>
            </w:pPr>
          </w:p>
        </w:tc>
        <w:tc>
          <w:tcPr>
            <w:tcW w:w="1300" w:type="dxa"/>
            <w:vAlign w:val="bottom"/>
            <w:tcBorders>
              <w:bottom w:val="single" w:sz="8" w:color="auto"/>
            </w:tcBorders>
            <w:shd w:val="clear" w:color="auto" w:fill="FBF9EC"/>
          </w:tcPr>
          <w:p>
            <w:pPr>
              <w:spacing w:after="0"/>
              <w:rPr>
                <w:sz w:val="5"/>
                <w:szCs w:val="5"/>
                <w:color w:val="auto"/>
              </w:rPr>
            </w:pPr>
          </w:p>
        </w:tc>
        <w:tc>
          <w:tcPr>
            <w:tcW w:w="1480" w:type="dxa"/>
            <w:vAlign w:val="bottom"/>
            <w:tcBorders>
              <w:bottom w:val="single" w:sz="8" w:color="auto"/>
            </w:tcBorders>
            <w:shd w:val="clear" w:color="auto" w:fill="FBF9EC"/>
          </w:tcPr>
          <w:p>
            <w:pPr>
              <w:spacing w:after="0"/>
              <w:rPr>
                <w:sz w:val="5"/>
                <w:szCs w:val="5"/>
                <w:color w:val="auto"/>
              </w:rPr>
            </w:pPr>
          </w:p>
        </w:tc>
        <w:tc>
          <w:tcPr>
            <w:tcW w:w="120" w:type="dxa"/>
            <w:vAlign w:val="bottom"/>
            <w:tcBorders>
              <w:bottom w:val="single" w:sz="8" w:color="FBF9EC"/>
            </w:tcBorders>
            <w:shd w:val="clear" w:color="auto" w:fill="FBF9EC"/>
          </w:tcPr>
          <w:p>
            <w:pPr>
              <w:spacing w:after="0"/>
              <w:rPr>
                <w:sz w:val="5"/>
                <w:szCs w:val="5"/>
                <w:color w:val="auto"/>
              </w:rPr>
            </w:pPr>
          </w:p>
        </w:tc>
      </w:tr>
      <w:tr>
        <w:trPr>
          <w:trHeight w:val="328"/>
        </w:trPr>
        <w:tc>
          <w:tcPr>
            <w:tcW w:w="160" w:type="dxa"/>
            <w:vAlign w:val="bottom"/>
            <w:shd w:val="clear" w:color="auto" w:fill="FBF9EC"/>
          </w:tcPr>
          <w:p>
            <w:pPr>
              <w:spacing w:after="0"/>
              <w:rPr>
                <w:sz w:val="24"/>
                <w:szCs w:val="24"/>
                <w:color w:val="auto"/>
              </w:rPr>
            </w:pPr>
          </w:p>
        </w:tc>
        <w:tc>
          <w:tcPr>
            <w:tcW w:w="130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Term Expires</w:t>
            </w:r>
          </w:p>
        </w:tc>
        <w:tc>
          <w:tcPr>
            <w:tcW w:w="160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2023 Annual Meeting</w:t>
            </w:r>
          </w:p>
        </w:tc>
      </w:tr>
      <w:tr>
        <w:trPr>
          <w:trHeight w:val="68"/>
        </w:trPr>
        <w:tc>
          <w:tcPr>
            <w:tcW w:w="160" w:type="dxa"/>
            <w:vAlign w:val="bottom"/>
            <w:tcBorders>
              <w:bottom w:val="single" w:sz="8" w:color="FBF9EC"/>
            </w:tcBorders>
            <w:shd w:val="clear" w:color="auto" w:fill="FBF9EC"/>
          </w:tcPr>
          <w:p>
            <w:pPr>
              <w:spacing w:after="0"/>
              <w:rPr>
                <w:sz w:val="5"/>
                <w:szCs w:val="5"/>
                <w:color w:val="auto"/>
              </w:rPr>
            </w:pPr>
          </w:p>
        </w:tc>
        <w:tc>
          <w:tcPr>
            <w:tcW w:w="1300" w:type="dxa"/>
            <w:vAlign w:val="bottom"/>
            <w:tcBorders>
              <w:bottom w:val="single" w:sz="8" w:color="auto"/>
            </w:tcBorders>
            <w:shd w:val="clear" w:color="auto" w:fill="FBF9EC"/>
          </w:tcPr>
          <w:p>
            <w:pPr>
              <w:spacing w:after="0"/>
              <w:rPr>
                <w:sz w:val="5"/>
                <w:szCs w:val="5"/>
                <w:color w:val="auto"/>
              </w:rPr>
            </w:pPr>
          </w:p>
        </w:tc>
        <w:tc>
          <w:tcPr>
            <w:tcW w:w="1480" w:type="dxa"/>
            <w:vAlign w:val="bottom"/>
            <w:tcBorders>
              <w:bottom w:val="single" w:sz="8" w:color="auto"/>
            </w:tcBorders>
            <w:shd w:val="clear" w:color="auto" w:fill="FBF9EC"/>
          </w:tcPr>
          <w:p>
            <w:pPr>
              <w:spacing w:after="0"/>
              <w:rPr>
                <w:sz w:val="5"/>
                <w:szCs w:val="5"/>
                <w:color w:val="auto"/>
              </w:rPr>
            </w:pPr>
          </w:p>
        </w:tc>
        <w:tc>
          <w:tcPr>
            <w:tcW w:w="120" w:type="dxa"/>
            <w:vAlign w:val="bottom"/>
            <w:tcBorders>
              <w:bottom w:val="single" w:sz="8" w:color="FBF9EC"/>
            </w:tcBorders>
            <w:shd w:val="clear" w:color="auto" w:fill="FBF9EC"/>
          </w:tcPr>
          <w:p>
            <w:pPr>
              <w:spacing w:after="0"/>
              <w:rPr>
                <w:sz w:val="5"/>
                <w:szCs w:val="5"/>
                <w:color w:val="auto"/>
              </w:rPr>
            </w:pPr>
          </w:p>
        </w:tc>
      </w:tr>
      <w:tr>
        <w:trPr>
          <w:trHeight w:val="328"/>
        </w:trPr>
        <w:tc>
          <w:tcPr>
            <w:tcW w:w="160" w:type="dxa"/>
            <w:vAlign w:val="bottom"/>
            <w:shd w:val="clear" w:color="auto" w:fill="FBF9EC"/>
          </w:tcPr>
          <w:p>
            <w:pPr>
              <w:spacing w:after="0"/>
              <w:rPr>
                <w:sz w:val="24"/>
                <w:szCs w:val="24"/>
                <w:color w:val="auto"/>
              </w:rPr>
            </w:pPr>
          </w:p>
        </w:tc>
        <w:tc>
          <w:tcPr>
            <w:tcW w:w="130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Age</w:t>
            </w:r>
          </w:p>
        </w:tc>
        <w:tc>
          <w:tcPr>
            <w:tcW w:w="148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76</w:t>
            </w:r>
          </w:p>
        </w:tc>
        <w:tc>
          <w:tcPr>
            <w:tcW w:w="120" w:type="dxa"/>
            <w:vAlign w:val="bottom"/>
            <w:shd w:val="clear" w:color="auto" w:fill="FBF9EC"/>
          </w:tcPr>
          <w:p>
            <w:pPr>
              <w:spacing w:after="0"/>
              <w:rPr>
                <w:sz w:val="24"/>
                <w:szCs w:val="24"/>
                <w:color w:val="auto"/>
              </w:rPr>
            </w:pPr>
          </w:p>
        </w:tc>
      </w:tr>
      <w:tr>
        <w:trPr>
          <w:trHeight w:val="68"/>
        </w:trPr>
        <w:tc>
          <w:tcPr>
            <w:tcW w:w="160" w:type="dxa"/>
            <w:vAlign w:val="bottom"/>
            <w:tcBorders>
              <w:bottom w:val="single" w:sz="8" w:color="FBF9EC"/>
            </w:tcBorders>
            <w:shd w:val="clear" w:color="auto" w:fill="FBF9EC"/>
          </w:tcPr>
          <w:p>
            <w:pPr>
              <w:spacing w:after="0"/>
              <w:rPr>
                <w:sz w:val="5"/>
                <w:szCs w:val="5"/>
                <w:color w:val="auto"/>
              </w:rPr>
            </w:pPr>
          </w:p>
        </w:tc>
        <w:tc>
          <w:tcPr>
            <w:tcW w:w="1300" w:type="dxa"/>
            <w:vAlign w:val="bottom"/>
            <w:tcBorders>
              <w:bottom w:val="single" w:sz="8" w:color="auto"/>
            </w:tcBorders>
            <w:shd w:val="clear" w:color="auto" w:fill="FBF9EC"/>
          </w:tcPr>
          <w:p>
            <w:pPr>
              <w:spacing w:after="0"/>
              <w:rPr>
                <w:sz w:val="5"/>
                <w:szCs w:val="5"/>
                <w:color w:val="auto"/>
              </w:rPr>
            </w:pPr>
          </w:p>
        </w:tc>
        <w:tc>
          <w:tcPr>
            <w:tcW w:w="1480" w:type="dxa"/>
            <w:vAlign w:val="bottom"/>
            <w:tcBorders>
              <w:bottom w:val="single" w:sz="8" w:color="auto"/>
            </w:tcBorders>
            <w:shd w:val="clear" w:color="auto" w:fill="FBF9EC"/>
          </w:tcPr>
          <w:p>
            <w:pPr>
              <w:spacing w:after="0"/>
              <w:rPr>
                <w:sz w:val="5"/>
                <w:szCs w:val="5"/>
                <w:color w:val="auto"/>
              </w:rPr>
            </w:pPr>
          </w:p>
        </w:tc>
        <w:tc>
          <w:tcPr>
            <w:tcW w:w="120" w:type="dxa"/>
            <w:vAlign w:val="bottom"/>
            <w:tcBorders>
              <w:bottom w:val="single" w:sz="8" w:color="FBF9EC"/>
            </w:tcBorders>
            <w:shd w:val="clear" w:color="auto" w:fill="FBF9EC"/>
          </w:tcPr>
          <w:p>
            <w:pPr>
              <w:spacing w:after="0"/>
              <w:rPr>
                <w:sz w:val="5"/>
                <w:szCs w:val="5"/>
                <w:color w:val="auto"/>
              </w:rPr>
            </w:pPr>
          </w:p>
        </w:tc>
      </w:tr>
      <w:tr>
        <w:trPr>
          <w:trHeight w:val="328"/>
        </w:trPr>
        <w:tc>
          <w:tcPr>
            <w:tcW w:w="160" w:type="dxa"/>
            <w:vAlign w:val="bottom"/>
            <w:shd w:val="clear" w:color="auto" w:fill="FBF9EC"/>
          </w:tcPr>
          <w:p>
            <w:pPr>
              <w:spacing w:after="0"/>
              <w:rPr>
                <w:sz w:val="24"/>
                <w:szCs w:val="24"/>
                <w:color w:val="auto"/>
              </w:rPr>
            </w:pPr>
          </w:p>
        </w:tc>
        <w:tc>
          <w:tcPr>
            <w:tcW w:w="130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Board Committees</w:t>
            </w:r>
          </w:p>
        </w:tc>
        <w:tc>
          <w:tcPr>
            <w:tcW w:w="160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Compensation</w:t>
            </w:r>
          </w:p>
        </w:tc>
      </w:tr>
      <w:tr>
        <w:trPr>
          <w:trHeight w:val="237"/>
        </w:trPr>
        <w:tc>
          <w:tcPr>
            <w:tcW w:w="160" w:type="dxa"/>
            <w:vAlign w:val="bottom"/>
            <w:shd w:val="clear" w:color="auto" w:fill="FBF9EC"/>
          </w:tcPr>
          <w:p>
            <w:pPr>
              <w:spacing w:after="0"/>
              <w:rPr>
                <w:sz w:val="20"/>
                <w:szCs w:val="20"/>
                <w:color w:val="auto"/>
              </w:rPr>
            </w:pPr>
          </w:p>
        </w:tc>
        <w:tc>
          <w:tcPr>
            <w:tcW w:w="1300" w:type="dxa"/>
            <w:vAlign w:val="bottom"/>
            <w:shd w:val="clear" w:color="auto" w:fill="FBF9EC"/>
          </w:tcPr>
          <w:p>
            <w:pPr>
              <w:spacing w:after="0"/>
              <w:rPr>
                <w:sz w:val="20"/>
                <w:szCs w:val="20"/>
                <w:color w:val="auto"/>
              </w:rPr>
            </w:pPr>
          </w:p>
        </w:tc>
        <w:tc>
          <w:tcPr>
            <w:tcW w:w="1480" w:type="dxa"/>
            <w:vAlign w:val="bottom"/>
            <w:shd w:val="clear" w:color="auto" w:fill="FBF9EC"/>
          </w:tcPr>
          <w:p>
            <w:pPr>
              <w:spacing w:after="0"/>
              <w:rPr>
                <w:sz w:val="20"/>
                <w:szCs w:val="20"/>
                <w:color w:val="auto"/>
              </w:rPr>
            </w:pPr>
          </w:p>
        </w:tc>
        <w:tc>
          <w:tcPr>
            <w:tcW w:w="120" w:type="dxa"/>
            <w:vAlign w:val="bottom"/>
            <w:shd w:val="clear" w:color="auto" w:fill="FBF9EC"/>
          </w:tcPr>
          <w:p>
            <w:pPr>
              <w:spacing w:after="0"/>
              <w:rPr>
                <w:sz w:val="20"/>
                <w:szCs w:val="20"/>
                <w:color w:val="auto"/>
              </w:rPr>
            </w:pPr>
          </w:p>
        </w:tc>
      </w:tr>
    </w:tbl>
    <w:p>
      <w:pPr>
        <w:spacing w:after="0" w:line="14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 9 //</w:t>
      </w:r>
    </w:p>
    <w:p>
      <w:pPr>
        <w:sectPr>
          <w:pgSz w:w="11900" w:h="16838" w:orient="portrait"/>
          <w:cols w:equalWidth="0" w:num="1">
            <w:col w:w="10900"/>
          </w:cols>
          <w:pgMar w:left="320" w:top="473" w:right="67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 xml:space="preserve">Philip G. Satre </w:t>
      </w:r>
      <w:r>
        <w:rPr>
          <w:rFonts w:ascii="Arial" w:cs="Arial" w:eastAsia="Arial" w:hAnsi="Arial"/>
          <w:sz w:val="13"/>
          <w:szCs w:val="13"/>
          <w:b w:val="1"/>
          <w:bCs w:val="1"/>
          <w:i w:val="1"/>
          <w:iCs w:val="1"/>
          <w:color w:val="333D3F"/>
        </w:rPr>
        <w:t>Retired</w:t>
      </w:r>
    </w:p>
    <w:p>
      <w:pPr>
        <w:spacing w:after="0" w:line="229" w:lineRule="exact"/>
        <w:rPr>
          <w:sz w:val="20"/>
          <w:szCs w:val="20"/>
          <w:color w:val="auto"/>
        </w:rPr>
      </w:pPr>
    </w:p>
    <w:p>
      <w:pPr>
        <w:ind w:left="320" w:right="20"/>
        <w:spacing w:after="0" w:line="236" w:lineRule="auto"/>
        <w:rPr>
          <w:sz w:val="20"/>
          <w:szCs w:val="20"/>
          <w:color w:val="auto"/>
        </w:rPr>
      </w:pPr>
      <w:r>
        <w:rPr>
          <w:rFonts w:ascii="Arial" w:cs="Arial" w:eastAsia="Arial" w:hAnsi="Arial"/>
          <w:sz w:val="14"/>
          <w:szCs w:val="14"/>
          <w:color w:val="auto"/>
        </w:rPr>
        <w:t>Mr. Satre has served as the Non-Executive Chair of the Board since November 2018 and joined the Board as Vice-Chair in August 2018. In the not-for-profit sector, Mr. Satre is President Emeritus of the International Center for Responsible Gaming; a Trustee of The National World War II Museum; serves on the Board of the National Automobile Museum - The Harrah Collection in Reno, Nevada; is Co-Founder and Chair of the Kenny Guinn Center for Policy Priorities and served on the Stanford Alumni Association Board of Directors until June 2022.</w:t>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320" w:type="dxa"/>
        <w:tblCellMar>
          <w:top w:w="0" w:type="dxa"/>
          <w:left w:w="0" w:type="dxa"/>
          <w:bottom w:w="0" w:type="dxa"/>
          <w:right w:w="0" w:type="dxa"/>
        </w:tblCellMar>
      </w:tblPr>
      <w:tr>
        <w:trPr>
          <w:trHeight w:val="335"/>
        </w:trPr>
        <w:tc>
          <w:tcPr>
            <w:tcW w:w="140" w:type="dxa"/>
            <w:vAlign w:val="bottom"/>
            <w:shd w:val="clear" w:color="auto" w:fill="FBF9EC"/>
          </w:tcPr>
          <w:p>
            <w:pPr>
              <w:spacing w:after="0"/>
              <w:rPr>
                <w:sz w:val="24"/>
                <w:szCs w:val="24"/>
                <w:color w:val="auto"/>
              </w:rPr>
            </w:pPr>
          </w:p>
        </w:tc>
        <w:tc>
          <w:tcPr>
            <w:tcW w:w="136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Director Since</w:t>
            </w:r>
          </w:p>
        </w:tc>
        <w:tc>
          <w:tcPr>
            <w:tcW w:w="158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August 2018</w:t>
            </w:r>
          </w:p>
        </w:tc>
      </w:tr>
      <w:tr>
        <w:trPr>
          <w:trHeight w:val="68"/>
        </w:trPr>
        <w:tc>
          <w:tcPr>
            <w:tcW w:w="140" w:type="dxa"/>
            <w:vAlign w:val="bottom"/>
            <w:tcBorders>
              <w:bottom w:val="single" w:sz="8" w:color="FBF9EC"/>
            </w:tcBorders>
            <w:shd w:val="clear" w:color="auto" w:fill="FBF9EC"/>
          </w:tcPr>
          <w:p>
            <w:pPr>
              <w:spacing w:after="0"/>
              <w:rPr>
                <w:sz w:val="5"/>
                <w:szCs w:val="5"/>
                <w:color w:val="auto"/>
              </w:rPr>
            </w:pPr>
          </w:p>
        </w:tc>
        <w:tc>
          <w:tcPr>
            <w:tcW w:w="1360" w:type="dxa"/>
            <w:vAlign w:val="bottom"/>
            <w:tcBorders>
              <w:bottom w:val="single" w:sz="8" w:color="auto"/>
            </w:tcBorders>
            <w:shd w:val="clear" w:color="auto" w:fill="FBF9EC"/>
          </w:tcPr>
          <w:p>
            <w:pPr>
              <w:spacing w:after="0"/>
              <w:rPr>
                <w:sz w:val="5"/>
                <w:szCs w:val="5"/>
                <w:color w:val="auto"/>
              </w:rPr>
            </w:pPr>
          </w:p>
        </w:tc>
        <w:tc>
          <w:tcPr>
            <w:tcW w:w="1480" w:type="dxa"/>
            <w:vAlign w:val="bottom"/>
            <w:tcBorders>
              <w:bottom w:val="single" w:sz="8" w:color="auto"/>
            </w:tcBorders>
            <w:shd w:val="clear" w:color="auto" w:fill="FBF9EC"/>
          </w:tcPr>
          <w:p>
            <w:pPr>
              <w:spacing w:after="0"/>
              <w:rPr>
                <w:sz w:val="5"/>
                <w:szCs w:val="5"/>
                <w:color w:val="auto"/>
              </w:rPr>
            </w:pPr>
          </w:p>
        </w:tc>
        <w:tc>
          <w:tcPr>
            <w:tcW w:w="100" w:type="dxa"/>
            <w:vAlign w:val="bottom"/>
            <w:tcBorders>
              <w:bottom w:val="single" w:sz="8" w:color="FBF9EC"/>
            </w:tcBorders>
            <w:shd w:val="clear" w:color="auto" w:fill="FBF9EC"/>
          </w:tcPr>
          <w:p>
            <w:pPr>
              <w:spacing w:after="0"/>
              <w:rPr>
                <w:sz w:val="5"/>
                <w:szCs w:val="5"/>
                <w:color w:val="auto"/>
              </w:rPr>
            </w:pPr>
          </w:p>
        </w:tc>
      </w:tr>
      <w:tr>
        <w:trPr>
          <w:trHeight w:val="328"/>
        </w:trPr>
        <w:tc>
          <w:tcPr>
            <w:tcW w:w="140" w:type="dxa"/>
            <w:vAlign w:val="bottom"/>
            <w:shd w:val="clear" w:color="auto" w:fill="FBF9EC"/>
          </w:tcPr>
          <w:p>
            <w:pPr>
              <w:spacing w:after="0"/>
              <w:rPr>
                <w:sz w:val="24"/>
                <w:szCs w:val="24"/>
                <w:color w:val="auto"/>
              </w:rPr>
            </w:pPr>
          </w:p>
        </w:tc>
        <w:tc>
          <w:tcPr>
            <w:tcW w:w="136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Term Expires</w:t>
            </w:r>
          </w:p>
        </w:tc>
        <w:tc>
          <w:tcPr>
            <w:tcW w:w="158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2023 Annual Meeting</w:t>
            </w:r>
          </w:p>
        </w:tc>
      </w:tr>
      <w:tr>
        <w:trPr>
          <w:trHeight w:val="68"/>
        </w:trPr>
        <w:tc>
          <w:tcPr>
            <w:tcW w:w="140" w:type="dxa"/>
            <w:vAlign w:val="bottom"/>
            <w:tcBorders>
              <w:bottom w:val="single" w:sz="8" w:color="FBF9EC"/>
            </w:tcBorders>
            <w:shd w:val="clear" w:color="auto" w:fill="FBF9EC"/>
          </w:tcPr>
          <w:p>
            <w:pPr>
              <w:spacing w:after="0"/>
              <w:rPr>
                <w:sz w:val="5"/>
                <w:szCs w:val="5"/>
                <w:color w:val="auto"/>
              </w:rPr>
            </w:pPr>
          </w:p>
        </w:tc>
        <w:tc>
          <w:tcPr>
            <w:tcW w:w="1360" w:type="dxa"/>
            <w:vAlign w:val="bottom"/>
            <w:tcBorders>
              <w:bottom w:val="single" w:sz="8" w:color="auto"/>
            </w:tcBorders>
            <w:shd w:val="clear" w:color="auto" w:fill="FBF9EC"/>
          </w:tcPr>
          <w:p>
            <w:pPr>
              <w:spacing w:after="0"/>
              <w:rPr>
                <w:sz w:val="5"/>
                <w:szCs w:val="5"/>
                <w:color w:val="auto"/>
              </w:rPr>
            </w:pPr>
          </w:p>
        </w:tc>
        <w:tc>
          <w:tcPr>
            <w:tcW w:w="1480" w:type="dxa"/>
            <w:vAlign w:val="bottom"/>
            <w:tcBorders>
              <w:bottom w:val="single" w:sz="8" w:color="auto"/>
            </w:tcBorders>
            <w:shd w:val="clear" w:color="auto" w:fill="FBF9EC"/>
          </w:tcPr>
          <w:p>
            <w:pPr>
              <w:spacing w:after="0"/>
              <w:rPr>
                <w:sz w:val="5"/>
                <w:szCs w:val="5"/>
                <w:color w:val="auto"/>
              </w:rPr>
            </w:pPr>
          </w:p>
        </w:tc>
        <w:tc>
          <w:tcPr>
            <w:tcW w:w="100" w:type="dxa"/>
            <w:vAlign w:val="bottom"/>
            <w:tcBorders>
              <w:bottom w:val="single" w:sz="8" w:color="FBF9EC"/>
            </w:tcBorders>
            <w:shd w:val="clear" w:color="auto" w:fill="FBF9EC"/>
          </w:tcPr>
          <w:p>
            <w:pPr>
              <w:spacing w:after="0"/>
              <w:rPr>
                <w:sz w:val="5"/>
                <w:szCs w:val="5"/>
                <w:color w:val="auto"/>
              </w:rPr>
            </w:pPr>
          </w:p>
        </w:tc>
      </w:tr>
      <w:tr>
        <w:trPr>
          <w:trHeight w:val="328"/>
        </w:trPr>
        <w:tc>
          <w:tcPr>
            <w:tcW w:w="140" w:type="dxa"/>
            <w:vAlign w:val="bottom"/>
            <w:shd w:val="clear" w:color="auto" w:fill="FBF9EC"/>
          </w:tcPr>
          <w:p>
            <w:pPr>
              <w:spacing w:after="0"/>
              <w:rPr>
                <w:sz w:val="24"/>
                <w:szCs w:val="24"/>
                <w:color w:val="auto"/>
              </w:rPr>
            </w:pPr>
          </w:p>
        </w:tc>
        <w:tc>
          <w:tcPr>
            <w:tcW w:w="136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Age</w:t>
            </w:r>
          </w:p>
        </w:tc>
        <w:tc>
          <w:tcPr>
            <w:tcW w:w="148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73</w:t>
            </w:r>
          </w:p>
        </w:tc>
        <w:tc>
          <w:tcPr>
            <w:tcW w:w="100" w:type="dxa"/>
            <w:vAlign w:val="bottom"/>
            <w:shd w:val="clear" w:color="auto" w:fill="FBF9EC"/>
          </w:tcPr>
          <w:p>
            <w:pPr>
              <w:spacing w:after="0"/>
              <w:rPr>
                <w:sz w:val="24"/>
                <w:szCs w:val="24"/>
                <w:color w:val="auto"/>
              </w:rPr>
            </w:pPr>
          </w:p>
        </w:tc>
      </w:tr>
      <w:tr>
        <w:trPr>
          <w:trHeight w:val="68"/>
        </w:trPr>
        <w:tc>
          <w:tcPr>
            <w:tcW w:w="140" w:type="dxa"/>
            <w:vAlign w:val="bottom"/>
            <w:tcBorders>
              <w:bottom w:val="single" w:sz="8" w:color="FBF9EC"/>
            </w:tcBorders>
            <w:shd w:val="clear" w:color="auto" w:fill="FBF9EC"/>
          </w:tcPr>
          <w:p>
            <w:pPr>
              <w:spacing w:after="0"/>
              <w:rPr>
                <w:sz w:val="5"/>
                <w:szCs w:val="5"/>
                <w:color w:val="auto"/>
              </w:rPr>
            </w:pPr>
          </w:p>
        </w:tc>
        <w:tc>
          <w:tcPr>
            <w:tcW w:w="1360" w:type="dxa"/>
            <w:vAlign w:val="bottom"/>
            <w:tcBorders>
              <w:bottom w:val="single" w:sz="8" w:color="auto"/>
            </w:tcBorders>
            <w:shd w:val="clear" w:color="auto" w:fill="FBF9EC"/>
          </w:tcPr>
          <w:p>
            <w:pPr>
              <w:spacing w:after="0"/>
              <w:rPr>
                <w:sz w:val="5"/>
                <w:szCs w:val="5"/>
                <w:color w:val="auto"/>
              </w:rPr>
            </w:pPr>
          </w:p>
        </w:tc>
        <w:tc>
          <w:tcPr>
            <w:tcW w:w="1480" w:type="dxa"/>
            <w:vAlign w:val="bottom"/>
            <w:tcBorders>
              <w:bottom w:val="single" w:sz="8" w:color="auto"/>
            </w:tcBorders>
            <w:shd w:val="clear" w:color="auto" w:fill="FBF9EC"/>
          </w:tcPr>
          <w:p>
            <w:pPr>
              <w:spacing w:after="0"/>
              <w:rPr>
                <w:sz w:val="5"/>
                <w:szCs w:val="5"/>
                <w:color w:val="auto"/>
              </w:rPr>
            </w:pPr>
          </w:p>
        </w:tc>
        <w:tc>
          <w:tcPr>
            <w:tcW w:w="100" w:type="dxa"/>
            <w:vAlign w:val="bottom"/>
            <w:tcBorders>
              <w:bottom w:val="single" w:sz="8" w:color="FBF9EC"/>
            </w:tcBorders>
            <w:shd w:val="clear" w:color="auto" w:fill="FBF9EC"/>
          </w:tcPr>
          <w:p>
            <w:pPr>
              <w:spacing w:after="0"/>
              <w:rPr>
                <w:sz w:val="5"/>
                <w:szCs w:val="5"/>
                <w:color w:val="auto"/>
              </w:rPr>
            </w:pPr>
          </w:p>
        </w:tc>
      </w:tr>
      <w:tr>
        <w:trPr>
          <w:trHeight w:val="312"/>
        </w:trPr>
        <w:tc>
          <w:tcPr>
            <w:tcW w:w="140" w:type="dxa"/>
            <w:vAlign w:val="bottom"/>
            <w:shd w:val="clear" w:color="auto" w:fill="FBF9EC"/>
          </w:tcPr>
          <w:p>
            <w:pPr>
              <w:spacing w:after="0"/>
              <w:rPr>
                <w:sz w:val="24"/>
                <w:szCs w:val="24"/>
                <w:color w:val="auto"/>
              </w:rPr>
            </w:pPr>
          </w:p>
        </w:tc>
        <w:tc>
          <w:tcPr>
            <w:tcW w:w="136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Board Committees</w:t>
            </w:r>
          </w:p>
        </w:tc>
        <w:tc>
          <w:tcPr>
            <w:tcW w:w="158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Nominating and Corporate</w:t>
            </w:r>
          </w:p>
        </w:tc>
      </w:tr>
      <w:tr>
        <w:trPr>
          <w:trHeight w:val="146"/>
        </w:trPr>
        <w:tc>
          <w:tcPr>
            <w:tcW w:w="140" w:type="dxa"/>
            <w:vAlign w:val="bottom"/>
            <w:shd w:val="clear" w:color="auto" w:fill="FBF9EC"/>
          </w:tcPr>
          <w:p>
            <w:pPr>
              <w:spacing w:after="0"/>
              <w:rPr>
                <w:sz w:val="12"/>
                <w:szCs w:val="12"/>
                <w:color w:val="auto"/>
              </w:rPr>
            </w:pPr>
          </w:p>
        </w:tc>
        <w:tc>
          <w:tcPr>
            <w:tcW w:w="1360" w:type="dxa"/>
            <w:vAlign w:val="bottom"/>
            <w:shd w:val="clear" w:color="auto" w:fill="FBF9EC"/>
          </w:tcPr>
          <w:p>
            <w:pPr>
              <w:spacing w:after="0"/>
              <w:rPr>
                <w:sz w:val="12"/>
                <w:szCs w:val="12"/>
                <w:color w:val="auto"/>
              </w:rPr>
            </w:pPr>
          </w:p>
        </w:tc>
        <w:tc>
          <w:tcPr>
            <w:tcW w:w="158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Governance</w:t>
            </w:r>
          </w:p>
        </w:tc>
      </w:tr>
      <w:tr>
        <w:trPr>
          <w:trHeight w:val="159"/>
        </w:trPr>
        <w:tc>
          <w:tcPr>
            <w:tcW w:w="140" w:type="dxa"/>
            <w:vAlign w:val="bottom"/>
            <w:shd w:val="clear" w:color="auto" w:fill="FBF9EC"/>
          </w:tcPr>
          <w:p>
            <w:pPr>
              <w:spacing w:after="0"/>
              <w:rPr>
                <w:sz w:val="13"/>
                <w:szCs w:val="13"/>
                <w:color w:val="auto"/>
              </w:rPr>
            </w:pPr>
          </w:p>
        </w:tc>
        <w:tc>
          <w:tcPr>
            <w:tcW w:w="1360" w:type="dxa"/>
            <w:vAlign w:val="bottom"/>
            <w:shd w:val="clear" w:color="auto" w:fill="FBF9EC"/>
          </w:tcPr>
          <w:p>
            <w:pPr>
              <w:spacing w:after="0"/>
              <w:rPr>
                <w:sz w:val="13"/>
                <w:szCs w:val="13"/>
                <w:color w:val="auto"/>
              </w:rPr>
            </w:pPr>
          </w:p>
        </w:tc>
        <w:tc>
          <w:tcPr>
            <w:tcW w:w="1480" w:type="dxa"/>
            <w:vAlign w:val="bottom"/>
            <w:shd w:val="clear" w:color="auto" w:fill="FBF9EC"/>
          </w:tcPr>
          <w:p>
            <w:pPr>
              <w:spacing w:after="0"/>
              <w:rPr>
                <w:sz w:val="13"/>
                <w:szCs w:val="13"/>
                <w:color w:val="auto"/>
              </w:rPr>
            </w:pPr>
          </w:p>
        </w:tc>
        <w:tc>
          <w:tcPr>
            <w:tcW w:w="100" w:type="dxa"/>
            <w:vAlign w:val="bottom"/>
            <w:shd w:val="clear" w:color="auto" w:fill="FBF9E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-2560320</wp:posOffset>
            </wp:positionV>
            <wp:extent cx="1932940" cy="1371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32940"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PREVIOUS EXPERIENCE</w:t>
      </w:r>
    </w:p>
    <w:p>
      <w:pPr>
        <w:spacing w:after="0" w:line="16" w:lineRule="exact"/>
        <w:rPr>
          <w:sz w:val="20"/>
          <w:szCs w:val="20"/>
          <w:color w:val="auto"/>
        </w:rPr>
      </w:pPr>
    </w:p>
    <w:p>
      <w:pPr>
        <w:jc w:val="both"/>
        <w:ind w:left="180" w:right="440" w:hanging="172"/>
        <w:spacing w:after="0" w:line="237" w:lineRule="auto"/>
        <w:rPr>
          <w:sz w:val="20"/>
          <w:szCs w:val="20"/>
          <w:color w:val="auto"/>
        </w:rPr>
      </w:pPr>
      <w:r>
        <w:rPr>
          <w:rFonts w:ascii="Arial" w:cs="Arial" w:eastAsia="Arial" w:hAnsi="Arial"/>
          <w:sz w:val="14"/>
          <w:szCs w:val="14"/>
          <w:color w:val="auto"/>
        </w:rPr>
        <w:t>–   1980 to 2005: Various roles at Harrah’s Entertainment, Inc. with increasing responsibility, including Vice President, General Counsel and Secretary; President and Chief Executive Officer of its gaming division; culminating in service as CEO and Chair</w:t>
      </w:r>
    </w:p>
    <w:p>
      <w:pPr>
        <w:spacing w:after="0" w:line="69" w:lineRule="exact"/>
        <w:rPr>
          <w:sz w:val="20"/>
          <w:szCs w:val="20"/>
          <w:color w:val="auto"/>
        </w:rPr>
      </w:pPr>
    </w:p>
    <w:p>
      <w:pPr>
        <w:ind w:left="180" w:right="120" w:hanging="172"/>
        <w:spacing w:after="0" w:line="239" w:lineRule="auto"/>
        <w:rPr>
          <w:sz w:val="20"/>
          <w:szCs w:val="20"/>
          <w:color w:val="auto"/>
        </w:rPr>
      </w:pPr>
      <w:r>
        <w:rPr>
          <w:rFonts w:ascii="Arial" w:cs="Arial" w:eastAsia="Arial" w:hAnsi="Arial"/>
          <w:sz w:val="14"/>
          <w:szCs w:val="14"/>
          <w:color w:val="auto"/>
        </w:rPr>
        <w:t>–   Previously served on the boards of Nordstrom, Inc., International Game Technology PLC (“IGT”), NV Energy, Tabcorp Holdings Ltd. (Australia), and Rite Aid Corporation</w:t>
      </w:r>
    </w:p>
    <w:p>
      <w:pPr>
        <w:spacing w:after="0" w:line="70" w:lineRule="exact"/>
        <w:rPr>
          <w:sz w:val="20"/>
          <w:szCs w:val="20"/>
          <w:color w:val="auto"/>
        </w:rPr>
      </w:pPr>
    </w:p>
    <w:p>
      <w:pPr>
        <w:ind w:left="180" w:right="120" w:hanging="172"/>
        <w:spacing w:after="0" w:line="239" w:lineRule="auto"/>
        <w:rPr>
          <w:sz w:val="20"/>
          <w:szCs w:val="20"/>
          <w:color w:val="auto"/>
        </w:rPr>
      </w:pPr>
      <w:r>
        <w:rPr>
          <w:rFonts w:ascii="Arial" w:cs="Arial" w:eastAsia="Arial" w:hAnsi="Arial"/>
          <w:sz w:val="14"/>
          <w:szCs w:val="14"/>
          <w:color w:val="auto"/>
        </w:rPr>
        <w:t>–   Various roles in non-profits, including as Chair of the Guinn Center for Policy Priorities and Emeritus Member of the Stanford University Board of Trustees (2005 to 2010)</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EDUCATION</w:t>
      </w:r>
    </w:p>
    <w:p>
      <w:pPr>
        <w:spacing w:after="0" w:line="16" w:lineRule="exact"/>
        <w:rPr>
          <w:sz w:val="20"/>
          <w:szCs w:val="20"/>
          <w:color w:val="auto"/>
        </w:rPr>
      </w:pPr>
    </w:p>
    <w:p>
      <w:pPr>
        <w:ind w:right="180"/>
        <w:spacing w:after="0" w:line="239" w:lineRule="auto"/>
        <w:rPr>
          <w:sz w:val="20"/>
          <w:szCs w:val="20"/>
          <w:color w:val="auto"/>
        </w:rPr>
      </w:pPr>
      <w:r>
        <w:rPr>
          <w:rFonts w:ascii="Arial" w:cs="Arial" w:eastAsia="Arial" w:hAnsi="Arial"/>
          <w:sz w:val="14"/>
          <w:szCs w:val="14"/>
          <w:color w:val="auto"/>
        </w:rPr>
        <w:t>Mr. Satre graduated with a B.A. from Stanford University and a J.D. from the University of California, Davis. He attended the M.I.T. Senior Executive Development Program in Fall, 1982.</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EXPERTISE</w:t>
      </w:r>
    </w:p>
    <w:p>
      <w:pPr>
        <w:spacing w:after="0" w:line="16"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Mr. Satre’s prior experience as an executive in our industry brings the Board extensive understanding of the complex financial, regulatory, operational, and strategic challenges we face, while his prior experience as a director across a diversity of industries adds additional expertise in matters of good corporate governance and effective Board oversight.</w:t>
      </w:r>
    </w:p>
    <w:p>
      <w:pPr>
        <w:spacing w:after="0" w:line="1202" w:lineRule="exact"/>
        <w:rPr>
          <w:sz w:val="20"/>
          <w:szCs w:val="20"/>
          <w:color w:val="auto"/>
        </w:rPr>
      </w:pPr>
    </w:p>
    <w:p>
      <w:pPr>
        <w:sectPr>
          <w:pgSz w:w="11900" w:h="16838" w:orient="portrait"/>
          <w:cols w:equalWidth="0" w:num="2">
            <w:col w:w="3400" w:space="580"/>
            <w:col w:w="6960"/>
          </w:cols>
          <w:pgMar w:left="320" w:top="473" w:right="639" w:bottom="1440" w:gutter="0" w:footer="0" w:header="0"/>
          <w:type w:val="continuous"/>
        </w:sectPr>
      </w:pPr>
    </w:p>
    <w:p>
      <w:pPr>
        <w:ind w:left="320"/>
        <w:spacing w:after="0"/>
        <w:rPr>
          <w:sz w:val="20"/>
          <w:szCs w:val="20"/>
          <w:color w:val="auto"/>
        </w:rPr>
      </w:pPr>
      <w:r>
        <w:rPr>
          <w:rFonts w:ascii="Arial" w:cs="Arial" w:eastAsia="Arial" w:hAnsi="Arial"/>
          <w:sz w:val="12"/>
          <w:szCs w:val="12"/>
          <w:b w:val="1"/>
          <w:bCs w:val="1"/>
          <w:color w:val="B3AB9D"/>
        </w:rPr>
        <w:t>SKILLS AND QUALIFICATIONS</w:t>
      </w:r>
    </w:p>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40" w:type="dxa"/>
            <w:vAlign w:val="bottom"/>
            <w:shd w:val="clear" w:color="auto" w:fill="E2E0DE"/>
          </w:tcPr>
          <w:p>
            <w:pPr>
              <w:ind w:left="60"/>
              <w:spacing w:after="0"/>
              <w:rPr>
                <w:sz w:val="20"/>
                <w:szCs w:val="20"/>
                <w:color w:val="auto"/>
              </w:rPr>
            </w:pPr>
            <w:r>
              <w:rPr>
                <w:rFonts w:ascii="Arial" w:cs="Arial" w:eastAsia="Arial" w:hAnsi="Arial"/>
                <w:sz w:val="14"/>
                <w:szCs w:val="14"/>
                <w:color w:val="auto"/>
              </w:rPr>
              <w:t>Gaming or Other Regulated</w:t>
            </w:r>
          </w:p>
        </w:tc>
        <w:tc>
          <w:tcPr>
            <w:tcW w:w="8580" w:type="dxa"/>
            <w:vAlign w:val="bottom"/>
            <w:shd w:val="clear" w:color="auto" w:fill="E2E0DE"/>
          </w:tcPr>
          <w:p>
            <w:pPr>
              <w:ind w:left="220"/>
              <w:spacing w:after="0"/>
              <w:rPr>
                <w:sz w:val="20"/>
                <w:szCs w:val="20"/>
                <w:color w:val="auto"/>
              </w:rPr>
            </w:pPr>
            <w:r>
              <w:rPr>
                <w:rFonts w:ascii="Arial" w:cs="Arial" w:eastAsia="Arial" w:hAnsi="Arial"/>
                <w:sz w:val="14"/>
                <w:szCs w:val="14"/>
                <w:color w:val="auto"/>
                <w:w w:val="98"/>
              </w:rPr>
              <w:t>Harrah’s Entertainment, the publicly traded company where Mr. Satre served as the CEO and Chairman of the Board and IGT, a publicly</w:t>
            </w:r>
          </w:p>
        </w:tc>
      </w:tr>
      <w:tr>
        <w:trPr>
          <w:trHeight w:val="156"/>
        </w:trPr>
        <w:tc>
          <w:tcPr>
            <w:tcW w:w="2040" w:type="dxa"/>
            <w:vAlign w:val="bottom"/>
            <w:shd w:val="clear" w:color="auto" w:fill="E2E0DE"/>
          </w:tcPr>
          <w:p>
            <w:pPr>
              <w:ind w:left="60"/>
              <w:spacing w:after="0" w:line="156" w:lineRule="exact"/>
              <w:rPr>
                <w:sz w:val="20"/>
                <w:szCs w:val="20"/>
                <w:color w:val="auto"/>
              </w:rPr>
            </w:pPr>
            <w:r>
              <w:rPr>
                <w:rFonts w:ascii="Arial" w:cs="Arial" w:eastAsia="Arial" w:hAnsi="Arial"/>
                <w:sz w:val="14"/>
                <w:szCs w:val="14"/>
                <w:color w:val="auto"/>
              </w:rPr>
              <w:t>Industry</w:t>
            </w:r>
          </w:p>
        </w:tc>
        <w:tc>
          <w:tcPr>
            <w:tcW w:w="8580" w:type="dxa"/>
            <w:vAlign w:val="bottom"/>
            <w:shd w:val="clear" w:color="auto" w:fill="E2E0DE"/>
          </w:tcPr>
          <w:p>
            <w:pPr>
              <w:ind w:left="220"/>
              <w:spacing w:after="0" w:line="156" w:lineRule="exact"/>
              <w:rPr>
                <w:sz w:val="20"/>
                <w:szCs w:val="20"/>
                <w:color w:val="auto"/>
              </w:rPr>
            </w:pPr>
            <w:r>
              <w:rPr>
                <w:rFonts w:ascii="Arial" w:cs="Arial" w:eastAsia="Arial" w:hAnsi="Arial"/>
                <w:sz w:val="14"/>
                <w:szCs w:val="14"/>
                <w:color w:val="auto"/>
              </w:rPr>
              <w:t>traded gaming equipment manufacturer where he served as non-executive Chair of the Board, are regulated by the SEC and by the</w:t>
            </w:r>
          </w:p>
        </w:tc>
      </w:tr>
      <w:tr>
        <w:trPr>
          <w:trHeight w:val="156"/>
        </w:trPr>
        <w:tc>
          <w:tcPr>
            <w:tcW w:w="2040" w:type="dxa"/>
            <w:vAlign w:val="bottom"/>
            <w:shd w:val="clear" w:color="auto" w:fill="E2E0DE"/>
          </w:tcPr>
          <w:p>
            <w:pPr>
              <w:spacing w:after="0"/>
              <w:rPr>
                <w:sz w:val="13"/>
                <w:szCs w:val="13"/>
                <w:color w:val="auto"/>
              </w:rPr>
            </w:pPr>
          </w:p>
        </w:tc>
        <w:tc>
          <w:tcPr>
            <w:tcW w:w="8580" w:type="dxa"/>
            <w:vAlign w:val="bottom"/>
            <w:shd w:val="clear" w:color="auto" w:fill="E2E0DE"/>
          </w:tcPr>
          <w:p>
            <w:pPr>
              <w:ind w:left="220"/>
              <w:spacing w:after="0" w:line="156" w:lineRule="exact"/>
              <w:rPr>
                <w:sz w:val="20"/>
                <w:szCs w:val="20"/>
                <w:color w:val="auto"/>
              </w:rPr>
            </w:pPr>
            <w:r>
              <w:rPr>
                <w:rFonts w:ascii="Arial" w:cs="Arial" w:eastAsia="Arial" w:hAnsi="Arial"/>
                <w:sz w:val="14"/>
                <w:szCs w:val="14"/>
                <w:color w:val="auto"/>
              </w:rPr>
              <w:t>gaming regulatory agencies in the 28 jurisdictions in which Harrah’s operated casinos at the time of his retirement and the over 250</w:t>
            </w:r>
          </w:p>
        </w:tc>
      </w:tr>
      <w:tr>
        <w:trPr>
          <w:trHeight w:val="178"/>
        </w:trPr>
        <w:tc>
          <w:tcPr>
            <w:tcW w:w="2040" w:type="dxa"/>
            <w:vAlign w:val="bottom"/>
            <w:shd w:val="clear" w:color="auto" w:fill="E2E0DE"/>
          </w:tcPr>
          <w:p>
            <w:pPr>
              <w:spacing w:after="0"/>
              <w:rPr>
                <w:sz w:val="15"/>
                <w:szCs w:val="15"/>
                <w:color w:val="auto"/>
              </w:rPr>
            </w:pPr>
          </w:p>
        </w:tc>
        <w:tc>
          <w:tcPr>
            <w:tcW w:w="8580" w:type="dxa"/>
            <w:vAlign w:val="bottom"/>
            <w:shd w:val="clear" w:color="auto" w:fill="E2E0DE"/>
          </w:tcPr>
          <w:p>
            <w:pPr>
              <w:ind w:left="220"/>
              <w:spacing w:after="0"/>
              <w:rPr>
                <w:sz w:val="20"/>
                <w:szCs w:val="20"/>
                <w:color w:val="auto"/>
              </w:rPr>
            </w:pPr>
            <w:r>
              <w:rPr>
                <w:rFonts w:ascii="Arial" w:cs="Arial" w:eastAsia="Arial" w:hAnsi="Arial"/>
                <w:sz w:val="14"/>
                <w:szCs w:val="14"/>
                <w:color w:val="auto"/>
              </w:rPr>
              <w:t>jurisdictions in which IGT was licensed to manufacture gaming equipment.</w:t>
            </w:r>
          </w:p>
        </w:tc>
      </w:tr>
      <w:tr>
        <w:trPr>
          <w:trHeight w:val="161"/>
        </w:trPr>
        <w:tc>
          <w:tcPr>
            <w:tcW w:w="2040" w:type="dxa"/>
            <w:vAlign w:val="bottom"/>
          </w:tcPr>
          <w:p>
            <w:pPr>
              <w:ind w:left="60"/>
              <w:spacing w:after="0"/>
              <w:rPr>
                <w:sz w:val="20"/>
                <w:szCs w:val="20"/>
                <w:color w:val="auto"/>
              </w:rPr>
            </w:pPr>
            <w:r>
              <w:rPr>
                <w:rFonts w:ascii="Arial" w:cs="Arial" w:eastAsia="Arial" w:hAnsi="Arial"/>
                <w:sz w:val="14"/>
                <w:szCs w:val="14"/>
                <w:color w:val="auto"/>
              </w:rPr>
              <w:t>Travel, Leisure, Hospitality &amp;</w:t>
            </w:r>
          </w:p>
        </w:tc>
        <w:tc>
          <w:tcPr>
            <w:tcW w:w="8580" w:type="dxa"/>
            <w:vAlign w:val="bottom"/>
          </w:tcPr>
          <w:p>
            <w:pPr>
              <w:ind w:left="220"/>
              <w:spacing w:after="0"/>
              <w:rPr>
                <w:sz w:val="20"/>
                <w:szCs w:val="20"/>
                <w:color w:val="auto"/>
              </w:rPr>
            </w:pPr>
            <w:r>
              <w:rPr>
                <w:rFonts w:ascii="Arial" w:cs="Arial" w:eastAsia="Arial" w:hAnsi="Arial"/>
                <w:sz w:val="14"/>
                <w:szCs w:val="14"/>
                <w:color w:val="auto"/>
              </w:rPr>
              <w:t>Mr. Satre was with Harrah’s Entertainment for 25 years, serving ultimately as CEO and Chairman of the Board.</w:t>
            </w:r>
          </w:p>
        </w:tc>
      </w:tr>
      <w:tr>
        <w:trPr>
          <w:trHeight w:val="172"/>
        </w:trPr>
        <w:tc>
          <w:tcPr>
            <w:tcW w:w="2040" w:type="dxa"/>
            <w:vAlign w:val="bottom"/>
          </w:tcPr>
          <w:p>
            <w:pPr>
              <w:ind w:left="60"/>
              <w:spacing w:after="0"/>
              <w:rPr>
                <w:sz w:val="20"/>
                <w:szCs w:val="20"/>
                <w:color w:val="auto"/>
              </w:rPr>
            </w:pPr>
            <w:r>
              <w:rPr>
                <w:rFonts w:ascii="Arial" w:cs="Arial" w:eastAsia="Arial" w:hAnsi="Arial"/>
                <w:sz w:val="14"/>
                <w:szCs w:val="14"/>
                <w:color w:val="auto"/>
              </w:rPr>
              <w:t>Entertainment</w:t>
            </w:r>
          </w:p>
        </w:tc>
        <w:tc>
          <w:tcPr>
            <w:tcW w:w="8580" w:type="dxa"/>
            <w:vAlign w:val="bottom"/>
          </w:tcPr>
          <w:p>
            <w:pPr>
              <w:spacing w:after="0"/>
              <w:rPr>
                <w:sz w:val="14"/>
                <w:szCs w:val="14"/>
                <w:color w:val="auto"/>
              </w:rPr>
            </w:pPr>
          </w:p>
        </w:tc>
      </w:tr>
      <w:tr>
        <w:trPr>
          <w:trHeight w:val="188"/>
        </w:trPr>
        <w:tc>
          <w:tcPr>
            <w:tcW w:w="2040" w:type="dxa"/>
            <w:vAlign w:val="bottom"/>
            <w:shd w:val="clear" w:color="auto" w:fill="E2E0DE"/>
          </w:tcPr>
          <w:p>
            <w:pPr>
              <w:ind w:left="60"/>
              <w:spacing w:after="0"/>
              <w:rPr>
                <w:sz w:val="20"/>
                <w:szCs w:val="20"/>
                <w:color w:val="auto"/>
              </w:rPr>
            </w:pPr>
            <w:r>
              <w:rPr>
                <w:rFonts w:ascii="Arial" w:cs="Arial" w:eastAsia="Arial" w:hAnsi="Arial"/>
                <w:sz w:val="14"/>
                <w:szCs w:val="14"/>
                <w:color w:val="auto"/>
              </w:rPr>
              <w:t>Public Company C-Suite</w:t>
            </w:r>
          </w:p>
        </w:tc>
        <w:tc>
          <w:tcPr>
            <w:tcW w:w="8580" w:type="dxa"/>
            <w:vAlign w:val="bottom"/>
            <w:shd w:val="clear" w:color="auto" w:fill="E2E0DE"/>
          </w:tcPr>
          <w:p>
            <w:pPr>
              <w:ind w:left="220"/>
              <w:spacing w:after="0"/>
              <w:rPr>
                <w:sz w:val="20"/>
                <w:szCs w:val="20"/>
                <w:color w:val="auto"/>
              </w:rPr>
            </w:pPr>
            <w:r>
              <w:rPr>
                <w:rFonts w:ascii="Arial" w:cs="Arial" w:eastAsia="Arial" w:hAnsi="Arial"/>
                <w:sz w:val="14"/>
                <w:szCs w:val="14"/>
                <w:color w:val="auto"/>
              </w:rPr>
              <w:t>Mr. Satre was with Harrah’s Entertainment for 25 years, serving ultimately as CEO and Chairman of the Board.</w:t>
            </w:r>
          </w:p>
        </w:tc>
      </w:tr>
      <w:tr>
        <w:trPr>
          <w:trHeight w:val="176"/>
        </w:trPr>
        <w:tc>
          <w:tcPr>
            <w:tcW w:w="2040" w:type="dxa"/>
            <w:vAlign w:val="bottom"/>
          </w:tcPr>
          <w:p>
            <w:pPr>
              <w:ind w:left="60"/>
              <w:spacing w:after="0"/>
              <w:rPr>
                <w:sz w:val="20"/>
                <w:szCs w:val="20"/>
                <w:color w:val="auto"/>
              </w:rPr>
            </w:pPr>
            <w:r>
              <w:rPr>
                <w:rFonts w:ascii="Arial" w:cs="Arial" w:eastAsia="Arial" w:hAnsi="Arial"/>
                <w:sz w:val="14"/>
                <w:szCs w:val="14"/>
                <w:color w:val="auto"/>
              </w:rPr>
              <w:t>Public Company Board</w:t>
            </w:r>
          </w:p>
        </w:tc>
        <w:tc>
          <w:tcPr>
            <w:tcW w:w="8580" w:type="dxa"/>
            <w:vAlign w:val="bottom"/>
          </w:tcPr>
          <w:p>
            <w:pPr>
              <w:ind w:left="220"/>
              <w:spacing w:after="0"/>
              <w:rPr>
                <w:sz w:val="20"/>
                <w:szCs w:val="20"/>
                <w:color w:val="auto"/>
              </w:rPr>
            </w:pPr>
            <w:r>
              <w:rPr>
                <w:rFonts w:ascii="Arial" w:cs="Arial" w:eastAsia="Arial" w:hAnsi="Arial"/>
                <w:sz w:val="14"/>
                <w:szCs w:val="14"/>
                <w:color w:val="auto"/>
                <w:w w:val="99"/>
              </w:rPr>
              <w:t>Mr. Satre has served on the boards of Harrah’s Entertainment, IGT, Nordstrom, NV Energy, Rite Aid Corporation and Tabcorp Holdings.</w:t>
            </w:r>
          </w:p>
        </w:tc>
      </w:tr>
      <w:tr>
        <w:trPr>
          <w:trHeight w:val="167"/>
        </w:trPr>
        <w:tc>
          <w:tcPr>
            <w:tcW w:w="2040" w:type="dxa"/>
            <w:vAlign w:val="bottom"/>
            <w:shd w:val="clear" w:color="auto" w:fill="E2E0DE"/>
          </w:tcPr>
          <w:p>
            <w:pPr>
              <w:ind w:left="60"/>
              <w:spacing w:after="0"/>
              <w:rPr>
                <w:sz w:val="20"/>
                <w:szCs w:val="20"/>
                <w:color w:val="auto"/>
              </w:rPr>
            </w:pPr>
            <w:r>
              <w:rPr>
                <w:rFonts w:ascii="Arial" w:cs="Arial" w:eastAsia="Arial" w:hAnsi="Arial"/>
                <w:sz w:val="14"/>
                <w:szCs w:val="14"/>
                <w:color w:val="auto"/>
              </w:rPr>
              <w:t>Finance or Accounting</w:t>
            </w:r>
          </w:p>
        </w:tc>
        <w:tc>
          <w:tcPr>
            <w:tcW w:w="8580" w:type="dxa"/>
            <w:vAlign w:val="bottom"/>
            <w:shd w:val="clear" w:color="auto" w:fill="E2E0DE"/>
          </w:tcPr>
          <w:p>
            <w:pPr>
              <w:ind w:left="220"/>
              <w:spacing w:after="0"/>
              <w:rPr>
                <w:sz w:val="20"/>
                <w:szCs w:val="20"/>
                <w:color w:val="auto"/>
              </w:rPr>
            </w:pPr>
            <w:r>
              <w:rPr>
                <w:rFonts w:ascii="Arial" w:cs="Arial" w:eastAsia="Arial" w:hAnsi="Arial"/>
                <w:sz w:val="14"/>
                <w:szCs w:val="14"/>
                <w:color w:val="auto"/>
              </w:rPr>
              <w:t>Mr. Satre led all financing efforts at Harrah’s Entertainment, including the successful acquisitions of numerous companies, all while</w:t>
            </w:r>
          </w:p>
        </w:tc>
      </w:tr>
      <w:tr>
        <w:trPr>
          <w:trHeight w:val="178"/>
        </w:trPr>
        <w:tc>
          <w:tcPr>
            <w:tcW w:w="2040" w:type="dxa"/>
            <w:vAlign w:val="bottom"/>
            <w:shd w:val="clear" w:color="auto" w:fill="E2E0DE"/>
          </w:tcPr>
          <w:p>
            <w:pPr>
              <w:spacing w:after="0"/>
              <w:rPr>
                <w:sz w:val="15"/>
                <w:szCs w:val="15"/>
                <w:color w:val="auto"/>
              </w:rPr>
            </w:pPr>
          </w:p>
        </w:tc>
        <w:tc>
          <w:tcPr>
            <w:tcW w:w="8580" w:type="dxa"/>
            <w:vAlign w:val="bottom"/>
            <w:shd w:val="clear" w:color="auto" w:fill="E2E0DE"/>
          </w:tcPr>
          <w:p>
            <w:pPr>
              <w:ind w:left="220"/>
              <w:spacing w:after="0"/>
              <w:rPr>
                <w:sz w:val="20"/>
                <w:szCs w:val="20"/>
                <w:color w:val="auto"/>
              </w:rPr>
            </w:pPr>
            <w:r>
              <w:rPr>
                <w:rFonts w:ascii="Arial" w:cs="Arial" w:eastAsia="Arial" w:hAnsi="Arial"/>
                <w:sz w:val="14"/>
                <w:szCs w:val="14"/>
                <w:color w:val="auto"/>
              </w:rPr>
              <w:t>maintaining a strong balance sheet. Mr. Satre built Harrah’s Entertainment into a Fortune 500 company.</w:t>
            </w:r>
          </w:p>
        </w:tc>
      </w:tr>
      <w:tr>
        <w:trPr>
          <w:trHeight w:val="161"/>
        </w:trPr>
        <w:tc>
          <w:tcPr>
            <w:tcW w:w="2040" w:type="dxa"/>
            <w:vAlign w:val="bottom"/>
          </w:tcPr>
          <w:p>
            <w:pPr>
              <w:ind w:left="60"/>
              <w:spacing w:after="0"/>
              <w:rPr>
                <w:sz w:val="20"/>
                <w:szCs w:val="20"/>
                <w:color w:val="auto"/>
              </w:rPr>
            </w:pPr>
            <w:r>
              <w:rPr>
                <w:rFonts w:ascii="Arial" w:cs="Arial" w:eastAsia="Arial" w:hAnsi="Arial"/>
                <w:sz w:val="14"/>
                <w:szCs w:val="14"/>
                <w:color w:val="auto"/>
              </w:rPr>
              <w:t>Real Estate or Project</w:t>
            </w:r>
          </w:p>
        </w:tc>
        <w:tc>
          <w:tcPr>
            <w:tcW w:w="8580" w:type="dxa"/>
            <w:vAlign w:val="bottom"/>
          </w:tcPr>
          <w:p>
            <w:pPr>
              <w:ind w:left="220"/>
              <w:spacing w:after="0"/>
              <w:rPr>
                <w:sz w:val="20"/>
                <w:szCs w:val="20"/>
                <w:color w:val="auto"/>
              </w:rPr>
            </w:pPr>
            <w:r>
              <w:rPr>
                <w:rFonts w:ascii="Arial" w:cs="Arial" w:eastAsia="Arial" w:hAnsi="Arial"/>
                <w:sz w:val="14"/>
                <w:szCs w:val="14"/>
                <w:color w:val="auto"/>
              </w:rPr>
              <w:t>Mr. Satre led the transformation of Harrah’s Entertainment from a small regional company with four casinos to one with 28 casinos</w:t>
            </w:r>
          </w:p>
        </w:tc>
      </w:tr>
      <w:tr>
        <w:trPr>
          <w:trHeight w:val="166"/>
        </w:trPr>
        <w:tc>
          <w:tcPr>
            <w:tcW w:w="2040" w:type="dxa"/>
            <w:vAlign w:val="bottom"/>
          </w:tcPr>
          <w:p>
            <w:pPr>
              <w:ind w:left="60"/>
              <w:spacing w:after="0"/>
              <w:rPr>
                <w:sz w:val="20"/>
                <w:szCs w:val="20"/>
                <w:color w:val="auto"/>
              </w:rPr>
            </w:pPr>
            <w:r>
              <w:rPr>
                <w:rFonts w:ascii="Arial" w:cs="Arial" w:eastAsia="Arial" w:hAnsi="Arial"/>
                <w:sz w:val="14"/>
                <w:szCs w:val="14"/>
                <w:color w:val="auto"/>
              </w:rPr>
              <w:t>Construction</w:t>
            </w:r>
          </w:p>
        </w:tc>
        <w:tc>
          <w:tcPr>
            <w:tcW w:w="8580" w:type="dxa"/>
            <w:vAlign w:val="bottom"/>
          </w:tcPr>
          <w:p>
            <w:pPr>
              <w:ind w:left="220"/>
              <w:spacing w:after="0"/>
              <w:rPr>
                <w:sz w:val="20"/>
                <w:szCs w:val="20"/>
                <w:color w:val="auto"/>
              </w:rPr>
            </w:pPr>
            <w:r>
              <w:rPr>
                <w:rFonts w:ascii="Arial" w:cs="Arial" w:eastAsia="Arial" w:hAnsi="Arial"/>
                <w:sz w:val="14"/>
                <w:szCs w:val="14"/>
                <w:color w:val="auto"/>
              </w:rPr>
              <w:t>throughout the United States and internationally.</w:t>
            </w:r>
          </w:p>
        </w:tc>
      </w:tr>
      <w:tr>
        <w:trPr>
          <w:trHeight w:val="325"/>
        </w:trPr>
        <w:tc>
          <w:tcPr>
            <w:tcW w:w="2040" w:type="dxa"/>
            <w:vAlign w:val="bottom"/>
          </w:tcPr>
          <w:p>
            <w:pPr>
              <w:spacing w:after="0"/>
              <w:rPr>
                <w:sz w:val="20"/>
                <w:szCs w:val="20"/>
                <w:color w:val="auto"/>
              </w:rPr>
            </w:pPr>
            <w:r>
              <w:rPr>
                <w:rFonts w:ascii="Arial" w:cs="Arial" w:eastAsia="Arial" w:hAnsi="Arial"/>
                <w:sz w:val="10"/>
                <w:szCs w:val="10"/>
                <w:b w:val="1"/>
                <w:bCs w:val="1"/>
                <w:color w:val="auto"/>
              </w:rPr>
              <w:t>2023 PROXY STATEMENT</w:t>
            </w:r>
          </w:p>
        </w:tc>
        <w:tc>
          <w:tcPr>
            <w:tcW w:w="8580" w:type="dxa"/>
            <w:vAlign w:val="bottom"/>
          </w:tcPr>
          <w:p>
            <w:pPr>
              <w:ind w:left="3160"/>
              <w:spacing w:after="0"/>
              <w:rPr>
                <w:sz w:val="20"/>
                <w:szCs w:val="20"/>
                <w:color w:val="auto"/>
              </w:rPr>
            </w:pPr>
            <w:r>
              <w:rPr>
                <w:rFonts w:ascii="Arial" w:cs="Arial" w:eastAsia="Arial" w:hAnsi="Arial"/>
                <w:sz w:val="14"/>
                <w:szCs w:val="14"/>
                <w:color w:val="auto"/>
              </w:rPr>
              <w:t>// 10 //</w:t>
            </w:r>
          </w:p>
        </w:tc>
      </w:tr>
    </w:tbl>
    <w:p>
      <w:pPr>
        <w:sectPr>
          <w:pgSz w:w="11900" w:h="16838" w:orient="portrait"/>
          <w:cols w:equalWidth="0" w:num="1">
            <w:col w:w="10940"/>
          </w:cols>
          <w:pgMar w:left="320" w:top="473" w:right="6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 xml:space="preserve">Darnell O. Strom </w:t>
      </w:r>
      <w:r>
        <w:rPr>
          <w:rFonts w:ascii="Arial" w:cs="Arial" w:eastAsia="Arial" w:hAnsi="Arial"/>
          <w:sz w:val="13"/>
          <w:szCs w:val="13"/>
          <w:b w:val="1"/>
          <w:bCs w:val="1"/>
          <w:i w:val="1"/>
          <w:iCs w:val="1"/>
          <w:color w:val="333D3F"/>
        </w:rPr>
        <w:t>Partner &amp; Head of Culture and Leadership, UTA</w:t>
      </w:r>
    </w:p>
    <w:p>
      <w:pPr>
        <w:spacing w:after="0" w:line="229" w:lineRule="exact"/>
        <w:rPr>
          <w:sz w:val="20"/>
          <w:szCs w:val="20"/>
          <w:color w:val="auto"/>
        </w:rPr>
      </w:pPr>
    </w:p>
    <w:p>
      <w:pPr>
        <w:ind w:left="320" w:right="120"/>
        <w:spacing w:after="0" w:line="239" w:lineRule="auto"/>
        <w:rPr>
          <w:sz w:val="20"/>
          <w:szCs w:val="20"/>
          <w:color w:val="auto"/>
        </w:rPr>
      </w:pPr>
      <w:r>
        <w:rPr>
          <w:rFonts w:ascii="Arial" w:cs="Arial" w:eastAsia="Arial" w:hAnsi="Arial"/>
          <w:sz w:val="14"/>
          <w:szCs w:val="14"/>
          <w:color w:val="auto"/>
        </w:rPr>
        <w:t>Mr. Strom is a Partner &amp; Head of the Culture and Leadership Division at premiere entertainment agency, United Talent Agency (“UTA”). Mr. Strom represents transformative talent, brands, and organizations across entertainment, media, sports, fashion, the arts, entrepreneurship, politics, and thought leadership.</w:t>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320" w:type="dxa"/>
        <w:tblCellMar>
          <w:top w:w="0" w:type="dxa"/>
          <w:left w:w="0" w:type="dxa"/>
          <w:bottom w:w="0" w:type="dxa"/>
          <w:right w:w="0" w:type="dxa"/>
        </w:tblCellMar>
      </w:tblPr>
      <w:tr>
        <w:trPr>
          <w:trHeight w:val="335"/>
        </w:trPr>
        <w:tc>
          <w:tcPr>
            <w:tcW w:w="140" w:type="dxa"/>
            <w:vAlign w:val="bottom"/>
            <w:shd w:val="clear" w:color="auto" w:fill="FBF9EC"/>
          </w:tcPr>
          <w:p>
            <w:pPr>
              <w:spacing w:after="0"/>
              <w:rPr>
                <w:sz w:val="24"/>
                <w:szCs w:val="24"/>
                <w:color w:val="auto"/>
              </w:rPr>
            </w:pPr>
          </w:p>
        </w:tc>
        <w:tc>
          <w:tcPr>
            <w:tcW w:w="140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Director Since</w:t>
            </w:r>
          </w:p>
        </w:tc>
        <w:tc>
          <w:tcPr>
            <w:tcW w:w="15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October 2020</w:t>
            </w:r>
          </w:p>
        </w:tc>
      </w:tr>
      <w:tr>
        <w:trPr>
          <w:trHeight w:val="68"/>
        </w:trPr>
        <w:tc>
          <w:tcPr>
            <w:tcW w:w="140" w:type="dxa"/>
            <w:vAlign w:val="bottom"/>
            <w:tcBorders>
              <w:bottom w:val="single" w:sz="8" w:color="FBF9EC"/>
            </w:tcBorders>
            <w:shd w:val="clear" w:color="auto" w:fill="FBF9EC"/>
          </w:tcPr>
          <w:p>
            <w:pPr>
              <w:spacing w:after="0"/>
              <w:rPr>
                <w:sz w:val="5"/>
                <w:szCs w:val="5"/>
                <w:color w:val="auto"/>
              </w:rPr>
            </w:pPr>
          </w:p>
        </w:tc>
        <w:tc>
          <w:tcPr>
            <w:tcW w:w="1400" w:type="dxa"/>
            <w:vAlign w:val="bottom"/>
            <w:tcBorders>
              <w:bottom w:val="single" w:sz="8" w:color="auto"/>
            </w:tcBorders>
            <w:shd w:val="clear" w:color="auto" w:fill="FBF9EC"/>
          </w:tcPr>
          <w:p>
            <w:pPr>
              <w:spacing w:after="0"/>
              <w:rPr>
                <w:sz w:val="5"/>
                <w:szCs w:val="5"/>
                <w:color w:val="auto"/>
              </w:rPr>
            </w:pPr>
          </w:p>
        </w:tc>
        <w:tc>
          <w:tcPr>
            <w:tcW w:w="1440" w:type="dxa"/>
            <w:vAlign w:val="bottom"/>
            <w:tcBorders>
              <w:bottom w:val="single" w:sz="8" w:color="auto"/>
            </w:tcBorders>
            <w:shd w:val="clear" w:color="auto" w:fill="FBF9EC"/>
          </w:tcPr>
          <w:p>
            <w:pPr>
              <w:spacing w:after="0"/>
              <w:rPr>
                <w:sz w:val="5"/>
                <w:szCs w:val="5"/>
                <w:color w:val="auto"/>
              </w:rPr>
            </w:pPr>
          </w:p>
        </w:tc>
        <w:tc>
          <w:tcPr>
            <w:tcW w:w="100" w:type="dxa"/>
            <w:vAlign w:val="bottom"/>
            <w:tcBorders>
              <w:bottom w:val="single" w:sz="8" w:color="FBF9EC"/>
            </w:tcBorders>
            <w:shd w:val="clear" w:color="auto" w:fill="FBF9EC"/>
          </w:tcPr>
          <w:p>
            <w:pPr>
              <w:spacing w:after="0"/>
              <w:rPr>
                <w:sz w:val="5"/>
                <w:szCs w:val="5"/>
                <w:color w:val="auto"/>
              </w:rPr>
            </w:pPr>
          </w:p>
        </w:tc>
      </w:tr>
      <w:tr>
        <w:trPr>
          <w:trHeight w:val="328"/>
        </w:trPr>
        <w:tc>
          <w:tcPr>
            <w:tcW w:w="140" w:type="dxa"/>
            <w:vAlign w:val="bottom"/>
            <w:shd w:val="clear" w:color="auto" w:fill="FBF9EC"/>
          </w:tcPr>
          <w:p>
            <w:pPr>
              <w:spacing w:after="0"/>
              <w:rPr>
                <w:sz w:val="24"/>
                <w:szCs w:val="24"/>
                <w:color w:val="auto"/>
              </w:rPr>
            </w:pPr>
          </w:p>
        </w:tc>
        <w:tc>
          <w:tcPr>
            <w:tcW w:w="140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Term Expires</w:t>
            </w:r>
          </w:p>
        </w:tc>
        <w:tc>
          <w:tcPr>
            <w:tcW w:w="15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2024 Annual Meeting</w:t>
            </w:r>
          </w:p>
        </w:tc>
      </w:tr>
      <w:tr>
        <w:trPr>
          <w:trHeight w:val="68"/>
        </w:trPr>
        <w:tc>
          <w:tcPr>
            <w:tcW w:w="140" w:type="dxa"/>
            <w:vAlign w:val="bottom"/>
            <w:tcBorders>
              <w:bottom w:val="single" w:sz="8" w:color="FBF9EC"/>
            </w:tcBorders>
            <w:shd w:val="clear" w:color="auto" w:fill="FBF9EC"/>
          </w:tcPr>
          <w:p>
            <w:pPr>
              <w:spacing w:after="0"/>
              <w:rPr>
                <w:sz w:val="5"/>
                <w:szCs w:val="5"/>
                <w:color w:val="auto"/>
              </w:rPr>
            </w:pPr>
          </w:p>
        </w:tc>
        <w:tc>
          <w:tcPr>
            <w:tcW w:w="1400" w:type="dxa"/>
            <w:vAlign w:val="bottom"/>
            <w:tcBorders>
              <w:bottom w:val="single" w:sz="8" w:color="auto"/>
            </w:tcBorders>
            <w:shd w:val="clear" w:color="auto" w:fill="FBF9EC"/>
          </w:tcPr>
          <w:p>
            <w:pPr>
              <w:spacing w:after="0"/>
              <w:rPr>
                <w:sz w:val="5"/>
                <w:szCs w:val="5"/>
                <w:color w:val="auto"/>
              </w:rPr>
            </w:pPr>
          </w:p>
        </w:tc>
        <w:tc>
          <w:tcPr>
            <w:tcW w:w="1440" w:type="dxa"/>
            <w:vAlign w:val="bottom"/>
            <w:tcBorders>
              <w:bottom w:val="single" w:sz="8" w:color="auto"/>
            </w:tcBorders>
            <w:shd w:val="clear" w:color="auto" w:fill="FBF9EC"/>
          </w:tcPr>
          <w:p>
            <w:pPr>
              <w:spacing w:after="0"/>
              <w:rPr>
                <w:sz w:val="5"/>
                <w:szCs w:val="5"/>
                <w:color w:val="auto"/>
              </w:rPr>
            </w:pPr>
          </w:p>
        </w:tc>
        <w:tc>
          <w:tcPr>
            <w:tcW w:w="100" w:type="dxa"/>
            <w:vAlign w:val="bottom"/>
            <w:tcBorders>
              <w:bottom w:val="single" w:sz="8" w:color="FBF9EC"/>
            </w:tcBorders>
            <w:shd w:val="clear" w:color="auto" w:fill="FBF9EC"/>
          </w:tcPr>
          <w:p>
            <w:pPr>
              <w:spacing w:after="0"/>
              <w:rPr>
                <w:sz w:val="5"/>
                <w:szCs w:val="5"/>
                <w:color w:val="auto"/>
              </w:rPr>
            </w:pPr>
          </w:p>
        </w:tc>
      </w:tr>
      <w:tr>
        <w:trPr>
          <w:trHeight w:val="328"/>
        </w:trPr>
        <w:tc>
          <w:tcPr>
            <w:tcW w:w="140" w:type="dxa"/>
            <w:vAlign w:val="bottom"/>
            <w:shd w:val="clear" w:color="auto" w:fill="FBF9EC"/>
          </w:tcPr>
          <w:p>
            <w:pPr>
              <w:spacing w:after="0"/>
              <w:rPr>
                <w:sz w:val="24"/>
                <w:szCs w:val="24"/>
                <w:color w:val="auto"/>
              </w:rPr>
            </w:pPr>
          </w:p>
        </w:tc>
        <w:tc>
          <w:tcPr>
            <w:tcW w:w="140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Age</w:t>
            </w:r>
          </w:p>
        </w:tc>
        <w:tc>
          <w:tcPr>
            <w:tcW w:w="144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41</w:t>
            </w:r>
          </w:p>
        </w:tc>
        <w:tc>
          <w:tcPr>
            <w:tcW w:w="100" w:type="dxa"/>
            <w:vAlign w:val="bottom"/>
            <w:shd w:val="clear" w:color="auto" w:fill="FBF9EC"/>
          </w:tcPr>
          <w:p>
            <w:pPr>
              <w:spacing w:after="0"/>
              <w:rPr>
                <w:sz w:val="24"/>
                <w:szCs w:val="24"/>
                <w:color w:val="auto"/>
              </w:rPr>
            </w:pPr>
          </w:p>
        </w:tc>
      </w:tr>
      <w:tr>
        <w:trPr>
          <w:trHeight w:val="68"/>
        </w:trPr>
        <w:tc>
          <w:tcPr>
            <w:tcW w:w="140" w:type="dxa"/>
            <w:vAlign w:val="bottom"/>
            <w:tcBorders>
              <w:bottom w:val="single" w:sz="8" w:color="FBF9EC"/>
            </w:tcBorders>
            <w:shd w:val="clear" w:color="auto" w:fill="FBF9EC"/>
          </w:tcPr>
          <w:p>
            <w:pPr>
              <w:spacing w:after="0"/>
              <w:rPr>
                <w:sz w:val="5"/>
                <w:szCs w:val="5"/>
                <w:color w:val="auto"/>
              </w:rPr>
            </w:pPr>
          </w:p>
        </w:tc>
        <w:tc>
          <w:tcPr>
            <w:tcW w:w="1400" w:type="dxa"/>
            <w:vAlign w:val="bottom"/>
            <w:tcBorders>
              <w:bottom w:val="single" w:sz="8" w:color="auto"/>
            </w:tcBorders>
            <w:shd w:val="clear" w:color="auto" w:fill="FBF9EC"/>
          </w:tcPr>
          <w:p>
            <w:pPr>
              <w:spacing w:after="0"/>
              <w:rPr>
                <w:sz w:val="5"/>
                <w:szCs w:val="5"/>
                <w:color w:val="auto"/>
              </w:rPr>
            </w:pPr>
          </w:p>
        </w:tc>
        <w:tc>
          <w:tcPr>
            <w:tcW w:w="1440" w:type="dxa"/>
            <w:vAlign w:val="bottom"/>
            <w:tcBorders>
              <w:bottom w:val="single" w:sz="8" w:color="auto"/>
            </w:tcBorders>
            <w:shd w:val="clear" w:color="auto" w:fill="FBF9EC"/>
          </w:tcPr>
          <w:p>
            <w:pPr>
              <w:spacing w:after="0"/>
              <w:rPr>
                <w:sz w:val="5"/>
                <w:szCs w:val="5"/>
                <w:color w:val="auto"/>
              </w:rPr>
            </w:pPr>
          </w:p>
        </w:tc>
        <w:tc>
          <w:tcPr>
            <w:tcW w:w="100" w:type="dxa"/>
            <w:vAlign w:val="bottom"/>
            <w:tcBorders>
              <w:bottom w:val="single" w:sz="8" w:color="FBF9EC"/>
            </w:tcBorders>
            <w:shd w:val="clear" w:color="auto" w:fill="FBF9EC"/>
          </w:tcPr>
          <w:p>
            <w:pPr>
              <w:spacing w:after="0"/>
              <w:rPr>
                <w:sz w:val="5"/>
                <w:szCs w:val="5"/>
                <w:color w:val="auto"/>
              </w:rPr>
            </w:pPr>
          </w:p>
        </w:tc>
      </w:tr>
      <w:tr>
        <w:trPr>
          <w:trHeight w:val="312"/>
        </w:trPr>
        <w:tc>
          <w:tcPr>
            <w:tcW w:w="140" w:type="dxa"/>
            <w:vAlign w:val="bottom"/>
            <w:shd w:val="clear" w:color="auto" w:fill="FBF9EC"/>
          </w:tcPr>
          <w:p>
            <w:pPr>
              <w:spacing w:after="0"/>
              <w:rPr>
                <w:sz w:val="24"/>
                <w:szCs w:val="24"/>
                <w:color w:val="auto"/>
              </w:rPr>
            </w:pPr>
          </w:p>
        </w:tc>
        <w:tc>
          <w:tcPr>
            <w:tcW w:w="1400" w:type="dxa"/>
            <w:vAlign w:val="bottom"/>
            <w:shd w:val="clear" w:color="auto" w:fill="FBF9EC"/>
          </w:tcPr>
          <w:p>
            <w:pPr>
              <w:ind w:left="40"/>
              <w:spacing w:after="0"/>
              <w:rPr>
                <w:sz w:val="20"/>
                <w:szCs w:val="20"/>
                <w:color w:val="auto"/>
              </w:rPr>
            </w:pPr>
            <w:r>
              <w:rPr>
                <w:rFonts w:ascii="Arial" w:cs="Arial" w:eastAsia="Arial" w:hAnsi="Arial"/>
                <w:sz w:val="12"/>
                <w:szCs w:val="12"/>
                <w:color w:val="333D3F"/>
              </w:rPr>
              <w:t>Board Committees:</w:t>
            </w:r>
          </w:p>
        </w:tc>
        <w:tc>
          <w:tcPr>
            <w:tcW w:w="15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Audit</w:t>
            </w:r>
          </w:p>
        </w:tc>
      </w:tr>
      <w:tr>
        <w:trPr>
          <w:trHeight w:val="130"/>
        </w:trPr>
        <w:tc>
          <w:tcPr>
            <w:tcW w:w="140" w:type="dxa"/>
            <w:vAlign w:val="bottom"/>
            <w:shd w:val="clear" w:color="auto" w:fill="FBF9EC"/>
          </w:tcPr>
          <w:p>
            <w:pPr>
              <w:spacing w:after="0"/>
              <w:rPr>
                <w:sz w:val="11"/>
                <w:szCs w:val="11"/>
                <w:color w:val="auto"/>
              </w:rPr>
            </w:pPr>
          </w:p>
        </w:tc>
        <w:tc>
          <w:tcPr>
            <w:tcW w:w="1400" w:type="dxa"/>
            <w:vAlign w:val="bottom"/>
            <w:shd w:val="clear" w:color="auto" w:fill="FBF9EC"/>
          </w:tcPr>
          <w:p>
            <w:pPr>
              <w:spacing w:after="0"/>
              <w:rPr>
                <w:sz w:val="11"/>
                <w:szCs w:val="11"/>
                <w:color w:val="auto"/>
              </w:rPr>
            </w:pPr>
          </w:p>
        </w:tc>
        <w:tc>
          <w:tcPr>
            <w:tcW w:w="1540" w:type="dxa"/>
            <w:vAlign w:val="bottom"/>
            <w:gridSpan w:val="2"/>
            <w:shd w:val="clear" w:color="auto" w:fill="FBF9EC"/>
          </w:tcPr>
          <w:p>
            <w:pPr>
              <w:ind w:left="40"/>
              <w:spacing w:after="0" w:line="130" w:lineRule="exact"/>
              <w:rPr>
                <w:sz w:val="20"/>
                <w:szCs w:val="20"/>
                <w:color w:val="auto"/>
              </w:rPr>
            </w:pPr>
            <w:r>
              <w:rPr>
                <w:rFonts w:ascii="Arial" w:cs="Arial" w:eastAsia="Arial" w:hAnsi="Arial"/>
                <w:sz w:val="12"/>
                <w:szCs w:val="12"/>
                <w:color w:val="333D3F"/>
              </w:rPr>
              <w:t>Nominating and</w:t>
            </w:r>
          </w:p>
        </w:tc>
      </w:tr>
      <w:tr>
        <w:trPr>
          <w:trHeight w:val="146"/>
        </w:trPr>
        <w:tc>
          <w:tcPr>
            <w:tcW w:w="140" w:type="dxa"/>
            <w:vAlign w:val="bottom"/>
            <w:shd w:val="clear" w:color="auto" w:fill="FBF9EC"/>
          </w:tcPr>
          <w:p>
            <w:pPr>
              <w:spacing w:after="0"/>
              <w:rPr>
                <w:sz w:val="12"/>
                <w:szCs w:val="12"/>
                <w:color w:val="auto"/>
              </w:rPr>
            </w:pPr>
          </w:p>
        </w:tc>
        <w:tc>
          <w:tcPr>
            <w:tcW w:w="1400" w:type="dxa"/>
            <w:vAlign w:val="bottom"/>
            <w:shd w:val="clear" w:color="auto" w:fill="FBF9EC"/>
          </w:tcPr>
          <w:p>
            <w:pPr>
              <w:spacing w:after="0"/>
              <w:rPr>
                <w:sz w:val="12"/>
                <w:szCs w:val="12"/>
                <w:color w:val="auto"/>
              </w:rPr>
            </w:pPr>
          </w:p>
        </w:tc>
        <w:tc>
          <w:tcPr>
            <w:tcW w:w="1540" w:type="dxa"/>
            <w:vAlign w:val="bottom"/>
            <w:gridSpan w:val="2"/>
            <w:shd w:val="clear" w:color="auto" w:fill="FBF9EC"/>
          </w:tcPr>
          <w:p>
            <w:pPr>
              <w:ind w:left="40"/>
              <w:spacing w:after="0"/>
              <w:rPr>
                <w:sz w:val="20"/>
                <w:szCs w:val="20"/>
                <w:color w:val="auto"/>
              </w:rPr>
            </w:pPr>
            <w:r>
              <w:rPr>
                <w:rFonts w:ascii="Arial" w:cs="Arial" w:eastAsia="Arial" w:hAnsi="Arial"/>
                <w:sz w:val="12"/>
                <w:szCs w:val="12"/>
                <w:color w:val="333D3F"/>
              </w:rPr>
              <w:t>Corporate Governance</w:t>
            </w:r>
          </w:p>
        </w:tc>
      </w:tr>
      <w:tr>
        <w:trPr>
          <w:trHeight w:val="133"/>
        </w:trPr>
        <w:tc>
          <w:tcPr>
            <w:tcW w:w="140" w:type="dxa"/>
            <w:vAlign w:val="bottom"/>
            <w:shd w:val="clear" w:color="auto" w:fill="FBF9EC"/>
          </w:tcPr>
          <w:p>
            <w:pPr>
              <w:spacing w:after="0"/>
              <w:rPr>
                <w:sz w:val="11"/>
                <w:szCs w:val="11"/>
                <w:color w:val="auto"/>
              </w:rPr>
            </w:pPr>
          </w:p>
        </w:tc>
        <w:tc>
          <w:tcPr>
            <w:tcW w:w="1400" w:type="dxa"/>
            <w:vAlign w:val="bottom"/>
            <w:shd w:val="clear" w:color="auto" w:fill="FBF9EC"/>
          </w:tcPr>
          <w:p>
            <w:pPr>
              <w:spacing w:after="0"/>
              <w:rPr>
                <w:sz w:val="11"/>
                <w:szCs w:val="11"/>
                <w:color w:val="auto"/>
              </w:rPr>
            </w:pPr>
          </w:p>
        </w:tc>
        <w:tc>
          <w:tcPr>
            <w:tcW w:w="1440" w:type="dxa"/>
            <w:vAlign w:val="bottom"/>
            <w:shd w:val="clear" w:color="auto" w:fill="FBF9EC"/>
          </w:tcPr>
          <w:p>
            <w:pPr>
              <w:spacing w:after="0"/>
              <w:rPr>
                <w:sz w:val="11"/>
                <w:szCs w:val="11"/>
                <w:color w:val="auto"/>
              </w:rPr>
            </w:pPr>
          </w:p>
        </w:tc>
        <w:tc>
          <w:tcPr>
            <w:tcW w:w="100" w:type="dxa"/>
            <w:vAlign w:val="bottom"/>
            <w:shd w:val="clear" w:color="auto" w:fill="FBF9EC"/>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-2626360</wp:posOffset>
            </wp:positionV>
            <wp:extent cx="1932940" cy="1371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32940"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PREVIOUS EXPERIENCE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–   2012 to 2019: Agent, Creative Artists Agency</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–   2010 to 2012: Executive, Creative Artists Agency Foundation</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–   2006 to 2010: Deputy Director of Development, William J. Clinton Foundation</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–   2005 to 2006: Deputy Director of Scheduling &amp; Advance, Office of President William J. Clinton</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EDUCATION</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Mr. Strom graduated with a B.S. (with honors) from Florida A&amp;M University.</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EXPERTISE</w:t>
      </w:r>
    </w:p>
    <w:p>
      <w:pPr>
        <w:spacing w:after="0" w:line="16" w:lineRule="exact"/>
        <w:rPr>
          <w:sz w:val="20"/>
          <w:szCs w:val="20"/>
          <w:color w:val="auto"/>
        </w:rPr>
      </w:pPr>
    </w:p>
    <w:p>
      <w:pPr>
        <w:ind w:right="220"/>
        <w:spacing w:after="0" w:line="237" w:lineRule="auto"/>
        <w:rPr>
          <w:sz w:val="20"/>
          <w:szCs w:val="20"/>
          <w:color w:val="auto"/>
        </w:rPr>
      </w:pPr>
      <w:r>
        <w:rPr>
          <w:rFonts w:ascii="Arial" w:cs="Arial" w:eastAsia="Arial" w:hAnsi="Arial"/>
          <w:sz w:val="14"/>
          <w:szCs w:val="14"/>
          <w:color w:val="auto"/>
        </w:rPr>
        <w:t>Mr. Strom’s decades of experience in entertainment, media, and sports, along with the relationships he has established, is a significant benefit to the Board. Mr. Strom brings to our Board significant industry expertise in media, sports, entertainment, music, fashion, the arts, branding and thought leadership.</w:t>
      </w:r>
    </w:p>
    <w:p>
      <w:pPr>
        <w:spacing w:after="0" w:line="2009" w:lineRule="exact"/>
        <w:rPr>
          <w:sz w:val="20"/>
          <w:szCs w:val="20"/>
          <w:color w:val="auto"/>
        </w:rPr>
      </w:pPr>
    </w:p>
    <w:p>
      <w:pPr>
        <w:sectPr>
          <w:pgSz w:w="11900" w:h="16838" w:orient="portrait"/>
          <w:cols w:equalWidth="0" w:num="2">
            <w:col w:w="3400" w:space="600"/>
            <w:col w:w="6940"/>
          </w:cols>
          <w:pgMar w:left="320" w:top="473" w:right="639" w:bottom="1440" w:gutter="0" w:footer="0" w:header="0"/>
          <w:type w:val="continuous"/>
        </w:sectPr>
      </w:pPr>
    </w:p>
    <w:p>
      <w:pPr>
        <w:ind w:left="320"/>
        <w:spacing w:after="0"/>
        <w:rPr>
          <w:sz w:val="20"/>
          <w:szCs w:val="20"/>
          <w:color w:val="auto"/>
        </w:rPr>
      </w:pPr>
      <w:r>
        <w:rPr>
          <w:rFonts w:ascii="Arial" w:cs="Arial" w:eastAsia="Arial" w:hAnsi="Arial"/>
          <w:sz w:val="12"/>
          <w:szCs w:val="12"/>
          <w:b w:val="1"/>
          <w:bCs w:val="1"/>
          <w:color w:val="B3AB9D"/>
        </w:rPr>
        <w:t>SKILLS AND QUALIFICATIONS</w:t>
      </w:r>
    </w:p>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40" w:type="dxa"/>
            <w:vAlign w:val="bottom"/>
            <w:shd w:val="clear" w:color="auto" w:fill="E2E0DE"/>
          </w:tcPr>
          <w:p>
            <w:pPr>
              <w:ind w:left="60"/>
              <w:spacing w:after="0"/>
              <w:rPr>
                <w:sz w:val="20"/>
                <w:szCs w:val="20"/>
                <w:color w:val="auto"/>
              </w:rPr>
            </w:pPr>
            <w:r>
              <w:rPr>
                <w:rFonts w:ascii="Arial" w:cs="Arial" w:eastAsia="Arial" w:hAnsi="Arial"/>
                <w:sz w:val="14"/>
                <w:szCs w:val="14"/>
                <w:color w:val="auto"/>
              </w:rPr>
              <w:t>Travel, Leisure, Hospitality &amp;</w:t>
            </w:r>
          </w:p>
        </w:tc>
        <w:tc>
          <w:tcPr>
            <w:tcW w:w="8580" w:type="dxa"/>
            <w:vAlign w:val="bottom"/>
            <w:shd w:val="clear" w:color="auto" w:fill="E2E0DE"/>
          </w:tcPr>
          <w:p>
            <w:pPr>
              <w:ind w:left="220"/>
              <w:spacing w:after="0"/>
              <w:rPr>
                <w:sz w:val="20"/>
                <w:szCs w:val="20"/>
                <w:color w:val="auto"/>
              </w:rPr>
            </w:pPr>
            <w:r>
              <w:rPr>
                <w:rFonts w:ascii="Arial" w:cs="Arial" w:eastAsia="Arial" w:hAnsi="Arial"/>
                <w:sz w:val="14"/>
                <w:szCs w:val="14"/>
                <w:color w:val="auto"/>
              </w:rPr>
              <w:t>In addition to his representation of transformative talent, over the course of his career, Mr. Strom has advised some of the world’s top</w:t>
            </w:r>
          </w:p>
        </w:tc>
      </w:tr>
      <w:tr>
        <w:trPr>
          <w:trHeight w:val="156"/>
        </w:trPr>
        <w:tc>
          <w:tcPr>
            <w:tcW w:w="2040" w:type="dxa"/>
            <w:vAlign w:val="bottom"/>
            <w:shd w:val="clear" w:color="auto" w:fill="E2E0DE"/>
          </w:tcPr>
          <w:p>
            <w:pPr>
              <w:ind w:left="60"/>
              <w:spacing w:after="0" w:line="156" w:lineRule="exact"/>
              <w:rPr>
                <w:sz w:val="20"/>
                <w:szCs w:val="20"/>
                <w:color w:val="auto"/>
              </w:rPr>
            </w:pPr>
            <w:r>
              <w:rPr>
                <w:rFonts w:ascii="Arial" w:cs="Arial" w:eastAsia="Arial" w:hAnsi="Arial"/>
                <w:sz w:val="14"/>
                <w:szCs w:val="14"/>
                <w:color w:val="auto"/>
              </w:rPr>
              <w:t>Entertainment</w:t>
            </w:r>
          </w:p>
        </w:tc>
        <w:tc>
          <w:tcPr>
            <w:tcW w:w="8580" w:type="dxa"/>
            <w:vAlign w:val="bottom"/>
            <w:shd w:val="clear" w:color="auto" w:fill="E2E0DE"/>
          </w:tcPr>
          <w:p>
            <w:pPr>
              <w:ind w:left="220"/>
              <w:spacing w:after="0" w:line="156" w:lineRule="exact"/>
              <w:rPr>
                <w:sz w:val="20"/>
                <w:szCs w:val="20"/>
                <w:color w:val="auto"/>
              </w:rPr>
            </w:pPr>
            <w:r>
              <w:rPr>
                <w:rFonts w:ascii="Arial" w:cs="Arial" w:eastAsia="Arial" w:hAnsi="Arial"/>
                <w:sz w:val="14"/>
                <w:szCs w:val="14"/>
                <w:color w:val="auto"/>
                <w:w w:val="98"/>
              </w:rPr>
              <w:t>luxury, hospitality, and lifestyle brands. Mr. Strom has extensive experience working at the cross-section of entertainment, media, sports,</w:t>
            </w:r>
          </w:p>
        </w:tc>
      </w:tr>
      <w:tr>
        <w:trPr>
          <w:trHeight w:val="156"/>
        </w:trPr>
        <w:tc>
          <w:tcPr>
            <w:tcW w:w="2040" w:type="dxa"/>
            <w:vAlign w:val="bottom"/>
            <w:shd w:val="clear" w:color="auto" w:fill="E2E0DE"/>
          </w:tcPr>
          <w:p>
            <w:pPr>
              <w:spacing w:after="0"/>
              <w:rPr>
                <w:sz w:val="13"/>
                <w:szCs w:val="13"/>
                <w:color w:val="auto"/>
              </w:rPr>
            </w:pPr>
          </w:p>
        </w:tc>
        <w:tc>
          <w:tcPr>
            <w:tcW w:w="8580" w:type="dxa"/>
            <w:vAlign w:val="bottom"/>
            <w:shd w:val="clear" w:color="auto" w:fill="E2E0DE"/>
          </w:tcPr>
          <w:p>
            <w:pPr>
              <w:ind w:left="220"/>
              <w:spacing w:after="0" w:line="156" w:lineRule="exact"/>
              <w:rPr>
                <w:sz w:val="20"/>
                <w:szCs w:val="20"/>
                <w:color w:val="auto"/>
              </w:rPr>
            </w:pPr>
            <w:r>
              <w:rPr>
                <w:rFonts w:ascii="Arial" w:cs="Arial" w:eastAsia="Arial" w:hAnsi="Arial"/>
                <w:sz w:val="14"/>
                <w:szCs w:val="14"/>
                <w:color w:val="auto"/>
              </w:rPr>
              <w:t>music, fashion, and digital. Mr. Strom has presented at the Aspen Ideas Festival, Sundance Film Festival, Brilliant Minds, Cannes Lion</w:t>
            </w:r>
          </w:p>
        </w:tc>
      </w:tr>
      <w:tr>
        <w:trPr>
          <w:trHeight w:val="156"/>
        </w:trPr>
        <w:tc>
          <w:tcPr>
            <w:tcW w:w="2040" w:type="dxa"/>
            <w:vAlign w:val="bottom"/>
            <w:shd w:val="clear" w:color="auto" w:fill="E2E0DE"/>
          </w:tcPr>
          <w:p>
            <w:pPr>
              <w:spacing w:after="0"/>
              <w:rPr>
                <w:sz w:val="13"/>
                <w:szCs w:val="13"/>
                <w:color w:val="auto"/>
              </w:rPr>
            </w:pPr>
          </w:p>
        </w:tc>
        <w:tc>
          <w:tcPr>
            <w:tcW w:w="8580" w:type="dxa"/>
            <w:vAlign w:val="bottom"/>
            <w:shd w:val="clear" w:color="auto" w:fill="E2E0DE"/>
          </w:tcPr>
          <w:p>
            <w:pPr>
              <w:ind w:left="220"/>
              <w:spacing w:after="0" w:line="156" w:lineRule="exact"/>
              <w:rPr>
                <w:sz w:val="20"/>
                <w:szCs w:val="20"/>
                <w:color w:val="auto"/>
              </w:rPr>
            </w:pPr>
            <w:r>
              <w:rPr>
                <w:rFonts w:ascii="Arial" w:cs="Arial" w:eastAsia="Arial" w:hAnsi="Arial"/>
                <w:sz w:val="14"/>
                <w:szCs w:val="14"/>
                <w:color w:val="auto"/>
              </w:rPr>
              <w:t>Creativity Festival, and the UN’s Nexus Global Youth Summit. He also served on President Obama’s White House Entertainment</w:t>
            </w:r>
          </w:p>
        </w:tc>
      </w:tr>
      <w:tr>
        <w:trPr>
          <w:trHeight w:val="178"/>
        </w:trPr>
        <w:tc>
          <w:tcPr>
            <w:tcW w:w="2040" w:type="dxa"/>
            <w:vAlign w:val="bottom"/>
            <w:shd w:val="clear" w:color="auto" w:fill="E2E0DE"/>
          </w:tcPr>
          <w:p>
            <w:pPr>
              <w:spacing w:after="0"/>
              <w:rPr>
                <w:sz w:val="15"/>
                <w:szCs w:val="15"/>
                <w:color w:val="auto"/>
              </w:rPr>
            </w:pPr>
          </w:p>
        </w:tc>
        <w:tc>
          <w:tcPr>
            <w:tcW w:w="8580" w:type="dxa"/>
            <w:vAlign w:val="bottom"/>
            <w:shd w:val="clear" w:color="auto" w:fill="E2E0DE"/>
          </w:tcPr>
          <w:p>
            <w:pPr>
              <w:ind w:left="220"/>
              <w:spacing w:after="0"/>
              <w:rPr>
                <w:sz w:val="20"/>
                <w:szCs w:val="20"/>
                <w:color w:val="auto"/>
              </w:rPr>
            </w:pPr>
            <w:r>
              <w:rPr>
                <w:rFonts w:ascii="Arial" w:cs="Arial" w:eastAsia="Arial" w:hAnsi="Arial"/>
                <w:sz w:val="14"/>
                <w:szCs w:val="14"/>
                <w:color w:val="auto"/>
              </w:rPr>
              <w:t>Council.</w:t>
            </w:r>
          </w:p>
        </w:tc>
      </w:tr>
      <w:tr>
        <w:trPr>
          <w:trHeight w:val="161"/>
        </w:trPr>
        <w:tc>
          <w:tcPr>
            <w:tcW w:w="2040" w:type="dxa"/>
            <w:vAlign w:val="bottom"/>
          </w:tcPr>
          <w:p>
            <w:pPr>
              <w:ind w:left="60"/>
              <w:spacing w:after="0"/>
              <w:rPr>
                <w:sz w:val="20"/>
                <w:szCs w:val="20"/>
                <w:color w:val="auto"/>
              </w:rPr>
            </w:pPr>
            <w:r>
              <w:rPr>
                <w:rFonts w:ascii="Arial" w:cs="Arial" w:eastAsia="Arial" w:hAnsi="Arial"/>
                <w:sz w:val="14"/>
                <w:szCs w:val="14"/>
                <w:color w:val="auto"/>
              </w:rPr>
              <w:t>International Politics</w:t>
            </w:r>
          </w:p>
        </w:tc>
        <w:tc>
          <w:tcPr>
            <w:tcW w:w="8580" w:type="dxa"/>
            <w:vAlign w:val="bottom"/>
          </w:tcPr>
          <w:p>
            <w:pPr>
              <w:ind w:left="220"/>
              <w:spacing w:after="0"/>
              <w:rPr>
                <w:sz w:val="20"/>
                <w:szCs w:val="20"/>
                <w:color w:val="auto"/>
              </w:rPr>
            </w:pPr>
            <w:r>
              <w:rPr>
                <w:rFonts w:ascii="Arial" w:cs="Arial" w:eastAsia="Arial" w:hAnsi="Arial"/>
                <w:sz w:val="14"/>
                <w:szCs w:val="14"/>
                <w:color w:val="auto"/>
              </w:rPr>
              <w:t>Mr. Strom’s roles in the Office of President William J. Clinton and with the William J. Clinton Foundation provided him with experience</w:t>
            </w:r>
          </w:p>
        </w:tc>
      </w:tr>
      <w:tr>
        <w:trPr>
          <w:trHeight w:val="172"/>
        </w:trPr>
        <w:tc>
          <w:tcPr>
            <w:tcW w:w="2040" w:type="dxa"/>
            <w:vAlign w:val="bottom"/>
          </w:tcPr>
          <w:p>
            <w:pPr>
              <w:spacing w:after="0"/>
              <w:rPr>
                <w:sz w:val="14"/>
                <w:szCs w:val="14"/>
                <w:color w:val="auto"/>
              </w:rPr>
            </w:pPr>
          </w:p>
        </w:tc>
        <w:tc>
          <w:tcPr>
            <w:tcW w:w="8580" w:type="dxa"/>
            <w:vAlign w:val="bottom"/>
          </w:tcPr>
          <w:p>
            <w:pPr>
              <w:ind w:left="220"/>
              <w:spacing w:after="0"/>
              <w:rPr>
                <w:sz w:val="20"/>
                <w:szCs w:val="20"/>
                <w:color w:val="auto"/>
              </w:rPr>
            </w:pPr>
            <w:r>
              <w:rPr>
                <w:rFonts w:ascii="Arial" w:cs="Arial" w:eastAsia="Arial" w:hAnsi="Arial"/>
                <w:sz w:val="14"/>
                <w:szCs w:val="14"/>
                <w:color w:val="auto"/>
              </w:rPr>
              <w:t>working with foreign governments and organizations.</w:t>
            </w:r>
          </w:p>
        </w:tc>
      </w:tr>
      <w:tr>
        <w:trPr>
          <w:trHeight w:val="167"/>
        </w:trPr>
        <w:tc>
          <w:tcPr>
            <w:tcW w:w="2040" w:type="dxa"/>
            <w:vAlign w:val="bottom"/>
            <w:shd w:val="clear" w:color="auto" w:fill="E2E0DE"/>
          </w:tcPr>
          <w:p>
            <w:pPr>
              <w:ind w:left="60"/>
              <w:spacing w:after="0"/>
              <w:rPr>
                <w:sz w:val="20"/>
                <w:szCs w:val="20"/>
                <w:color w:val="auto"/>
              </w:rPr>
            </w:pPr>
            <w:r>
              <w:rPr>
                <w:rFonts w:ascii="Arial" w:cs="Arial" w:eastAsia="Arial" w:hAnsi="Arial"/>
                <w:sz w:val="14"/>
                <w:szCs w:val="14"/>
                <w:color w:val="auto"/>
              </w:rPr>
              <w:t>ESG</w:t>
            </w:r>
          </w:p>
        </w:tc>
        <w:tc>
          <w:tcPr>
            <w:tcW w:w="8580" w:type="dxa"/>
            <w:vAlign w:val="bottom"/>
            <w:shd w:val="clear" w:color="auto" w:fill="E2E0DE"/>
          </w:tcPr>
          <w:p>
            <w:pPr>
              <w:ind w:left="220"/>
              <w:spacing w:after="0"/>
              <w:rPr>
                <w:sz w:val="20"/>
                <w:szCs w:val="20"/>
                <w:color w:val="auto"/>
              </w:rPr>
            </w:pPr>
            <w:r>
              <w:rPr>
                <w:rFonts w:ascii="Arial" w:cs="Arial" w:eastAsia="Arial" w:hAnsi="Arial"/>
                <w:sz w:val="14"/>
                <w:szCs w:val="14"/>
                <w:color w:val="auto"/>
                <w:w w:val="98"/>
              </w:rPr>
              <w:t>In his previous roles at the William J. Clinton Foundation and the Creative Artists Agency Foundation, Mr. Strom strategically advised his</w:t>
            </w:r>
          </w:p>
        </w:tc>
      </w:tr>
      <w:tr>
        <w:trPr>
          <w:trHeight w:val="178"/>
        </w:trPr>
        <w:tc>
          <w:tcPr>
            <w:tcW w:w="2040" w:type="dxa"/>
            <w:vAlign w:val="bottom"/>
            <w:shd w:val="clear" w:color="auto" w:fill="E2E0DE"/>
          </w:tcPr>
          <w:p>
            <w:pPr>
              <w:spacing w:after="0"/>
              <w:rPr>
                <w:sz w:val="15"/>
                <w:szCs w:val="15"/>
                <w:color w:val="auto"/>
              </w:rPr>
            </w:pPr>
          </w:p>
        </w:tc>
        <w:tc>
          <w:tcPr>
            <w:tcW w:w="8580" w:type="dxa"/>
            <w:vAlign w:val="bottom"/>
            <w:shd w:val="clear" w:color="auto" w:fill="E2E0DE"/>
          </w:tcPr>
          <w:p>
            <w:pPr>
              <w:ind w:left="220"/>
              <w:spacing w:after="0"/>
              <w:rPr>
                <w:sz w:val="20"/>
                <w:szCs w:val="20"/>
                <w:color w:val="auto"/>
              </w:rPr>
            </w:pPr>
            <w:r>
              <w:rPr>
                <w:rFonts w:ascii="Arial" w:cs="Arial" w:eastAsia="Arial" w:hAnsi="Arial"/>
                <w:sz w:val="14"/>
                <w:szCs w:val="14"/>
                <w:color w:val="auto"/>
              </w:rPr>
              <w:t>clients and non-governmental organizations on a range of issue areas regarding their philanthropy and social initiatives.</w:t>
            </w:r>
          </w:p>
        </w:tc>
      </w:tr>
      <w:tr>
        <w:trPr>
          <w:trHeight w:val="313"/>
        </w:trPr>
        <w:tc>
          <w:tcPr>
            <w:tcW w:w="2040" w:type="dxa"/>
            <w:vAlign w:val="bottom"/>
          </w:tcPr>
          <w:p>
            <w:pPr>
              <w:spacing w:after="0"/>
              <w:rPr>
                <w:sz w:val="24"/>
                <w:szCs w:val="24"/>
                <w:color w:val="auto"/>
              </w:rPr>
            </w:pPr>
          </w:p>
        </w:tc>
        <w:tc>
          <w:tcPr>
            <w:tcW w:w="8580" w:type="dxa"/>
            <w:vAlign w:val="bottom"/>
          </w:tcPr>
          <w:p>
            <w:pPr>
              <w:ind w:left="3160"/>
              <w:spacing w:after="0"/>
              <w:rPr>
                <w:sz w:val="20"/>
                <w:szCs w:val="20"/>
                <w:color w:val="auto"/>
              </w:rPr>
            </w:pPr>
            <w:r>
              <w:rPr>
                <w:rFonts w:ascii="Arial" w:cs="Arial" w:eastAsia="Arial" w:hAnsi="Arial"/>
                <w:sz w:val="14"/>
                <w:szCs w:val="14"/>
                <w:color w:val="auto"/>
              </w:rPr>
              <w:t>// 11 //</w:t>
            </w:r>
          </w:p>
        </w:tc>
      </w:tr>
    </w:tbl>
    <w:p>
      <w:pPr>
        <w:sectPr>
          <w:pgSz w:w="11900" w:h="16838" w:orient="portrait"/>
          <w:cols w:equalWidth="0" w:num="1">
            <w:col w:w="10940"/>
          </w:cols>
          <w:pgMar w:left="320" w:top="473" w:right="6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 xml:space="preserve">Winifred M. Webb </w:t>
      </w:r>
      <w:r>
        <w:rPr>
          <w:rFonts w:ascii="Arial" w:cs="Arial" w:eastAsia="Arial" w:hAnsi="Arial"/>
          <w:sz w:val="13"/>
          <w:szCs w:val="13"/>
          <w:b w:val="1"/>
          <w:bCs w:val="1"/>
          <w:i w:val="1"/>
          <w:iCs w:val="1"/>
          <w:color w:val="333D3F"/>
        </w:rPr>
        <w:t>Founder, Kestrel Corporate Advisors</w:t>
      </w:r>
    </w:p>
    <w:p>
      <w:pPr>
        <w:spacing w:after="0" w:line="229" w:lineRule="exact"/>
        <w:rPr>
          <w:sz w:val="20"/>
          <w:szCs w:val="20"/>
          <w:color w:val="auto"/>
        </w:rPr>
      </w:pPr>
    </w:p>
    <w:p>
      <w:pPr>
        <w:ind w:left="320" w:right="300"/>
        <w:spacing w:after="0" w:line="239" w:lineRule="auto"/>
        <w:rPr>
          <w:sz w:val="20"/>
          <w:szCs w:val="20"/>
          <w:color w:val="auto"/>
        </w:rPr>
      </w:pPr>
      <w:r>
        <w:rPr>
          <w:rFonts w:ascii="Arial" w:cs="Arial" w:eastAsia="Arial" w:hAnsi="Arial"/>
          <w:sz w:val="14"/>
          <w:szCs w:val="14"/>
          <w:color w:val="auto"/>
        </w:rPr>
        <w:t>Ms. Webb founded Kestrel Corporate Advisors, an advisory services firm in 2013. Ms. Webb currently serves on the Board of Trustees of AMH (since January 2019), the Boards of AppFolio, Inc. (since December 2019) and ABM Industries (“ABM”) (since 2014).</w:t>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320" w:type="dxa"/>
        <w:tblCellMar>
          <w:top w:w="0" w:type="dxa"/>
          <w:left w:w="0" w:type="dxa"/>
          <w:bottom w:w="0" w:type="dxa"/>
          <w:right w:w="0" w:type="dxa"/>
        </w:tblCellMar>
      </w:tblPr>
      <w:tr>
        <w:trPr>
          <w:trHeight w:val="335"/>
        </w:trPr>
        <w:tc>
          <w:tcPr>
            <w:tcW w:w="180" w:type="dxa"/>
            <w:vAlign w:val="bottom"/>
            <w:tcBorders>
              <w:right w:val="single" w:sz="8" w:color="FBF9EC"/>
            </w:tcBorders>
            <w:shd w:val="clear" w:color="auto" w:fill="FBF9EC"/>
          </w:tcPr>
          <w:p>
            <w:pPr>
              <w:spacing w:after="0"/>
              <w:rPr>
                <w:sz w:val="24"/>
                <w:szCs w:val="24"/>
                <w:color w:val="auto"/>
              </w:rPr>
            </w:pPr>
          </w:p>
        </w:tc>
        <w:tc>
          <w:tcPr>
            <w:tcW w:w="940" w:type="dxa"/>
            <w:vAlign w:val="bottom"/>
            <w:shd w:val="clear" w:color="auto" w:fill="FBF9EC"/>
          </w:tcPr>
          <w:p>
            <w:pPr>
              <w:spacing w:after="0"/>
              <w:rPr>
                <w:sz w:val="20"/>
                <w:szCs w:val="20"/>
                <w:color w:val="auto"/>
              </w:rPr>
            </w:pPr>
            <w:r>
              <w:rPr>
                <w:rFonts w:ascii="Arial" w:cs="Arial" w:eastAsia="Arial" w:hAnsi="Arial"/>
                <w:sz w:val="12"/>
                <w:szCs w:val="12"/>
                <w:color w:val="333D3F"/>
              </w:rPr>
              <w:t>Director Since</w:t>
            </w:r>
          </w:p>
        </w:tc>
        <w:tc>
          <w:tcPr>
            <w:tcW w:w="1960" w:type="dxa"/>
            <w:vAlign w:val="bottom"/>
            <w:gridSpan w:val="2"/>
            <w:shd w:val="clear" w:color="auto" w:fill="FBF9EC"/>
          </w:tcPr>
          <w:p>
            <w:pPr>
              <w:ind w:left="160"/>
              <w:spacing w:after="0"/>
              <w:rPr>
                <w:sz w:val="20"/>
                <w:szCs w:val="20"/>
                <w:color w:val="auto"/>
              </w:rPr>
            </w:pPr>
            <w:r>
              <w:rPr>
                <w:rFonts w:ascii="Arial" w:cs="Arial" w:eastAsia="Arial" w:hAnsi="Arial"/>
                <w:sz w:val="12"/>
                <w:szCs w:val="12"/>
                <w:color w:val="333D3F"/>
              </w:rPr>
              <w:t>April 2018</w:t>
            </w:r>
          </w:p>
        </w:tc>
      </w:tr>
      <w:tr>
        <w:trPr>
          <w:trHeight w:val="68"/>
        </w:trPr>
        <w:tc>
          <w:tcPr>
            <w:tcW w:w="180" w:type="dxa"/>
            <w:vAlign w:val="bottom"/>
            <w:tcBorders>
              <w:right w:val="single" w:sz="8" w:color="FBF9EC"/>
            </w:tcBorders>
            <w:shd w:val="clear" w:color="auto" w:fill="FBF9EC"/>
          </w:tcPr>
          <w:p>
            <w:pPr>
              <w:spacing w:after="0"/>
              <w:rPr>
                <w:sz w:val="5"/>
                <w:szCs w:val="5"/>
                <w:color w:val="auto"/>
              </w:rPr>
            </w:pPr>
          </w:p>
        </w:tc>
        <w:tc>
          <w:tcPr>
            <w:tcW w:w="940" w:type="dxa"/>
            <w:vAlign w:val="bottom"/>
            <w:tcBorders>
              <w:bottom w:val="single" w:sz="8" w:color="auto"/>
            </w:tcBorders>
            <w:shd w:val="clear" w:color="auto" w:fill="FBF9EC"/>
          </w:tcPr>
          <w:p>
            <w:pPr>
              <w:spacing w:after="0"/>
              <w:rPr>
                <w:sz w:val="5"/>
                <w:szCs w:val="5"/>
                <w:color w:val="auto"/>
              </w:rPr>
            </w:pPr>
          </w:p>
        </w:tc>
        <w:tc>
          <w:tcPr>
            <w:tcW w:w="1840" w:type="dxa"/>
            <w:vAlign w:val="bottom"/>
            <w:tcBorders>
              <w:bottom w:val="single" w:sz="8" w:color="auto"/>
            </w:tcBorders>
            <w:shd w:val="clear" w:color="auto" w:fill="FBF9EC"/>
          </w:tcPr>
          <w:p>
            <w:pPr>
              <w:spacing w:after="0"/>
              <w:rPr>
                <w:sz w:val="5"/>
                <w:szCs w:val="5"/>
                <w:color w:val="auto"/>
              </w:rPr>
            </w:pPr>
          </w:p>
        </w:tc>
        <w:tc>
          <w:tcPr>
            <w:tcW w:w="120" w:type="dxa"/>
            <w:vAlign w:val="bottom"/>
            <w:tcBorders>
              <w:bottom w:val="single" w:sz="8" w:color="FBF9EC"/>
            </w:tcBorders>
            <w:shd w:val="clear" w:color="auto" w:fill="FBF9EC"/>
          </w:tcPr>
          <w:p>
            <w:pPr>
              <w:spacing w:after="0"/>
              <w:rPr>
                <w:sz w:val="5"/>
                <w:szCs w:val="5"/>
                <w:color w:val="auto"/>
              </w:rPr>
            </w:pPr>
          </w:p>
        </w:tc>
      </w:tr>
      <w:tr>
        <w:trPr>
          <w:trHeight w:val="328"/>
        </w:trPr>
        <w:tc>
          <w:tcPr>
            <w:tcW w:w="180" w:type="dxa"/>
            <w:vAlign w:val="bottom"/>
            <w:tcBorders>
              <w:right w:val="single" w:sz="8" w:color="FBF9EC"/>
            </w:tcBorders>
          </w:tcPr>
          <w:p>
            <w:pPr>
              <w:spacing w:after="0"/>
              <w:rPr>
                <w:sz w:val="24"/>
                <w:szCs w:val="24"/>
                <w:color w:val="auto"/>
              </w:rPr>
            </w:pPr>
          </w:p>
        </w:tc>
        <w:tc>
          <w:tcPr>
            <w:tcW w:w="940" w:type="dxa"/>
            <w:vAlign w:val="bottom"/>
            <w:shd w:val="clear" w:color="auto" w:fill="FBF9EC"/>
          </w:tcPr>
          <w:p>
            <w:pPr>
              <w:spacing w:after="0"/>
              <w:rPr>
                <w:sz w:val="20"/>
                <w:szCs w:val="20"/>
                <w:color w:val="auto"/>
              </w:rPr>
            </w:pPr>
            <w:r>
              <w:rPr>
                <w:rFonts w:ascii="Arial" w:cs="Arial" w:eastAsia="Arial" w:hAnsi="Arial"/>
                <w:sz w:val="12"/>
                <w:szCs w:val="12"/>
                <w:color w:val="333D3F"/>
              </w:rPr>
              <w:t>Term Expires</w:t>
            </w:r>
          </w:p>
        </w:tc>
        <w:tc>
          <w:tcPr>
            <w:tcW w:w="1960" w:type="dxa"/>
            <w:vAlign w:val="bottom"/>
            <w:gridSpan w:val="2"/>
            <w:shd w:val="clear" w:color="auto" w:fill="FBF9EC"/>
          </w:tcPr>
          <w:p>
            <w:pPr>
              <w:ind w:left="160"/>
              <w:spacing w:after="0"/>
              <w:rPr>
                <w:sz w:val="20"/>
                <w:szCs w:val="20"/>
                <w:color w:val="auto"/>
              </w:rPr>
            </w:pPr>
            <w:r>
              <w:rPr>
                <w:rFonts w:ascii="Arial" w:cs="Arial" w:eastAsia="Arial" w:hAnsi="Arial"/>
                <w:sz w:val="12"/>
                <w:szCs w:val="12"/>
                <w:color w:val="333D3F"/>
              </w:rPr>
              <w:t>2025 Annual Meeting</w:t>
            </w:r>
          </w:p>
        </w:tc>
      </w:tr>
      <w:tr>
        <w:trPr>
          <w:trHeight w:val="68"/>
        </w:trPr>
        <w:tc>
          <w:tcPr>
            <w:tcW w:w="180" w:type="dxa"/>
            <w:vAlign w:val="bottom"/>
            <w:tcBorders>
              <w:right w:val="single" w:sz="8" w:color="FBF9EC"/>
            </w:tcBorders>
          </w:tcPr>
          <w:p>
            <w:pPr>
              <w:spacing w:after="0"/>
              <w:rPr>
                <w:sz w:val="5"/>
                <w:szCs w:val="5"/>
                <w:color w:val="auto"/>
              </w:rPr>
            </w:pPr>
          </w:p>
        </w:tc>
        <w:tc>
          <w:tcPr>
            <w:tcW w:w="940" w:type="dxa"/>
            <w:vAlign w:val="bottom"/>
            <w:tcBorders>
              <w:bottom w:val="single" w:sz="8" w:color="auto"/>
            </w:tcBorders>
            <w:shd w:val="clear" w:color="auto" w:fill="FBF9EC"/>
          </w:tcPr>
          <w:p>
            <w:pPr>
              <w:spacing w:after="0"/>
              <w:rPr>
                <w:sz w:val="5"/>
                <w:szCs w:val="5"/>
                <w:color w:val="auto"/>
              </w:rPr>
            </w:pPr>
          </w:p>
        </w:tc>
        <w:tc>
          <w:tcPr>
            <w:tcW w:w="1840" w:type="dxa"/>
            <w:vAlign w:val="bottom"/>
            <w:tcBorders>
              <w:bottom w:val="single" w:sz="8" w:color="auto"/>
            </w:tcBorders>
            <w:shd w:val="clear" w:color="auto" w:fill="FBF9EC"/>
          </w:tcPr>
          <w:p>
            <w:pPr>
              <w:spacing w:after="0"/>
              <w:rPr>
                <w:sz w:val="5"/>
                <w:szCs w:val="5"/>
                <w:color w:val="auto"/>
              </w:rPr>
            </w:pPr>
          </w:p>
        </w:tc>
        <w:tc>
          <w:tcPr>
            <w:tcW w:w="120" w:type="dxa"/>
            <w:vAlign w:val="bottom"/>
            <w:tcBorders>
              <w:bottom w:val="single" w:sz="8" w:color="FBF9EC"/>
            </w:tcBorders>
            <w:shd w:val="clear" w:color="auto" w:fill="FBF9EC"/>
          </w:tcPr>
          <w:p>
            <w:pPr>
              <w:spacing w:after="0"/>
              <w:rPr>
                <w:sz w:val="5"/>
                <w:szCs w:val="5"/>
                <w:color w:val="auto"/>
              </w:rPr>
            </w:pPr>
          </w:p>
        </w:tc>
      </w:tr>
      <w:tr>
        <w:trPr>
          <w:trHeight w:val="328"/>
        </w:trPr>
        <w:tc>
          <w:tcPr>
            <w:tcW w:w="180" w:type="dxa"/>
            <w:vAlign w:val="bottom"/>
          </w:tcPr>
          <w:p>
            <w:pPr>
              <w:spacing w:after="0"/>
              <w:rPr>
                <w:sz w:val="24"/>
                <w:szCs w:val="24"/>
                <w:color w:val="auto"/>
              </w:rPr>
            </w:pPr>
          </w:p>
        </w:tc>
        <w:tc>
          <w:tcPr>
            <w:tcW w:w="940" w:type="dxa"/>
            <w:vAlign w:val="bottom"/>
            <w:shd w:val="clear" w:color="auto" w:fill="FBF9EC"/>
          </w:tcPr>
          <w:p>
            <w:pPr>
              <w:spacing w:after="0"/>
              <w:rPr>
                <w:sz w:val="20"/>
                <w:szCs w:val="20"/>
                <w:color w:val="auto"/>
              </w:rPr>
            </w:pPr>
            <w:r>
              <w:rPr>
                <w:rFonts w:ascii="Arial" w:cs="Arial" w:eastAsia="Arial" w:hAnsi="Arial"/>
                <w:sz w:val="12"/>
                <w:szCs w:val="12"/>
                <w:color w:val="333D3F"/>
              </w:rPr>
              <w:t>Age</w:t>
            </w:r>
          </w:p>
        </w:tc>
        <w:tc>
          <w:tcPr>
            <w:tcW w:w="1840" w:type="dxa"/>
            <w:vAlign w:val="bottom"/>
            <w:shd w:val="clear" w:color="auto" w:fill="FBF9EC"/>
          </w:tcPr>
          <w:p>
            <w:pPr>
              <w:ind w:left="160"/>
              <w:spacing w:after="0"/>
              <w:rPr>
                <w:sz w:val="20"/>
                <w:szCs w:val="20"/>
                <w:color w:val="auto"/>
              </w:rPr>
            </w:pPr>
            <w:r>
              <w:rPr>
                <w:rFonts w:ascii="Arial" w:cs="Arial" w:eastAsia="Arial" w:hAnsi="Arial"/>
                <w:sz w:val="12"/>
                <w:szCs w:val="12"/>
                <w:color w:val="333D3F"/>
              </w:rPr>
              <w:t>65</w:t>
            </w:r>
          </w:p>
        </w:tc>
        <w:tc>
          <w:tcPr>
            <w:tcW w:w="120" w:type="dxa"/>
            <w:vAlign w:val="bottom"/>
            <w:shd w:val="clear" w:color="auto" w:fill="FBF9EC"/>
          </w:tcPr>
          <w:p>
            <w:pPr>
              <w:spacing w:after="0"/>
              <w:rPr>
                <w:sz w:val="24"/>
                <w:szCs w:val="24"/>
                <w:color w:val="auto"/>
              </w:rPr>
            </w:pPr>
          </w:p>
        </w:tc>
      </w:tr>
      <w:tr>
        <w:trPr>
          <w:trHeight w:val="68"/>
        </w:trPr>
        <w:tc>
          <w:tcPr>
            <w:tcW w:w="180" w:type="dxa"/>
            <w:vAlign w:val="bottom"/>
          </w:tcPr>
          <w:p>
            <w:pPr>
              <w:spacing w:after="0"/>
              <w:rPr>
                <w:sz w:val="5"/>
                <w:szCs w:val="5"/>
                <w:color w:val="auto"/>
              </w:rPr>
            </w:pPr>
          </w:p>
        </w:tc>
        <w:tc>
          <w:tcPr>
            <w:tcW w:w="940" w:type="dxa"/>
            <w:vAlign w:val="bottom"/>
            <w:shd w:val="clear" w:color="auto" w:fill="FBF9EC"/>
          </w:tcPr>
          <w:p>
            <w:pPr>
              <w:spacing w:after="0"/>
              <w:rPr>
                <w:sz w:val="5"/>
                <w:szCs w:val="5"/>
                <w:color w:val="auto"/>
              </w:rPr>
            </w:pPr>
          </w:p>
        </w:tc>
        <w:tc>
          <w:tcPr>
            <w:tcW w:w="1840" w:type="dxa"/>
            <w:vAlign w:val="bottom"/>
            <w:shd w:val="clear" w:color="auto" w:fill="FBF9EC"/>
          </w:tcPr>
          <w:p>
            <w:pPr>
              <w:spacing w:after="0"/>
              <w:rPr>
                <w:sz w:val="5"/>
                <w:szCs w:val="5"/>
                <w:color w:val="auto"/>
              </w:rPr>
            </w:pPr>
          </w:p>
        </w:tc>
        <w:tc>
          <w:tcPr>
            <w:tcW w:w="120" w:type="dxa"/>
            <w:vAlign w:val="bottom"/>
            <w:shd w:val="clear" w:color="auto" w:fill="FBF9EC"/>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-2155190</wp:posOffset>
            </wp:positionV>
            <wp:extent cx="1957705" cy="25361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57705" cy="2536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PREVIOUS EXPERIENCE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–   2010 to 2013: Managing Director, Tennenbaum Capital Partners, now part of BlackRock</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–   2008 to 2010: Member of the Corporate Executive team and senior advisor, Ticketmaster</w:t>
      </w:r>
    </w:p>
    <w:p>
      <w:pPr>
        <w:spacing w:after="0" w:line="73" w:lineRule="exact"/>
        <w:rPr>
          <w:sz w:val="20"/>
          <w:szCs w:val="20"/>
          <w:color w:val="auto"/>
        </w:rPr>
      </w:pPr>
    </w:p>
    <w:p>
      <w:pPr>
        <w:ind w:left="180" w:right="40" w:hanging="172"/>
        <w:spacing w:after="0" w:line="237" w:lineRule="auto"/>
        <w:rPr>
          <w:sz w:val="20"/>
          <w:szCs w:val="20"/>
          <w:color w:val="auto"/>
        </w:rPr>
      </w:pPr>
      <w:r>
        <w:rPr>
          <w:rFonts w:ascii="Arial" w:cs="Arial" w:eastAsia="Arial" w:hAnsi="Arial"/>
          <w:sz w:val="14"/>
          <w:szCs w:val="14"/>
          <w:color w:val="auto"/>
        </w:rPr>
        <w:t>–   1988 to 2008: Various senior corporate positions, including as Senior Vice President of Investor Relations and Shareholder Services, and governance outreach, The Walt Disney Company (“Disney”); Executive Director, The Walt Disney Company Foundation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Previously held various investment banking positions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–   Prior service on the boards of TiVo, Jack in the Box, and nonprofit PetSmart Charities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EDUCATION</w:t>
      </w:r>
    </w:p>
    <w:p>
      <w:pPr>
        <w:spacing w:after="0" w:line="16" w:lineRule="exact"/>
        <w:rPr>
          <w:sz w:val="20"/>
          <w:szCs w:val="20"/>
          <w:color w:val="auto"/>
        </w:rPr>
      </w:pPr>
    </w:p>
    <w:p>
      <w:pPr>
        <w:ind w:right="520"/>
        <w:spacing w:after="0" w:line="239" w:lineRule="auto"/>
        <w:rPr>
          <w:sz w:val="20"/>
          <w:szCs w:val="20"/>
          <w:color w:val="auto"/>
        </w:rPr>
      </w:pPr>
      <w:r>
        <w:rPr>
          <w:rFonts w:ascii="Arial" w:cs="Arial" w:eastAsia="Arial" w:hAnsi="Arial"/>
          <w:sz w:val="14"/>
          <w:szCs w:val="14"/>
          <w:color w:val="auto"/>
        </w:rPr>
        <w:t>Ms. Webb graduated with a B.A. (with honors) from Smith College and received her M.B.A. from Harvard University.</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B3AB9D"/>
        </w:rPr>
        <w:t>EXPERTISE</w:t>
      </w:r>
    </w:p>
    <w:p>
      <w:pPr>
        <w:spacing w:after="0" w:line="16" w:lineRule="exact"/>
        <w:rPr>
          <w:sz w:val="20"/>
          <w:szCs w:val="20"/>
          <w:color w:val="auto"/>
        </w:rPr>
      </w:pPr>
    </w:p>
    <w:p>
      <w:pPr>
        <w:ind w:right="80"/>
        <w:spacing w:after="0" w:line="235" w:lineRule="auto"/>
        <w:rPr>
          <w:sz w:val="20"/>
          <w:szCs w:val="20"/>
          <w:color w:val="auto"/>
        </w:rPr>
      </w:pPr>
      <w:r>
        <w:rPr>
          <w:rFonts w:ascii="Arial" w:cs="Arial" w:eastAsia="Arial" w:hAnsi="Arial"/>
          <w:sz w:val="14"/>
          <w:szCs w:val="14"/>
          <w:color w:val="auto"/>
        </w:rPr>
        <w:t>Ms. Webb brings to our Board significant industry expertise in travel and tourism, hospitality, food and beverage, media and entertainment, retailing, real estate and facilities services. Ms. Webb’s experience developing award-winning investor relations, strategic communications, brand-building programs and extensive, public company board service contribute to the Board’s ability to provide creative solutions in strategic planning and board governance.</w:t>
      </w:r>
    </w:p>
    <w:p>
      <w:pPr>
        <w:spacing w:after="0" w:line="304" w:lineRule="exact"/>
        <w:rPr>
          <w:sz w:val="20"/>
          <w:szCs w:val="20"/>
          <w:color w:val="auto"/>
        </w:rPr>
      </w:pPr>
    </w:p>
    <w:p>
      <w:pPr>
        <w:sectPr>
          <w:pgSz w:w="11900" w:h="16838" w:orient="portrait"/>
          <w:cols w:equalWidth="0" w:num="2">
            <w:col w:w="3400" w:space="600"/>
            <w:col w:w="6940"/>
          </w:cols>
          <w:pgMar w:left="320" w:top="473" w:right="639" w:bottom="1440" w:gutter="0" w:footer="0" w:header="0"/>
          <w:type w:val="continuous"/>
        </w:sectPr>
      </w:pPr>
    </w:p>
    <w:p>
      <w:pPr>
        <w:spacing w:after="0" w:line="2" w:lineRule="exact"/>
        <w:rPr>
          <w:sz w:val="20"/>
          <w:szCs w:val="20"/>
          <w:color w:val="auto"/>
        </w:rPr>
      </w:pPr>
    </w:p>
    <w:p>
      <w:pPr>
        <w:ind w:left="500"/>
        <w:spacing w:after="0"/>
        <w:rPr>
          <w:sz w:val="20"/>
          <w:szCs w:val="20"/>
          <w:color w:val="auto"/>
        </w:rPr>
      </w:pPr>
      <w:r>
        <w:rPr>
          <w:rFonts w:ascii="Arial" w:cs="Arial" w:eastAsia="Arial" w:hAnsi="Arial"/>
          <w:sz w:val="12"/>
          <w:szCs w:val="12"/>
          <w:color w:val="333D3F"/>
        </w:rPr>
        <w:t>Board Committees: Audit, Chair (Financial Expert)</w:t>
      </w: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B3AB9D"/>
        </w:rPr>
        <w:t>SKILLS AND QUALIFICATIONS</w:t>
      </w:r>
    </w:p>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160" w:type="dxa"/>
            <w:vAlign w:val="bottom"/>
            <w:shd w:val="clear" w:color="auto" w:fill="E2E0DE"/>
          </w:tcPr>
          <w:p>
            <w:pPr>
              <w:ind w:left="60"/>
              <w:spacing w:after="0"/>
              <w:rPr>
                <w:sz w:val="20"/>
                <w:szCs w:val="20"/>
                <w:color w:val="auto"/>
              </w:rPr>
            </w:pPr>
            <w:r>
              <w:rPr>
                <w:rFonts w:ascii="Arial" w:cs="Arial" w:eastAsia="Arial" w:hAnsi="Arial"/>
                <w:sz w:val="14"/>
                <w:szCs w:val="14"/>
                <w:color w:val="auto"/>
              </w:rPr>
              <w:t>Travel, Leisure, Hospitality &amp;</w:t>
            </w:r>
          </w:p>
        </w:tc>
        <w:tc>
          <w:tcPr>
            <w:tcW w:w="8460" w:type="dxa"/>
            <w:vAlign w:val="bottom"/>
            <w:shd w:val="clear" w:color="auto" w:fill="E2E0DE"/>
          </w:tcPr>
          <w:p>
            <w:pPr>
              <w:ind w:left="100"/>
              <w:spacing w:after="0"/>
              <w:rPr>
                <w:sz w:val="20"/>
                <w:szCs w:val="20"/>
                <w:color w:val="auto"/>
              </w:rPr>
            </w:pPr>
            <w:r>
              <w:rPr>
                <w:rFonts w:ascii="Arial" w:cs="Arial" w:eastAsia="Arial" w:hAnsi="Arial"/>
                <w:sz w:val="14"/>
                <w:szCs w:val="14"/>
                <w:color w:val="auto"/>
              </w:rPr>
              <w:t>Ms. Webb has over 20 years of experience with Disney, one of the world’s leading entertainment companies.</w:t>
            </w:r>
          </w:p>
        </w:tc>
      </w:tr>
      <w:tr>
        <w:trPr>
          <w:trHeight w:val="178"/>
        </w:trPr>
        <w:tc>
          <w:tcPr>
            <w:tcW w:w="2160" w:type="dxa"/>
            <w:vAlign w:val="bottom"/>
            <w:shd w:val="clear" w:color="auto" w:fill="E2E0DE"/>
          </w:tcPr>
          <w:p>
            <w:pPr>
              <w:ind w:left="60"/>
              <w:spacing w:after="0"/>
              <w:rPr>
                <w:sz w:val="20"/>
                <w:szCs w:val="20"/>
                <w:color w:val="auto"/>
              </w:rPr>
            </w:pPr>
            <w:r>
              <w:rPr>
                <w:rFonts w:ascii="Arial" w:cs="Arial" w:eastAsia="Arial" w:hAnsi="Arial"/>
                <w:sz w:val="14"/>
                <w:szCs w:val="14"/>
                <w:color w:val="auto"/>
              </w:rPr>
              <w:t>Entertainment</w:t>
            </w:r>
          </w:p>
        </w:tc>
        <w:tc>
          <w:tcPr>
            <w:tcW w:w="8460" w:type="dxa"/>
            <w:vAlign w:val="bottom"/>
            <w:shd w:val="clear" w:color="auto" w:fill="E2E0DE"/>
          </w:tcPr>
          <w:p>
            <w:pPr>
              <w:spacing w:after="0"/>
              <w:rPr>
                <w:sz w:val="15"/>
                <w:szCs w:val="15"/>
                <w:color w:val="auto"/>
              </w:rPr>
            </w:pPr>
          </w:p>
        </w:tc>
      </w:tr>
      <w:tr>
        <w:trPr>
          <w:trHeight w:val="176"/>
        </w:trPr>
        <w:tc>
          <w:tcPr>
            <w:tcW w:w="2160" w:type="dxa"/>
            <w:vAlign w:val="bottom"/>
          </w:tcPr>
          <w:p>
            <w:pPr>
              <w:ind w:left="60"/>
              <w:spacing w:after="0"/>
              <w:rPr>
                <w:sz w:val="20"/>
                <w:szCs w:val="20"/>
                <w:color w:val="auto"/>
              </w:rPr>
            </w:pPr>
            <w:r>
              <w:rPr>
                <w:rFonts w:ascii="Arial" w:cs="Arial" w:eastAsia="Arial" w:hAnsi="Arial"/>
                <w:sz w:val="14"/>
                <w:szCs w:val="14"/>
                <w:color w:val="auto"/>
              </w:rPr>
              <w:t>Public Company C-Suite</w:t>
            </w:r>
          </w:p>
        </w:tc>
        <w:tc>
          <w:tcPr>
            <w:tcW w:w="8460" w:type="dxa"/>
            <w:vAlign w:val="bottom"/>
          </w:tcPr>
          <w:p>
            <w:pPr>
              <w:ind w:left="100"/>
              <w:spacing w:after="0"/>
              <w:rPr>
                <w:sz w:val="20"/>
                <w:szCs w:val="20"/>
                <w:color w:val="auto"/>
              </w:rPr>
            </w:pPr>
            <w:r>
              <w:rPr>
                <w:rFonts w:ascii="Arial" w:cs="Arial" w:eastAsia="Arial" w:hAnsi="Arial"/>
                <w:sz w:val="14"/>
                <w:szCs w:val="14"/>
                <w:color w:val="auto"/>
              </w:rPr>
              <w:t>Ms. Webb was a member of the corporate executive teams of TPC Capital Corp, Ticketmaster and Disney.</w:t>
            </w:r>
          </w:p>
        </w:tc>
      </w:tr>
      <w:tr>
        <w:trPr>
          <w:trHeight w:val="188"/>
        </w:trPr>
        <w:tc>
          <w:tcPr>
            <w:tcW w:w="2160" w:type="dxa"/>
            <w:vAlign w:val="bottom"/>
            <w:shd w:val="clear" w:color="auto" w:fill="E2E0DE"/>
          </w:tcPr>
          <w:p>
            <w:pPr>
              <w:ind w:left="60"/>
              <w:spacing w:after="0"/>
              <w:rPr>
                <w:sz w:val="20"/>
                <w:szCs w:val="20"/>
                <w:color w:val="auto"/>
              </w:rPr>
            </w:pPr>
            <w:r>
              <w:rPr>
                <w:rFonts w:ascii="Arial" w:cs="Arial" w:eastAsia="Arial" w:hAnsi="Arial"/>
                <w:sz w:val="14"/>
                <w:szCs w:val="14"/>
                <w:color w:val="auto"/>
              </w:rPr>
              <w:t>Public Company Board</w:t>
            </w:r>
          </w:p>
        </w:tc>
        <w:tc>
          <w:tcPr>
            <w:tcW w:w="8460" w:type="dxa"/>
            <w:vAlign w:val="bottom"/>
            <w:shd w:val="clear" w:color="auto" w:fill="E2E0DE"/>
          </w:tcPr>
          <w:p>
            <w:pPr>
              <w:ind w:left="100"/>
              <w:spacing w:after="0"/>
              <w:rPr>
                <w:sz w:val="20"/>
                <w:szCs w:val="20"/>
                <w:color w:val="auto"/>
              </w:rPr>
            </w:pPr>
            <w:r>
              <w:rPr>
                <w:rFonts w:ascii="Arial" w:cs="Arial" w:eastAsia="Arial" w:hAnsi="Arial"/>
                <w:sz w:val="14"/>
                <w:szCs w:val="14"/>
                <w:color w:val="auto"/>
              </w:rPr>
              <w:t>Ms. Webb has served as a director of Tivo and Jack in the Box. She currently serves on the boards of AMH, AppFolio, and ABM.</w:t>
            </w:r>
          </w:p>
        </w:tc>
      </w:tr>
      <w:tr>
        <w:trPr>
          <w:trHeight w:val="161"/>
        </w:trPr>
        <w:tc>
          <w:tcPr>
            <w:tcW w:w="2160" w:type="dxa"/>
            <w:vAlign w:val="bottom"/>
          </w:tcPr>
          <w:p>
            <w:pPr>
              <w:ind w:left="60"/>
              <w:spacing w:after="0"/>
              <w:rPr>
                <w:sz w:val="20"/>
                <w:szCs w:val="20"/>
                <w:color w:val="auto"/>
              </w:rPr>
            </w:pPr>
            <w:r>
              <w:rPr>
                <w:rFonts w:ascii="Arial" w:cs="Arial" w:eastAsia="Arial" w:hAnsi="Arial"/>
                <w:sz w:val="14"/>
                <w:szCs w:val="14"/>
                <w:color w:val="auto"/>
              </w:rPr>
              <w:t>Finance and Accounting</w:t>
            </w:r>
          </w:p>
        </w:tc>
        <w:tc>
          <w:tcPr>
            <w:tcW w:w="8460" w:type="dxa"/>
            <w:vAlign w:val="bottom"/>
          </w:tcPr>
          <w:p>
            <w:pPr>
              <w:ind w:left="100"/>
              <w:spacing w:after="0"/>
              <w:rPr>
                <w:sz w:val="20"/>
                <w:szCs w:val="20"/>
                <w:color w:val="auto"/>
              </w:rPr>
            </w:pPr>
            <w:r>
              <w:rPr>
                <w:rFonts w:ascii="Arial" w:cs="Arial" w:eastAsia="Arial" w:hAnsi="Arial"/>
                <w:sz w:val="14"/>
                <w:szCs w:val="14"/>
                <w:color w:val="auto"/>
              </w:rPr>
              <w:t>Ms. Webb began her career in investment banking. She served as Vice President at PaineWebber in New York and as a Corporate</w:t>
            </w:r>
          </w:p>
        </w:tc>
      </w:tr>
      <w:tr>
        <w:trPr>
          <w:trHeight w:val="156"/>
        </w:trPr>
        <w:tc>
          <w:tcPr>
            <w:tcW w:w="2160" w:type="dxa"/>
            <w:vAlign w:val="bottom"/>
          </w:tcPr>
          <w:p>
            <w:pPr>
              <w:spacing w:after="0"/>
              <w:rPr>
                <w:sz w:val="13"/>
                <w:szCs w:val="13"/>
                <w:color w:val="auto"/>
              </w:rPr>
            </w:pPr>
          </w:p>
        </w:tc>
        <w:tc>
          <w:tcPr>
            <w:tcW w:w="8460" w:type="dxa"/>
            <w:vAlign w:val="bottom"/>
          </w:tcPr>
          <w:p>
            <w:pPr>
              <w:ind w:left="100"/>
              <w:spacing w:after="0" w:line="156" w:lineRule="exact"/>
              <w:rPr>
                <w:sz w:val="20"/>
                <w:szCs w:val="20"/>
                <w:color w:val="auto"/>
              </w:rPr>
            </w:pPr>
            <w:r>
              <w:rPr>
                <w:rFonts w:ascii="Arial" w:cs="Arial" w:eastAsia="Arial" w:hAnsi="Arial"/>
                <w:sz w:val="14"/>
                <w:szCs w:val="14"/>
                <w:color w:val="auto"/>
              </w:rPr>
              <w:t>Finance Analyst at Lehman Brothers. Prior to assuming her role in investor relations with Disney, she was engaged in that company’s</w:t>
            </w:r>
          </w:p>
        </w:tc>
      </w:tr>
      <w:tr>
        <w:trPr>
          <w:trHeight w:val="172"/>
        </w:trPr>
        <w:tc>
          <w:tcPr>
            <w:tcW w:w="2160" w:type="dxa"/>
            <w:vAlign w:val="bottom"/>
          </w:tcPr>
          <w:p>
            <w:pPr>
              <w:spacing w:after="0"/>
              <w:rPr>
                <w:sz w:val="14"/>
                <w:szCs w:val="14"/>
                <w:color w:val="auto"/>
              </w:rPr>
            </w:pPr>
          </w:p>
        </w:tc>
        <w:tc>
          <w:tcPr>
            <w:tcW w:w="8460" w:type="dxa"/>
            <w:vAlign w:val="bottom"/>
          </w:tcPr>
          <w:p>
            <w:pPr>
              <w:ind w:left="100"/>
              <w:spacing w:after="0"/>
              <w:rPr>
                <w:sz w:val="20"/>
                <w:szCs w:val="20"/>
                <w:color w:val="auto"/>
              </w:rPr>
            </w:pPr>
            <w:r>
              <w:rPr>
                <w:rFonts w:ascii="Arial" w:cs="Arial" w:eastAsia="Arial" w:hAnsi="Arial"/>
                <w:sz w:val="14"/>
                <w:szCs w:val="14"/>
                <w:color w:val="auto"/>
              </w:rPr>
              <w:t>capital markets, treasury and corporate finance activities. She serves on the Audit Committees of ABM and AppFolio (chair).</w:t>
            </w:r>
          </w:p>
        </w:tc>
      </w:tr>
      <w:tr>
        <w:trPr>
          <w:trHeight w:val="167"/>
        </w:trPr>
        <w:tc>
          <w:tcPr>
            <w:tcW w:w="2160" w:type="dxa"/>
            <w:vAlign w:val="bottom"/>
            <w:shd w:val="clear" w:color="auto" w:fill="E2E0DE"/>
          </w:tcPr>
          <w:p>
            <w:pPr>
              <w:ind w:left="60"/>
              <w:spacing w:after="0"/>
              <w:rPr>
                <w:sz w:val="20"/>
                <w:szCs w:val="20"/>
                <w:color w:val="auto"/>
              </w:rPr>
            </w:pPr>
            <w:r>
              <w:rPr>
                <w:rFonts w:ascii="Arial" w:cs="Arial" w:eastAsia="Arial" w:hAnsi="Arial"/>
                <w:sz w:val="14"/>
                <w:szCs w:val="14"/>
                <w:color w:val="auto"/>
              </w:rPr>
              <w:t>Cybersecurity</w:t>
            </w:r>
          </w:p>
        </w:tc>
        <w:tc>
          <w:tcPr>
            <w:tcW w:w="8460" w:type="dxa"/>
            <w:vAlign w:val="bottom"/>
            <w:shd w:val="clear" w:color="auto" w:fill="E2E0DE"/>
          </w:tcPr>
          <w:p>
            <w:pPr>
              <w:ind w:left="100"/>
              <w:spacing w:after="0"/>
              <w:rPr>
                <w:sz w:val="20"/>
                <w:szCs w:val="20"/>
                <w:color w:val="auto"/>
              </w:rPr>
            </w:pPr>
            <w:r>
              <w:rPr>
                <w:rFonts w:ascii="Arial" w:cs="Arial" w:eastAsia="Arial" w:hAnsi="Arial"/>
                <w:sz w:val="14"/>
                <w:szCs w:val="14"/>
                <w:color w:val="auto"/>
              </w:rPr>
              <w:t>Ms. Webb serves as chair of ABM’s Stakeholder &amp; Enterprise Risk committee, responsible for cybersecurity review. Additionally, she</w:t>
            </w:r>
          </w:p>
        </w:tc>
      </w:tr>
      <w:tr>
        <w:trPr>
          <w:trHeight w:val="156"/>
        </w:trPr>
        <w:tc>
          <w:tcPr>
            <w:tcW w:w="2160" w:type="dxa"/>
            <w:vAlign w:val="bottom"/>
            <w:shd w:val="clear" w:color="auto" w:fill="E2E0DE"/>
          </w:tcPr>
          <w:p>
            <w:pPr>
              <w:spacing w:after="0"/>
              <w:rPr>
                <w:sz w:val="13"/>
                <w:szCs w:val="13"/>
                <w:color w:val="auto"/>
              </w:rPr>
            </w:pPr>
          </w:p>
        </w:tc>
        <w:tc>
          <w:tcPr>
            <w:tcW w:w="8460" w:type="dxa"/>
            <w:vAlign w:val="bottom"/>
            <w:shd w:val="clear" w:color="auto" w:fill="E2E0DE"/>
          </w:tcPr>
          <w:p>
            <w:pPr>
              <w:ind w:left="100"/>
              <w:spacing w:after="0" w:line="156" w:lineRule="exact"/>
              <w:rPr>
                <w:sz w:val="20"/>
                <w:szCs w:val="20"/>
                <w:color w:val="auto"/>
              </w:rPr>
            </w:pPr>
            <w:r>
              <w:rPr>
                <w:rFonts w:ascii="Arial" w:cs="Arial" w:eastAsia="Arial" w:hAnsi="Arial"/>
                <w:sz w:val="14"/>
                <w:szCs w:val="14"/>
                <w:color w:val="auto"/>
              </w:rPr>
              <w:t>serves on AppFolio’s Risk and Compliance Oversight Committee. She holds a National Association of Corporate Directors/Carnegie</w:t>
            </w:r>
          </w:p>
        </w:tc>
      </w:tr>
      <w:tr>
        <w:trPr>
          <w:trHeight w:val="178"/>
        </w:trPr>
        <w:tc>
          <w:tcPr>
            <w:tcW w:w="2160" w:type="dxa"/>
            <w:vAlign w:val="bottom"/>
            <w:shd w:val="clear" w:color="auto" w:fill="E2E0DE"/>
          </w:tcPr>
          <w:p>
            <w:pPr>
              <w:spacing w:after="0"/>
              <w:rPr>
                <w:sz w:val="15"/>
                <w:szCs w:val="15"/>
                <w:color w:val="auto"/>
              </w:rPr>
            </w:pPr>
          </w:p>
        </w:tc>
        <w:tc>
          <w:tcPr>
            <w:tcW w:w="8460" w:type="dxa"/>
            <w:vAlign w:val="bottom"/>
            <w:shd w:val="clear" w:color="auto" w:fill="E2E0DE"/>
          </w:tcPr>
          <w:p>
            <w:pPr>
              <w:ind w:left="100"/>
              <w:spacing w:after="0"/>
              <w:rPr>
                <w:sz w:val="20"/>
                <w:szCs w:val="20"/>
                <w:color w:val="auto"/>
              </w:rPr>
            </w:pPr>
            <w:r>
              <w:rPr>
                <w:rFonts w:ascii="Arial" w:cs="Arial" w:eastAsia="Arial" w:hAnsi="Arial"/>
                <w:sz w:val="14"/>
                <w:szCs w:val="14"/>
                <w:color w:val="auto"/>
              </w:rPr>
              <w:t>Mellon Certificate in Cyber-Risk Oversight.</w:t>
            </w:r>
          </w:p>
        </w:tc>
      </w:tr>
      <w:tr>
        <w:trPr>
          <w:trHeight w:val="161"/>
        </w:trPr>
        <w:tc>
          <w:tcPr>
            <w:tcW w:w="2160" w:type="dxa"/>
            <w:vAlign w:val="bottom"/>
          </w:tcPr>
          <w:p>
            <w:pPr>
              <w:ind w:left="60"/>
              <w:spacing w:after="0"/>
              <w:rPr>
                <w:sz w:val="20"/>
                <w:szCs w:val="20"/>
                <w:color w:val="auto"/>
              </w:rPr>
            </w:pPr>
            <w:r>
              <w:rPr>
                <w:rFonts w:ascii="Arial" w:cs="Arial" w:eastAsia="Arial" w:hAnsi="Arial"/>
                <w:sz w:val="14"/>
                <w:szCs w:val="14"/>
                <w:color w:val="auto"/>
              </w:rPr>
              <w:t>Real Estate/Project Construction</w:t>
            </w:r>
          </w:p>
        </w:tc>
        <w:tc>
          <w:tcPr>
            <w:tcW w:w="8460" w:type="dxa"/>
            <w:vAlign w:val="bottom"/>
          </w:tcPr>
          <w:p>
            <w:pPr>
              <w:ind w:left="100"/>
              <w:spacing w:after="0"/>
              <w:rPr>
                <w:sz w:val="20"/>
                <w:szCs w:val="20"/>
                <w:color w:val="auto"/>
              </w:rPr>
            </w:pPr>
            <w:r>
              <w:rPr>
                <w:rFonts w:ascii="Arial" w:cs="Arial" w:eastAsia="Arial" w:hAnsi="Arial"/>
                <w:sz w:val="14"/>
                <w:szCs w:val="14"/>
                <w:color w:val="auto"/>
              </w:rPr>
              <w:t>Ms. Webb is a member of the board of AMH, a real estate investment trust. She is also on the board of facilities services and</w:t>
            </w:r>
          </w:p>
        </w:tc>
      </w:tr>
      <w:tr>
        <w:trPr>
          <w:trHeight w:val="172"/>
        </w:trPr>
        <w:tc>
          <w:tcPr>
            <w:tcW w:w="2160" w:type="dxa"/>
            <w:vAlign w:val="bottom"/>
          </w:tcPr>
          <w:p>
            <w:pPr>
              <w:spacing w:after="0"/>
              <w:rPr>
                <w:sz w:val="14"/>
                <w:szCs w:val="14"/>
                <w:color w:val="auto"/>
              </w:rPr>
            </w:pPr>
          </w:p>
        </w:tc>
        <w:tc>
          <w:tcPr>
            <w:tcW w:w="8460" w:type="dxa"/>
            <w:vAlign w:val="bottom"/>
          </w:tcPr>
          <w:p>
            <w:pPr>
              <w:ind w:left="100"/>
              <w:spacing w:after="0"/>
              <w:rPr>
                <w:sz w:val="20"/>
                <w:szCs w:val="20"/>
                <w:color w:val="auto"/>
              </w:rPr>
            </w:pPr>
            <w:r>
              <w:rPr>
                <w:rFonts w:ascii="Arial" w:cs="Arial" w:eastAsia="Arial" w:hAnsi="Arial"/>
                <w:sz w:val="14"/>
                <w:szCs w:val="14"/>
                <w:color w:val="auto"/>
              </w:rPr>
              <w:t>engineering company, ABM, and of AppFolio which provides property management services.</w:t>
            </w:r>
          </w:p>
        </w:tc>
      </w:tr>
      <w:tr>
        <w:trPr>
          <w:trHeight w:val="167"/>
        </w:trPr>
        <w:tc>
          <w:tcPr>
            <w:tcW w:w="2160" w:type="dxa"/>
            <w:vAlign w:val="bottom"/>
            <w:shd w:val="clear" w:color="auto" w:fill="E2E0DE"/>
          </w:tcPr>
          <w:p>
            <w:pPr>
              <w:ind w:left="60"/>
              <w:spacing w:after="0"/>
              <w:rPr>
                <w:sz w:val="20"/>
                <w:szCs w:val="20"/>
                <w:color w:val="auto"/>
              </w:rPr>
            </w:pPr>
            <w:r>
              <w:rPr>
                <w:rFonts w:ascii="Arial" w:cs="Arial" w:eastAsia="Arial" w:hAnsi="Arial"/>
                <w:sz w:val="14"/>
                <w:szCs w:val="14"/>
                <w:color w:val="auto"/>
              </w:rPr>
              <w:t>ESG</w:t>
            </w:r>
          </w:p>
        </w:tc>
        <w:tc>
          <w:tcPr>
            <w:tcW w:w="8460" w:type="dxa"/>
            <w:vAlign w:val="bottom"/>
            <w:shd w:val="clear" w:color="auto" w:fill="E2E0DE"/>
          </w:tcPr>
          <w:p>
            <w:pPr>
              <w:ind w:left="100"/>
              <w:spacing w:after="0"/>
              <w:rPr>
                <w:sz w:val="20"/>
                <w:szCs w:val="20"/>
                <w:color w:val="auto"/>
              </w:rPr>
            </w:pPr>
            <w:r>
              <w:rPr>
                <w:rFonts w:ascii="Arial" w:cs="Arial" w:eastAsia="Arial" w:hAnsi="Arial"/>
                <w:sz w:val="14"/>
                <w:szCs w:val="14"/>
                <w:color w:val="auto"/>
              </w:rPr>
              <w:t>Ms. Webb was Disney’s c-suite executive responsible for governance outreach and was separately the Executive Director of the Walt</w:t>
            </w:r>
          </w:p>
        </w:tc>
      </w:tr>
      <w:tr>
        <w:trPr>
          <w:trHeight w:val="156"/>
        </w:trPr>
        <w:tc>
          <w:tcPr>
            <w:tcW w:w="2160" w:type="dxa"/>
            <w:vAlign w:val="bottom"/>
            <w:shd w:val="clear" w:color="auto" w:fill="E2E0DE"/>
          </w:tcPr>
          <w:p>
            <w:pPr>
              <w:spacing w:after="0"/>
              <w:rPr>
                <w:sz w:val="13"/>
                <w:szCs w:val="13"/>
                <w:color w:val="auto"/>
              </w:rPr>
            </w:pPr>
          </w:p>
        </w:tc>
        <w:tc>
          <w:tcPr>
            <w:tcW w:w="8460" w:type="dxa"/>
            <w:vAlign w:val="bottom"/>
            <w:shd w:val="clear" w:color="auto" w:fill="E2E0DE"/>
          </w:tcPr>
          <w:p>
            <w:pPr>
              <w:ind w:left="100"/>
              <w:spacing w:after="0" w:line="156" w:lineRule="exact"/>
              <w:rPr>
                <w:sz w:val="20"/>
                <w:szCs w:val="20"/>
                <w:color w:val="auto"/>
              </w:rPr>
            </w:pPr>
            <w:r>
              <w:rPr>
                <w:rFonts w:ascii="Arial" w:cs="Arial" w:eastAsia="Arial" w:hAnsi="Arial"/>
                <w:sz w:val="14"/>
                <w:szCs w:val="14"/>
                <w:color w:val="auto"/>
              </w:rPr>
              <w:t>Disney Company Foundation. She serves on the Nominating and Governance Committees at Appfolio and AMH. She chairs ABM’s</w:t>
            </w:r>
          </w:p>
        </w:tc>
      </w:tr>
      <w:tr>
        <w:trPr>
          <w:trHeight w:val="178"/>
        </w:trPr>
        <w:tc>
          <w:tcPr>
            <w:tcW w:w="2160" w:type="dxa"/>
            <w:vAlign w:val="bottom"/>
            <w:shd w:val="clear" w:color="auto" w:fill="E2E0DE"/>
          </w:tcPr>
          <w:p>
            <w:pPr>
              <w:spacing w:after="0"/>
              <w:rPr>
                <w:sz w:val="15"/>
                <w:szCs w:val="15"/>
                <w:color w:val="auto"/>
              </w:rPr>
            </w:pPr>
          </w:p>
        </w:tc>
        <w:tc>
          <w:tcPr>
            <w:tcW w:w="8460" w:type="dxa"/>
            <w:vAlign w:val="bottom"/>
            <w:shd w:val="clear" w:color="auto" w:fill="E2E0DE"/>
          </w:tcPr>
          <w:p>
            <w:pPr>
              <w:ind w:left="100"/>
              <w:spacing w:after="0"/>
              <w:rPr>
                <w:sz w:val="20"/>
                <w:szCs w:val="20"/>
                <w:color w:val="auto"/>
              </w:rPr>
            </w:pPr>
            <w:r>
              <w:rPr>
                <w:rFonts w:ascii="Arial" w:cs="Arial" w:eastAsia="Arial" w:hAnsi="Arial"/>
                <w:sz w:val="14"/>
                <w:szCs w:val="14"/>
                <w:color w:val="auto"/>
              </w:rPr>
              <w:t>Stakeholder &amp; Enterprise Risk committee, responsible for oversight of that company’s ESG efforts.</w:t>
            </w:r>
          </w:p>
        </w:tc>
      </w:tr>
      <w:tr>
        <w:trPr>
          <w:trHeight w:val="313"/>
        </w:trPr>
        <w:tc>
          <w:tcPr>
            <w:tcW w:w="2160" w:type="dxa"/>
            <w:vAlign w:val="bottom"/>
          </w:tcPr>
          <w:p>
            <w:pPr>
              <w:spacing w:after="0"/>
              <w:rPr>
                <w:sz w:val="20"/>
                <w:szCs w:val="20"/>
                <w:color w:val="auto"/>
              </w:rPr>
            </w:pPr>
            <w:r>
              <w:rPr>
                <w:rFonts w:ascii="Arial" w:cs="Arial" w:eastAsia="Arial" w:hAnsi="Arial"/>
                <w:sz w:val="10"/>
                <w:szCs w:val="10"/>
                <w:b w:val="1"/>
                <w:bCs w:val="1"/>
                <w:color w:val="auto"/>
              </w:rPr>
              <w:t>2023 PROXY STATEMENT</w:t>
            </w:r>
          </w:p>
        </w:tc>
        <w:tc>
          <w:tcPr>
            <w:tcW w:w="8460" w:type="dxa"/>
            <w:vAlign w:val="bottom"/>
          </w:tcPr>
          <w:p>
            <w:pPr>
              <w:ind w:left="3040"/>
              <w:spacing w:after="0"/>
              <w:rPr>
                <w:sz w:val="20"/>
                <w:szCs w:val="20"/>
                <w:color w:val="auto"/>
              </w:rPr>
            </w:pPr>
            <w:r>
              <w:rPr>
                <w:rFonts w:ascii="Arial" w:cs="Arial" w:eastAsia="Arial" w:hAnsi="Arial"/>
                <w:sz w:val="14"/>
                <w:szCs w:val="14"/>
                <w:color w:val="auto"/>
              </w:rPr>
              <w:t>// 12 //</w:t>
            </w:r>
          </w:p>
        </w:tc>
      </w:tr>
    </w:tbl>
    <w:p>
      <w:pPr>
        <w:sectPr>
          <w:pgSz w:w="11900" w:h="16838" w:orient="portrait"/>
          <w:cols w:equalWidth="0" w:num="1">
            <w:col w:w="10940"/>
          </w:cols>
          <w:pgMar w:left="320" w:top="473" w:right="6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Board independence</w:t>
      </w:r>
    </w:p>
    <w:p>
      <w:pPr>
        <w:spacing w:after="0" w:line="33" w:lineRule="exact"/>
        <w:rPr>
          <w:sz w:val="20"/>
          <w:szCs w:val="20"/>
          <w:color w:val="auto"/>
        </w:rPr>
      </w:pPr>
    </w:p>
    <w:p>
      <w:pPr>
        <w:ind w:left="320" w:right="80"/>
        <w:spacing w:after="0" w:line="242" w:lineRule="auto"/>
        <w:rPr>
          <w:sz w:val="20"/>
          <w:szCs w:val="20"/>
          <w:color w:val="auto"/>
        </w:rPr>
      </w:pPr>
      <w:r>
        <w:rPr>
          <w:rFonts w:ascii="Arial" w:cs="Arial" w:eastAsia="Arial" w:hAnsi="Arial"/>
          <w:sz w:val="17"/>
          <w:szCs w:val="17"/>
          <w:color w:val="auto"/>
        </w:rPr>
        <w:t>The Board has affirmatively determined that each director that served during 2022 was, and each current director continues to qualify as an independent director in accordance with Nasdaq’s listing standards, except Mr. Billings, our Chief Executive Officer, and Mr. Maddox, our former Chief Executive Officer. In addition, the Board has determined that each of Messrs. Byrne and Strom, and Ms. Mulroy and Ms. Webb meets the heightened independence requirements for Audit Committee membership as set forth in Rule 10A-3 under the Securities and Exchange Act of 1934, as amended (the “Exchange Act”), and the applicable listing standards of Nasdaq, and that each of Ms. Atkins, Ms. Myers and Mr. Byrne and Ambassador Randt meets the heightened independence requirements for Compensation Committee members set forth in Rule 10C-1 under the Exchange Act and the applicable listing standards of Nasdaq.</w:t>
      </w:r>
    </w:p>
    <w:p>
      <w:pPr>
        <w:spacing w:after="0" w:line="28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B3AB9D"/>
        </w:rPr>
        <w:t>WHAT WE ACCOMPLISHED</w:t>
      </w:r>
    </w:p>
    <w:p>
      <w:pPr>
        <w:spacing w:after="0" w:line="6" w:lineRule="exact"/>
        <w:rPr>
          <w:sz w:val="20"/>
          <w:szCs w:val="20"/>
          <w:color w:val="auto"/>
        </w:rPr>
      </w:pPr>
    </w:p>
    <w:p>
      <w:pPr>
        <w:ind w:left="320" w:right="520"/>
        <w:spacing w:after="0" w:line="256" w:lineRule="auto"/>
        <w:rPr>
          <w:sz w:val="20"/>
          <w:szCs w:val="20"/>
          <w:color w:val="auto"/>
        </w:rPr>
      </w:pPr>
      <w:r>
        <w:rPr>
          <w:rFonts w:ascii="Arial" w:cs="Arial" w:eastAsia="Arial" w:hAnsi="Arial"/>
          <w:sz w:val="17"/>
          <w:szCs w:val="17"/>
          <w:color w:val="auto"/>
        </w:rPr>
        <w:t>We are asking for your voting support to continue our leadership, so we want to share some highlights from what we—your board of directors—accomplished and oversaw in 2022:</w:t>
      </w:r>
    </w:p>
    <w:p>
      <w:pPr>
        <w:spacing w:after="0" w:line="181" w:lineRule="exact"/>
        <w:rPr>
          <w:sz w:val="20"/>
          <w:szCs w:val="20"/>
          <w:color w:val="auto"/>
        </w:rPr>
      </w:pPr>
    </w:p>
    <w:p>
      <w:pPr>
        <w:ind w:left="520" w:hanging="204"/>
        <w:spacing w:after="0"/>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undertook all four of the most important responsibilities a board of directors has:</w:t>
      </w:r>
    </w:p>
    <w:p>
      <w:pPr>
        <w:spacing w:after="0" w:line="207" w:lineRule="exact"/>
        <w:rPr>
          <w:rFonts w:ascii="Arial" w:cs="Arial" w:eastAsia="Arial" w:hAnsi="Arial"/>
          <w:sz w:val="17"/>
          <w:szCs w:val="17"/>
          <w:color w:val="auto"/>
        </w:rPr>
      </w:pPr>
    </w:p>
    <w:p>
      <w:pPr>
        <w:ind w:left="740" w:hanging="216"/>
        <w:spacing w:after="0"/>
        <w:tabs>
          <w:tab w:leader="none" w:pos="740" w:val="left"/>
        </w:tabs>
        <w:numPr>
          <w:ilvl w:val="1"/>
          <w:numId w:val="7"/>
        </w:numPr>
        <w:rPr>
          <w:rFonts w:ascii="Arial" w:cs="Arial" w:eastAsia="Arial" w:hAnsi="Arial"/>
          <w:sz w:val="17"/>
          <w:szCs w:val="17"/>
          <w:color w:val="auto"/>
        </w:rPr>
      </w:pPr>
      <w:r>
        <w:rPr>
          <w:rFonts w:ascii="Arial" w:cs="Arial" w:eastAsia="Arial" w:hAnsi="Arial"/>
          <w:sz w:val="17"/>
          <w:szCs w:val="17"/>
          <w:color w:val="auto"/>
        </w:rPr>
        <w:t>We managed a CEO transition process, promoting from our deep bench of internal talent—a best practice</w:t>
      </w:r>
    </w:p>
    <w:p>
      <w:pPr>
        <w:spacing w:after="0" w:line="207" w:lineRule="exact"/>
        <w:rPr>
          <w:rFonts w:ascii="Arial" w:cs="Arial" w:eastAsia="Arial" w:hAnsi="Arial"/>
          <w:sz w:val="17"/>
          <w:szCs w:val="17"/>
          <w:color w:val="auto"/>
        </w:rPr>
      </w:pPr>
    </w:p>
    <w:p>
      <w:pPr>
        <w:ind w:left="740" w:hanging="216"/>
        <w:spacing w:after="0"/>
        <w:tabs>
          <w:tab w:leader="none" w:pos="740" w:val="left"/>
        </w:tabs>
        <w:numPr>
          <w:ilvl w:val="1"/>
          <w:numId w:val="7"/>
        </w:numPr>
        <w:rPr>
          <w:rFonts w:ascii="Arial" w:cs="Arial" w:eastAsia="Arial" w:hAnsi="Arial"/>
          <w:sz w:val="17"/>
          <w:szCs w:val="17"/>
          <w:color w:val="auto"/>
        </w:rPr>
      </w:pPr>
      <w:r>
        <w:rPr>
          <w:rFonts w:ascii="Arial" w:cs="Arial" w:eastAsia="Arial" w:hAnsi="Arial"/>
          <w:sz w:val="17"/>
          <w:szCs w:val="17"/>
          <w:color w:val="auto"/>
        </w:rPr>
        <w:t>We onboarded a new CFO from the best industry talent</w:t>
      </w:r>
    </w:p>
    <w:p>
      <w:pPr>
        <w:spacing w:after="0" w:line="207" w:lineRule="exact"/>
        <w:rPr>
          <w:rFonts w:ascii="Arial" w:cs="Arial" w:eastAsia="Arial" w:hAnsi="Arial"/>
          <w:sz w:val="17"/>
          <w:szCs w:val="17"/>
          <w:color w:val="auto"/>
        </w:rPr>
      </w:pPr>
    </w:p>
    <w:p>
      <w:pPr>
        <w:ind w:left="740" w:right="280" w:hanging="216"/>
        <w:spacing w:after="0" w:line="256" w:lineRule="auto"/>
        <w:tabs>
          <w:tab w:leader="none" w:pos="74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Informed by valuable input from our investors we updated our compensation plans, including increasing the share of performance grants to 55% and adding an absolute TSR component to our long-term incentive awards beginning in 2023, and</w:t>
      </w:r>
    </w:p>
    <w:p>
      <w:pPr>
        <w:spacing w:after="0" w:line="181" w:lineRule="exact"/>
        <w:rPr>
          <w:rFonts w:ascii="Arial" w:cs="Arial" w:eastAsia="Arial" w:hAnsi="Arial"/>
          <w:sz w:val="17"/>
          <w:szCs w:val="17"/>
          <w:color w:val="auto"/>
        </w:rPr>
      </w:pPr>
    </w:p>
    <w:p>
      <w:pPr>
        <w:ind w:left="740" w:right="380" w:hanging="216"/>
        <w:spacing w:after="0" w:line="256" w:lineRule="auto"/>
        <w:tabs>
          <w:tab w:leader="none" w:pos="740" w:val="left"/>
        </w:tabs>
        <w:numPr>
          <w:ilvl w:val="1"/>
          <w:numId w:val="7"/>
        </w:numPr>
        <w:rPr>
          <w:rFonts w:ascii="Arial" w:cs="Arial" w:eastAsia="Arial" w:hAnsi="Arial"/>
          <w:sz w:val="17"/>
          <w:szCs w:val="17"/>
          <w:color w:val="auto"/>
        </w:rPr>
      </w:pPr>
      <w:r>
        <w:rPr>
          <w:rFonts w:ascii="Arial" w:cs="Arial" w:eastAsia="Arial" w:hAnsi="Arial"/>
          <w:sz w:val="17"/>
          <w:szCs w:val="17"/>
          <w:color w:val="auto"/>
        </w:rPr>
        <w:t>Continued to look forward and execute on key development projects, improving our existing portfolio assets and developing new ones.</w:t>
      </w:r>
    </w:p>
    <w:p>
      <w:pPr>
        <w:spacing w:after="0" w:line="155" w:lineRule="exact"/>
        <w:rPr>
          <w:sz w:val="20"/>
          <w:szCs w:val="20"/>
          <w:color w:val="auto"/>
        </w:rPr>
      </w:pPr>
    </w:p>
    <w:p>
      <w:pPr>
        <w:ind w:left="320" w:right="360"/>
        <w:spacing w:after="0" w:line="247" w:lineRule="auto"/>
        <w:rPr>
          <w:sz w:val="20"/>
          <w:szCs w:val="20"/>
          <w:color w:val="auto"/>
        </w:rPr>
      </w:pPr>
      <w:r>
        <w:rPr>
          <w:rFonts w:ascii="Arial" w:cs="Arial" w:eastAsia="Arial" w:hAnsi="Arial"/>
          <w:sz w:val="17"/>
          <w:szCs w:val="17"/>
          <w:color w:val="auto"/>
        </w:rPr>
        <w:t>In addition, we supported management in evaluating and contributing to the Macau concession renewal. Further, we supported management in its effort to develop the first ever integrated resort in the UAE, a part of the world whose importance continues to grow rapidly.</w:t>
      </w:r>
    </w:p>
    <w:p>
      <w:pPr>
        <w:spacing w:after="0" w:line="151" w:lineRule="exact"/>
        <w:rPr>
          <w:sz w:val="20"/>
          <w:szCs w:val="20"/>
          <w:color w:val="auto"/>
        </w:rPr>
      </w:pPr>
    </w:p>
    <w:p>
      <w:pPr>
        <w:ind w:left="320"/>
        <w:spacing w:after="0" w:line="256" w:lineRule="auto"/>
        <w:rPr>
          <w:sz w:val="20"/>
          <w:szCs w:val="20"/>
          <w:color w:val="auto"/>
        </w:rPr>
      </w:pPr>
      <w:r>
        <w:rPr>
          <w:rFonts w:ascii="Arial" w:cs="Arial" w:eastAsia="Arial" w:hAnsi="Arial"/>
          <w:sz w:val="17"/>
          <w:szCs w:val="17"/>
          <w:color w:val="auto"/>
        </w:rPr>
        <w:t>We acted with similar urgency and focus to refine our own practices and contributions, adding critical training programs, examining each of our governance practices with fresh eyes and greatly expanded our shareholder outreach.</w:t>
      </w:r>
    </w:p>
    <w:p>
      <w:pPr>
        <w:spacing w:after="0" w:line="200" w:lineRule="exact"/>
        <w:rPr>
          <w:sz w:val="20"/>
          <w:szCs w:val="20"/>
          <w:color w:val="auto"/>
        </w:rPr>
      </w:pPr>
    </w:p>
    <w:p>
      <w:pPr>
        <w:spacing w:after="0" w:line="365"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Attendance at board, committee and annual shareholder meetings</w:t>
      </w:r>
    </w:p>
    <w:p>
      <w:pPr>
        <w:spacing w:after="0" w:line="33" w:lineRule="exact"/>
        <w:rPr>
          <w:sz w:val="20"/>
          <w:szCs w:val="20"/>
          <w:color w:val="auto"/>
        </w:rPr>
      </w:pPr>
    </w:p>
    <w:p>
      <w:pPr>
        <w:ind w:left="320"/>
        <w:spacing w:after="0" w:line="242" w:lineRule="auto"/>
        <w:rPr>
          <w:sz w:val="20"/>
          <w:szCs w:val="20"/>
          <w:color w:val="auto"/>
        </w:rPr>
      </w:pPr>
      <w:r>
        <w:rPr>
          <w:rFonts w:ascii="Arial" w:cs="Arial" w:eastAsia="Arial" w:hAnsi="Arial"/>
          <w:sz w:val="17"/>
          <w:szCs w:val="17"/>
          <w:color w:val="auto"/>
        </w:rPr>
        <w:t>During 2022, the Board held nine meetings, the Audit Committee held five meetings, the Compensation Committee held five meetings and the Nominating and Corporate Governance Committee held four meetings. Directors are expected to attend the annual meeting of shareholders and all or substantially all of the Board meetings and meetings of committees on which they serve. For the annual meeting held on May 5, 2022, all directors then in office attended such meeting and during 2022 each director attended at least 90% of the meetings of the Board during such director’s tenure and the total number of meetings held by any of the committees of the Board on which the director served.</w:t>
      </w:r>
    </w:p>
    <w:p>
      <w:pPr>
        <w:spacing w:after="0" w:line="290"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B3AB9D"/>
        </w:rPr>
        <w:t>HOW WE GOVERN AND ARE GOVERNED</w:t>
      </w:r>
    </w:p>
    <w:p>
      <w:pPr>
        <w:spacing w:after="0" w:line="6" w:lineRule="exact"/>
        <w:rPr>
          <w:sz w:val="20"/>
          <w:szCs w:val="20"/>
          <w:color w:val="auto"/>
        </w:rPr>
      </w:pPr>
    </w:p>
    <w:p>
      <w:pPr>
        <w:jc w:val="both"/>
        <w:ind w:left="320" w:right="40"/>
        <w:spacing w:after="0" w:line="247" w:lineRule="auto"/>
        <w:rPr>
          <w:sz w:val="20"/>
          <w:szCs w:val="20"/>
          <w:color w:val="auto"/>
        </w:rPr>
      </w:pPr>
      <w:r>
        <w:rPr>
          <w:rFonts w:ascii="Arial" w:cs="Arial" w:eastAsia="Arial" w:hAnsi="Arial"/>
          <w:sz w:val="17"/>
          <w:szCs w:val="17"/>
          <w:color w:val="auto"/>
        </w:rPr>
        <w:t>Our Board considers carefully which of its functions should be delegated to committees and which are better suited for the full Board. We also consider carefully which directors serve on, and chair, each committee, and how reporting between the public committees, the Board, the Board Chair, and management should take place.</w:t>
      </w:r>
    </w:p>
    <w:p>
      <w:pPr>
        <w:spacing w:after="0" w:line="130"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 13 //</w:t>
      </w:r>
    </w:p>
    <w:p>
      <w:pPr>
        <w:sectPr>
          <w:pgSz w:w="11900" w:h="16838" w:orient="portrait"/>
          <w:cols w:equalWidth="0" w:num="1">
            <w:col w:w="10920"/>
          </w:cols>
          <w:pgMar w:left="320" w:top="473" w:right="65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right="180"/>
        <w:spacing w:after="0" w:line="247" w:lineRule="auto"/>
        <w:rPr>
          <w:sz w:val="20"/>
          <w:szCs w:val="20"/>
          <w:color w:val="auto"/>
        </w:rPr>
      </w:pPr>
      <w:r>
        <w:rPr>
          <w:rFonts w:ascii="Arial" w:cs="Arial" w:eastAsia="Arial" w:hAnsi="Arial"/>
          <w:sz w:val="17"/>
          <w:szCs w:val="17"/>
          <w:color w:val="auto"/>
        </w:rPr>
        <w:t>As the expectations placed on company boards continue to grow, the Nominating and Governance Committee periodically assesses this structure, including monitoring the function of the committees through the annual self-evaluation process, when and whether new committees or sub-committees are needed and how the committee’s reporting mechanisms to the Board are operating in practice.</w:t>
      </w: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Committees of the board</w:t>
      </w:r>
    </w:p>
    <w:p>
      <w:pPr>
        <w:spacing w:after="0" w:line="33" w:lineRule="exact"/>
        <w:rPr>
          <w:sz w:val="20"/>
          <w:szCs w:val="20"/>
          <w:color w:val="auto"/>
        </w:rPr>
      </w:pPr>
    </w:p>
    <w:p>
      <w:pPr>
        <w:ind w:left="320" w:right="220"/>
        <w:spacing w:after="0" w:line="247" w:lineRule="auto"/>
        <w:rPr>
          <w:sz w:val="20"/>
          <w:szCs w:val="20"/>
          <w:color w:val="auto"/>
        </w:rPr>
      </w:pPr>
      <w:r>
        <w:rPr>
          <w:rFonts w:ascii="Arial" w:cs="Arial" w:eastAsia="Arial" w:hAnsi="Arial"/>
          <w:sz w:val="17"/>
          <w:szCs w:val="17"/>
          <w:color w:val="auto"/>
        </w:rPr>
        <w:t>The Board of Directors has three standing committees, each comprised solely of independent directors: the Audit Committee, the Compensation Committee, and the Nominating and Corporate Governance Committee. The charters for these committees are available on our website at http://www.wynnresorts.com under the heading “Corporate Governance” on the Company Information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137795</wp:posOffset>
            </wp:positionV>
            <wp:extent cx="6740525" cy="1941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40525" cy="1941195"/>
                    </a:xfrm>
                    <a:prstGeom prst="rect">
                      <a:avLst/>
                    </a:prstGeom>
                    <a:noFill/>
                  </pic:spPr>
                </pic:pic>
              </a:graphicData>
            </a:graphic>
          </wp:anchor>
        </w:drawing>
      </w:r>
    </w:p>
    <w:p>
      <w:pPr>
        <w:spacing w:after="0" w:line="197" w:lineRule="exact"/>
        <w:rPr>
          <w:sz w:val="20"/>
          <w:szCs w:val="20"/>
          <w:color w:val="auto"/>
        </w:rPr>
      </w:pPr>
    </w:p>
    <w:tbl>
      <w:tblPr>
        <w:tblLayout w:type="fixed"/>
        <w:tblInd w:w="320" w:type="dxa"/>
        <w:tblCellMar>
          <w:top w:w="0" w:type="dxa"/>
          <w:left w:w="0" w:type="dxa"/>
          <w:bottom w:w="0" w:type="dxa"/>
          <w:right w:w="0" w:type="dxa"/>
        </w:tblCellMar>
      </w:tblPr>
      <w:tr>
        <w:trPr>
          <w:trHeight w:val="175"/>
        </w:trPr>
        <w:tc>
          <w:tcPr>
            <w:tcW w:w="2960" w:type="dxa"/>
            <w:vAlign w:val="bottom"/>
            <w:shd w:val="clear" w:color="auto" w:fill="71655E"/>
          </w:tcPr>
          <w:p>
            <w:pPr>
              <w:spacing w:after="0"/>
              <w:rPr>
                <w:sz w:val="15"/>
                <w:szCs w:val="15"/>
                <w:color w:val="auto"/>
              </w:rPr>
            </w:pPr>
          </w:p>
        </w:tc>
        <w:tc>
          <w:tcPr>
            <w:tcW w:w="2140" w:type="dxa"/>
            <w:vAlign w:val="bottom"/>
            <w:vMerge w:val="restart"/>
            <w:shd w:val="clear" w:color="auto" w:fill="71655E"/>
          </w:tcPr>
          <w:p>
            <w:pPr>
              <w:jc w:val="center"/>
              <w:ind w:left="352"/>
              <w:spacing w:after="0"/>
              <w:rPr>
                <w:sz w:val="20"/>
                <w:szCs w:val="20"/>
                <w:color w:val="auto"/>
              </w:rPr>
            </w:pPr>
            <w:r>
              <w:rPr>
                <w:rFonts w:ascii="Arial" w:cs="Arial" w:eastAsia="Arial" w:hAnsi="Arial"/>
                <w:sz w:val="12"/>
                <w:szCs w:val="12"/>
                <w:b w:val="1"/>
                <w:bCs w:val="1"/>
                <w:color w:val="FFFFFF"/>
              </w:rPr>
              <w:t>INDEPENDENT</w:t>
            </w:r>
          </w:p>
        </w:tc>
        <w:tc>
          <w:tcPr>
            <w:tcW w:w="1600" w:type="dxa"/>
            <w:vAlign w:val="bottom"/>
            <w:vMerge w:val="restart"/>
            <w:shd w:val="clear" w:color="auto" w:fill="71655E"/>
          </w:tcPr>
          <w:p>
            <w:pPr>
              <w:jc w:val="center"/>
              <w:spacing w:after="0"/>
              <w:rPr>
                <w:sz w:val="20"/>
                <w:szCs w:val="20"/>
                <w:color w:val="auto"/>
              </w:rPr>
            </w:pPr>
            <w:r>
              <w:rPr>
                <w:rFonts w:ascii="Arial" w:cs="Arial" w:eastAsia="Arial" w:hAnsi="Arial"/>
                <w:sz w:val="12"/>
                <w:szCs w:val="12"/>
                <w:b w:val="1"/>
                <w:bCs w:val="1"/>
                <w:color w:val="FFFFFF"/>
                <w:w w:val="98"/>
              </w:rPr>
              <w:t>AUDIT</w:t>
            </w:r>
          </w:p>
        </w:tc>
        <w:tc>
          <w:tcPr>
            <w:tcW w:w="1840" w:type="dxa"/>
            <w:vAlign w:val="bottom"/>
            <w:vMerge w:val="restart"/>
            <w:shd w:val="clear" w:color="auto" w:fill="71655E"/>
          </w:tcPr>
          <w:p>
            <w:pPr>
              <w:jc w:val="center"/>
              <w:spacing w:after="0"/>
              <w:rPr>
                <w:sz w:val="20"/>
                <w:szCs w:val="20"/>
                <w:color w:val="auto"/>
              </w:rPr>
            </w:pPr>
            <w:r>
              <w:rPr>
                <w:rFonts w:ascii="Arial" w:cs="Arial" w:eastAsia="Arial" w:hAnsi="Arial"/>
                <w:sz w:val="12"/>
                <w:szCs w:val="12"/>
                <w:b w:val="1"/>
                <w:bCs w:val="1"/>
                <w:color w:val="FFFFFF"/>
              </w:rPr>
              <w:t>COMPENSATION</w:t>
            </w:r>
          </w:p>
        </w:tc>
        <w:tc>
          <w:tcPr>
            <w:tcW w:w="2080" w:type="dxa"/>
            <w:vAlign w:val="bottom"/>
            <w:shd w:val="clear" w:color="auto" w:fill="71655E"/>
          </w:tcPr>
          <w:p>
            <w:pPr>
              <w:jc w:val="center"/>
              <w:ind w:left="354"/>
              <w:spacing w:after="0"/>
              <w:rPr>
                <w:sz w:val="20"/>
                <w:szCs w:val="20"/>
                <w:color w:val="auto"/>
              </w:rPr>
            </w:pPr>
            <w:r>
              <w:rPr>
                <w:rFonts w:ascii="Arial" w:cs="Arial" w:eastAsia="Arial" w:hAnsi="Arial"/>
                <w:sz w:val="12"/>
                <w:szCs w:val="12"/>
                <w:b w:val="1"/>
                <w:bCs w:val="1"/>
                <w:color w:val="FFFFFF"/>
              </w:rPr>
              <w:t>NOMINATING</w:t>
            </w:r>
          </w:p>
        </w:tc>
        <w:tc>
          <w:tcPr>
            <w:tcW w:w="0" w:type="dxa"/>
            <w:vAlign w:val="bottom"/>
          </w:tcPr>
          <w:p>
            <w:pPr>
              <w:spacing w:after="0"/>
              <w:rPr>
                <w:sz w:val="1"/>
                <w:szCs w:val="1"/>
                <w:color w:val="auto"/>
              </w:rPr>
            </w:pPr>
          </w:p>
        </w:tc>
      </w:tr>
      <w:tr>
        <w:trPr>
          <w:trHeight w:val="65"/>
        </w:trPr>
        <w:tc>
          <w:tcPr>
            <w:tcW w:w="2960" w:type="dxa"/>
            <w:vAlign w:val="bottom"/>
            <w:vMerge w:val="restart"/>
            <w:shd w:val="clear" w:color="auto" w:fill="71655E"/>
          </w:tcPr>
          <w:p>
            <w:pPr>
              <w:ind w:left="60"/>
              <w:spacing w:after="0" w:line="130" w:lineRule="exact"/>
              <w:rPr>
                <w:sz w:val="20"/>
                <w:szCs w:val="20"/>
                <w:color w:val="auto"/>
              </w:rPr>
            </w:pPr>
            <w:r>
              <w:rPr>
                <w:rFonts w:ascii="Arial" w:cs="Arial" w:eastAsia="Arial" w:hAnsi="Arial"/>
                <w:sz w:val="12"/>
                <w:szCs w:val="12"/>
                <w:b w:val="1"/>
                <w:bCs w:val="1"/>
                <w:color w:val="FFFFFF"/>
              </w:rPr>
              <w:t>DIRECTOR</w:t>
            </w:r>
          </w:p>
        </w:tc>
        <w:tc>
          <w:tcPr>
            <w:tcW w:w="2140" w:type="dxa"/>
            <w:vAlign w:val="bottom"/>
            <w:vMerge w:val="continue"/>
            <w:shd w:val="clear" w:color="auto" w:fill="71655E"/>
          </w:tcPr>
          <w:p>
            <w:pPr>
              <w:spacing w:after="0"/>
              <w:rPr>
                <w:sz w:val="5"/>
                <w:szCs w:val="5"/>
                <w:color w:val="auto"/>
              </w:rPr>
            </w:pPr>
          </w:p>
        </w:tc>
        <w:tc>
          <w:tcPr>
            <w:tcW w:w="1600" w:type="dxa"/>
            <w:vAlign w:val="bottom"/>
            <w:vMerge w:val="continue"/>
            <w:shd w:val="clear" w:color="auto" w:fill="71655E"/>
          </w:tcPr>
          <w:p>
            <w:pPr>
              <w:spacing w:after="0"/>
              <w:rPr>
                <w:sz w:val="5"/>
                <w:szCs w:val="5"/>
                <w:color w:val="auto"/>
              </w:rPr>
            </w:pPr>
          </w:p>
        </w:tc>
        <w:tc>
          <w:tcPr>
            <w:tcW w:w="1840" w:type="dxa"/>
            <w:vAlign w:val="bottom"/>
            <w:vMerge w:val="continue"/>
            <w:shd w:val="clear" w:color="auto" w:fill="71655E"/>
          </w:tcPr>
          <w:p>
            <w:pPr>
              <w:spacing w:after="0"/>
              <w:rPr>
                <w:sz w:val="5"/>
                <w:szCs w:val="5"/>
                <w:color w:val="auto"/>
              </w:rPr>
            </w:pPr>
          </w:p>
        </w:tc>
        <w:tc>
          <w:tcPr>
            <w:tcW w:w="2080" w:type="dxa"/>
            <w:vAlign w:val="bottom"/>
            <w:vMerge w:val="restart"/>
            <w:shd w:val="clear" w:color="auto" w:fill="71655E"/>
          </w:tcPr>
          <w:p>
            <w:pPr>
              <w:jc w:val="center"/>
              <w:ind w:left="354"/>
              <w:spacing w:after="0" w:line="130" w:lineRule="exact"/>
              <w:rPr>
                <w:sz w:val="20"/>
                <w:szCs w:val="20"/>
                <w:color w:val="auto"/>
              </w:rPr>
            </w:pPr>
            <w:r>
              <w:rPr>
                <w:rFonts w:ascii="Arial" w:cs="Arial" w:eastAsia="Arial" w:hAnsi="Arial"/>
                <w:sz w:val="12"/>
                <w:szCs w:val="12"/>
                <w:b w:val="1"/>
                <w:bCs w:val="1"/>
                <w:color w:val="FFFFFF"/>
                <w:w w:val="99"/>
              </w:rPr>
              <w:t>AND CORPORATE</w:t>
            </w:r>
          </w:p>
        </w:tc>
        <w:tc>
          <w:tcPr>
            <w:tcW w:w="0" w:type="dxa"/>
            <w:vAlign w:val="bottom"/>
          </w:tcPr>
          <w:p>
            <w:pPr>
              <w:spacing w:after="0"/>
              <w:rPr>
                <w:sz w:val="1"/>
                <w:szCs w:val="1"/>
                <w:color w:val="auto"/>
              </w:rPr>
            </w:pPr>
          </w:p>
        </w:tc>
      </w:tr>
      <w:tr>
        <w:trPr>
          <w:trHeight w:val="65"/>
        </w:trPr>
        <w:tc>
          <w:tcPr>
            <w:tcW w:w="2960" w:type="dxa"/>
            <w:vAlign w:val="bottom"/>
            <w:vMerge w:val="continue"/>
            <w:shd w:val="clear" w:color="auto" w:fill="71655E"/>
          </w:tcPr>
          <w:p>
            <w:pPr>
              <w:spacing w:after="0"/>
              <w:rPr>
                <w:sz w:val="5"/>
                <w:szCs w:val="5"/>
                <w:color w:val="auto"/>
              </w:rPr>
            </w:pPr>
          </w:p>
        </w:tc>
        <w:tc>
          <w:tcPr>
            <w:tcW w:w="2140" w:type="dxa"/>
            <w:vAlign w:val="bottom"/>
            <w:vMerge w:val="restart"/>
            <w:shd w:val="clear" w:color="auto" w:fill="71655E"/>
          </w:tcPr>
          <w:p>
            <w:pPr>
              <w:jc w:val="center"/>
              <w:ind w:left="352"/>
              <w:spacing w:after="0"/>
              <w:rPr>
                <w:sz w:val="20"/>
                <w:szCs w:val="20"/>
                <w:color w:val="auto"/>
              </w:rPr>
            </w:pPr>
            <w:r>
              <w:rPr>
                <w:rFonts w:ascii="Arial" w:cs="Arial" w:eastAsia="Arial" w:hAnsi="Arial"/>
                <w:sz w:val="12"/>
                <w:szCs w:val="12"/>
                <w:b w:val="1"/>
                <w:bCs w:val="1"/>
                <w:color w:val="FFFFFF"/>
              </w:rPr>
              <w:t>DIRECTOR</w:t>
            </w:r>
          </w:p>
        </w:tc>
        <w:tc>
          <w:tcPr>
            <w:tcW w:w="1600" w:type="dxa"/>
            <w:vAlign w:val="bottom"/>
            <w:vMerge w:val="restart"/>
            <w:shd w:val="clear" w:color="auto" w:fill="71655E"/>
          </w:tcPr>
          <w:p>
            <w:pPr>
              <w:jc w:val="center"/>
              <w:spacing w:after="0"/>
              <w:rPr>
                <w:sz w:val="20"/>
                <w:szCs w:val="20"/>
                <w:color w:val="auto"/>
              </w:rPr>
            </w:pPr>
            <w:r>
              <w:rPr>
                <w:rFonts w:ascii="Arial" w:cs="Arial" w:eastAsia="Arial" w:hAnsi="Arial"/>
                <w:sz w:val="12"/>
                <w:szCs w:val="12"/>
                <w:b w:val="1"/>
                <w:bCs w:val="1"/>
                <w:color w:val="FFFFFF"/>
                <w:w w:val="99"/>
              </w:rPr>
              <w:t>COMMITTEE</w:t>
            </w:r>
          </w:p>
        </w:tc>
        <w:tc>
          <w:tcPr>
            <w:tcW w:w="1840" w:type="dxa"/>
            <w:vAlign w:val="bottom"/>
            <w:vMerge w:val="restart"/>
            <w:shd w:val="clear" w:color="auto" w:fill="71655E"/>
          </w:tcPr>
          <w:p>
            <w:pPr>
              <w:jc w:val="center"/>
              <w:spacing w:after="0"/>
              <w:rPr>
                <w:sz w:val="20"/>
                <w:szCs w:val="20"/>
                <w:color w:val="auto"/>
              </w:rPr>
            </w:pPr>
            <w:r>
              <w:rPr>
                <w:rFonts w:ascii="Arial" w:cs="Arial" w:eastAsia="Arial" w:hAnsi="Arial"/>
                <w:sz w:val="12"/>
                <w:szCs w:val="12"/>
                <w:b w:val="1"/>
                <w:bCs w:val="1"/>
                <w:color w:val="FFFFFF"/>
                <w:w w:val="99"/>
              </w:rPr>
              <w:t>COMMITTEE</w:t>
            </w:r>
          </w:p>
        </w:tc>
        <w:tc>
          <w:tcPr>
            <w:tcW w:w="2080" w:type="dxa"/>
            <w:vAlign w:val="bottom"/>
            <w:vMerge w:val="continue"/>
            <w:shd w:val="clear" w:color="auto" w:fill="71655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960" w:type="dxa"/>
            <w:vAlign w:val="bottom"/>
            <w:shd w:val="clear" w:color="auto" w:fill="71655E"/>
          </w:tcPr>
          <w:p>
            <w:pPr>
              <w:spacing w:after="0"/>
              <w:rPr>
                <w:sz w:val="8"/>
                <w:szCs w:val="8"/>
                <w:color w:val="auto"/>
              </w:rPr>
            </w:pPr>
          </w:p>
        </w:tc>
        <w:tc>
          <w:tcPr>
            <w:tcW w:w="2140" w:type="dxa"/>
            <w:vAlign w:val="bottom"/>
            <w:vMerge w:val="continue"/>
            <w:shd w:val="clear" w:color="auto" w:fill="71655E"/>
          </w:tcPr>
          <w:p>
            <w:pPr>
              <w:spacing w:after="0"/>
              <w:rPr>
                <w:sz w:val="8"/>
                <w:szCs w:val="8"/>
                <w:color w:val="auto"/>
              </w:rPr>
            </w:pPr>
          </w:p>
        </w:tc>
        <w:tc>
          <w:tcPr>
            <w:tcW w:w="1600" w:type="dxa"/>
            <w:vAlign w:val="bottom"/>
            <w:vMerge w:val="continue"/>
            <w:shd w:val="clear" w:color="auto" w:fill="71655E"/>
          </w:tcPr>
          <w:p>
            <w:pPr>
              <w:spacing w:after="0"/>
              <w:rPr>
                <w:sz w:val="8"/>
                <w:szCs w:val="8"/>
                <w:color w:val="auto"/>
              </w:rPr>
            </w:pPr>
          </w:p>
        </w:tc>
        <w:tc>
          <w:tcPr>
            <w:tcW w:w="1840" w:type="dxa"/>
            <w:vAlign w:val="bottom"/>
            <w:vMerge w:val="continue"/>
            <w:shd w:val="clear" w:color="auto" w:fill="71655E"/>
          </w:tcPr>
          <w:p>
            <w:pPr>
              <w:spacing w:after="0"/>
              <w:rPr>
                <w:sz w:val="8"/>
                <w:szCs w:val="8"/>
                <w:color w:val="auto"/>
              </w:rPr>
            </w:pPr>
          </w:p>
        </w:tc>
        <w:tc>
          <w:tcPr>
            <w:tcW w:w="2080" w:type="dxa"/>
            <w:vAlign w:val="bottom"/>
            <w:vMerge w:val="restart"/>
            <w:shd w:val="clear" w:color="auto" w:fill="71655E"/>
          </w:tcPr>
          <w:p>
            <w:pPr>
              <w:jc w:val="center"/>
              <w:ind w:left="354"/>
              <w:spacing w:after="0"/>
              <w:rPr>
                <w:sz w:val="20"/>
                <w:szCs w:val="20"/>
                <w:color w:val="auto"/>
              </w:rPr>
            </w:pPr>
            <w:r>
              <w:rPr>
                <w:rFonts w:ascii="Arial" w:cs="Arial" w:eastAsia="Arial" w:hAnsi="Arial"/>
                <w:sz w:val="12"/>
                <w:szCs w:val="12"/>
                <w:b w:val="1"/>
                <w:bCs w:val="1"/>
                <w:color w:val="FFFFFF"/>
              </w:rPr>
              <w:t>GOVERNANCE COMMITTEE</w:t>
            </w:r>
          </w:p>
        </w:tc>
        <w:tc>
          <w:tcPr>
            <w:tcW w:w="0" w:type="dxa"/>
            <w:vAlign w:val="bottom"/>
          </w:tcPr>
          <w:p>
            <w:pPr>
              <w:spacing w:after="0"/>
              <w:rPr>
                <w:sz w:val="1"/>
                <w:szCs w:val="1"/>
                <w:color w:val="auto"/>
              </w:rPr>
            </w:pPr>
          </w:p>
        </w:tc>
      </w:tr>
      <w:tr>
        <w:trPr>
          <w:trHeight w:val="81"/>
        </w:trPr>
        <w:tc>
          <w:tcPr>
            <w:tcW w:w="2960" w:type="dxa"/>
            <w:vAlign w:val="bottom"/>
            <w:shd w:val="clear" w:color="auto" w:fill="71655E"/>
          </w:tcPr>
          <w:p>
            <w:pPr>
              <w:spacing w:after="0"/>
              <w:rPr>
                <w:sz w:val="7"/>
                <w:szCs w:val="7"/>
                <w:color w:val="auto"/>
              </w:rPr>
            </w:pPr>
          </w:p>
        </w:tc>
        <w:tc>
          <w:tcPr>
            <w:tcW w:w="2140" w:type="dxa"/>
            <w:vAlign w:val="bottom"/>
            <w:shd w:val="clear" w:color="auto" w:fill="71655E"/>
          </w:tcPr>
          <w:p>
            <w:pPr>
              <w:spacing w:after="0"/>
              <w:rPr>
                <w:sz w:val="7"/>
                <w:szCs w:val="7"/>
                <w:color w:val="auto"/>
              </w:rPr>
            </w:pPr>
          </w:p>
        </w:tc>
        <w:tc>
          <w:tcPr>
            <w:tcW w:w="1600" w:type="dxa"/>
            <w:vAlign w:val="bottom"/>
            <w:shd w:val="clear" w:color="auto" w:fill="71655E"/>
          </w:tcPr>
          <w:p>
            <w:pPr>
              <w:spacing w:after="0"/>
              <w:rPr>
                <w:sz w:val="7"/>
                <w:szCs w:val="7"/>
                <w:color w:val="auto"/>
              </w:rPr>
            </w:pPr>
          </w:p>
        </w:tc>
        <w:tc>
          <w:tcPr>
            <w:tcW w:w="1840" w:type="dxa"/>
            <w:vAlign w:val="bottom"/>
            <w:shd w:val="clear" w:color="auto" w:fill="71655E"/>
          </w:tcPr>
          <w:p>
            <w:pPr>
              <w:spacing w:after="0"/>
              <w:rPr>
                <w:sz w:val="7"/>
                <w:szCs w:val="7"/>
                <w:color w:val="auto"/>
              </w:rPr>
            </w:pPr>
          </w:p>
        </w:tc>
        <w:tc>
          <w:tcPr>
            <w:tcW w:w="2080" w:type="dxa"/>
            <w:vAlign w:val="bottom"/>
            <w:vMerge w:val="continue"/>
            <w:shd w:val="clear" w:color="auto" w:fill="71655E"/>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2960" w:type="dxa"/>
            <w:vAlign w:val="bottom"/>
            <w:tcBorders>
              <w:bottom w:val="single" w:sz="8" w:color="E2E0DE"/>
            </w:tcBorders>
            <w:shd w:val="clear" w:color="auto" w:fill="E2E0DE"/>
          </w:tcPr>
          <w:p>
            <w:pPr>
              <w:ind w:left="60"/>
              <w:spacing w:after="0"/>
              <w:rPr>
                <w:sz w:val="20"/>
                <w:szCs w:val="20"/>
                <w:color w:val="auto"/>
              </w:rPr>
            </w:pPr>
            <w:r>
              <w:rPr>
                <w:rFonts w:ascii="Arial" w:cs="Arial" w:eastAsia="Arial" w:hAnsi="Arial"/>
                <w:sz w:val="14"/>
                <w:szCs w:val="14"/>
                <w:color w:val="auto"/>
              </w:rPr>
              <w:t>Betsy S. Atkins</w:t>
            </w:r>
          </w:p>
        </w:tc>
        <w:tc>
          <w:tcPr>
            <w:tcW w:w="2140" w:type="dxa"/>
            <w:vAlign w:val="bottom"/>
            <w:tcBorders>
              <w:bottom w:val="single" w:sz="8" w:color="E2E0DE"/>
            </w:tcBorders>
            <w:shd w:val="clear" w:color="auto" w:fill="E2E0DE"/>
          </w:tcPr>
          <w:p>
            <w:pPr>
              <w:jc w:val="center"/>
              <w:ind w:left="352"/>
              <w:spacing w:after="0"/>
              <w:rPr>
                <w:sz w:val="20"/>
                <w:szCs w:val="20"/>
                <w:color w:val="auto"/>
              </w:rPr>
            </w:pPr>
            <w:r>
              <w:rPr>
                <w:rFonts w:ascii="Arial" w:cs="Arial" w:eastAsia="Arial" w:hAnsi="Arial"/>
                <w:sz w:val="14"/>
                <w:szCs w:val="14"/>
                <w:color w:val="auto"/>
                <w:w w:val="80"/>
              </w:rPr>
              <w:t>•</w:t>
            </w:r>
          </w:p>
        </w:tc>
        <w:tc>
          <w:tcPr>
            <w:tcW w:w="1600" w:type="dxa"/>
            <w:vAlign w:val="bottom"/>
            <w:tcBorders>
              <w:bottom w:val="single" w:sz="8" w:color="E2E0DE"/>
            </w:tcBorders>
            <w:shd w:val="clear" w:color="auto" w:fill="E2E0DE"/>
          </w:tcPr>
          <w:p>
            <w:pPr>
              <w:spacing w:after="0"/>
              <w:rPr>
                <w:sz w:val="23"/>
                <w:szCs w:val="23"/>
                <w:color w:val="auto"/>
              </w:rPr>
            </w:pPr>
          </w:p>
        </w:tc>
        <w:tc>
          <w:tcPr>
            <w:tcW w:w="1840" w:type="dxa"/>
            <w:vAlign w:val="bottom"/>
            <w:tcBorders>
              <w:bottom w:val="single" w:sz="8" w:color="E2E0DE"/>
            </w:tcBorders>
            <w:shd w:val="clear" w:color="auto" w:fill="E2E0DE"/>
          </w:tcPr>
          <w:p>
            <w:pPr>
              <w:jc w:val="center"/>
              <w:spacing w:after="0"/>
              <w:rPr>
                <w:sz w:val="20"/>
                <w:szCs w:val="20"/>
                <w:color w:val="auto"/>
              </w:rPr>
            </w:pPr>
            <w:r>
              <w:rPr>
                <w:rFonts w:ascii="Arial" w:cs="Arial" w:eastAsia="Arial" w:hAnsi="Arial"/>
                <w:sz w:val="14"/>
                <w:szCs w:val="14"/>
                <w:color w:val="auto"/>
                <w:w w:val="98"/>
              </w:rPr>
              <w:t>C</w:t>
            </w:r>
          </w:p>
        </w:tc>
        <w:tc>
          <w:tcPr>
            <w:tcW w:w="2080" w:type="dxa"/>
            <w:vAlign w:val="bottom"/>
            <w:tcBorders>
              <w:bottom w:val="single" w:sz="8" w:color="E2E0DE"/>
            </w:tcBorders>
            <w:shd w:val="clear" w:color="auto" w:fill="E2E0DE"/>
          </w:tcPr>
          <w:p>
            <w:pPr>
              <w:jc w:val="center"/>
              <w:ind w:left="35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2960" w:type="dxa"/>
            <w:vAlign w:val="bottom"/>
          </w:tcPr>
          <w:p>
            <w:pPr>
              <w:ind w:left="60"/>
              <w:spacing w:after="0"/>
              <w:rPr>
                <w:sz w:val="20"/>
                <w:szCs w:val="20"/>
                <w:color w:val="auto"/>
              </w:rPr>
            </w:pPr>
            <w:r>
              <w:rPr>
                <w:rFonts w:ascii="Arial" w:cs="Arial" w:eastAsia="Arial" w:hAnsi="Arial"/>
                <w:sz w:val="14"/>
                <w:szCs w:val="14"/>
                <w:color w:val="auto"/>
              </w:rPr>
              <w:t>Richard J. Byrne</w:t>
            </w:r>
          </w:p>
        </w:tc>
        <w:tc>
          <w:tcPr>
            <w:tcW w:w="2140" w:type="dxa"/>
            <w:vAlign w:val="bottom"/>
          </w:tcPr>
          <w:p>
            <w:pPr>
              <w:jc w:val="center"/>
              <w:ind w:left="352"/>
              <w:spacing w:after="0"/>
              <w:rPr>
                <w:sz w:val="20"/>
                <w:szCs w:val="20"/>
                <w:color w:val="auto"/>
              </w:rPr>
            </w:pPr>
            <w:r>
              <w:rPr>
                <w:rFonts w:ascii="Arial" w:cs="Arial" w:eastAsia="Arial" w:hAnsi="Arial"/>
                <w:sz w:val="14"/>
                <w:szCs w:val="14"/>
                <w:color w:val="auto"/>
                <w:w w:val="80"/>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F</w:t>
            </w:r>
          </w:p>
        </w:tc>
        <w:tc>
          <w:tcPr>
            <w:tcW w:w="1840" w:type="dxa"/>
            <w:vAlign w:val="bottom"/>
          </w:tcPr>
          <w:p>
            <w:pPr>
              <w:jc w:val="center"/>
              <w:spacing w:after="0"/>
              <w:rPr>
                <w:sz w:val="20"/>
                <w:szCs w:val="20"/>
                <w:color w:val="auto"/>
              </w:rPr>
            </w:pPr>
            <w:r>
              <w:rPr>
                <w:rFonts w:ascii="Arial" w:cs="Arial" w:eastAsia="Arial" w:hAnsi="Arial"/>
                <w:sz w:val="14"/>
                <w:szCs w:val="14"/>
                <w:color w:val="auto"/>
                <w:w w:val="80"/>
              </w:rPr>
              <w:t>•</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29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960" w:type="dxa"/>
            <w:vAlign w:val="bottom"/>
            <w:tcBorders>
              <w:bottom w:val="single" w:sz="8" w:color="E2E0DE"/>
            </w:tcBorders>
            <w:shd w:val="clear" w:color="auto" w:fill="E2E0DE"/>
          </w:tcPr>
          <w:p>
            <w:pPr>
              <w:ind w:left="60"/>
              <w:spacing w:after="0"/>
              <w:rPr>
                <w:sz w:val="20"/>
                <w:szCs w:val="20"/>
                <w:color w:val="auto"/>
              </w:rPr>
            </w:pPr>
            <w:r>
              <w:rPr>
                <w:rFonts w:ascii="Arial" w:cs="Arial" w:eastAsia="Arial" w:hAnsi="Arial"/>
                <w:sz w:val="14"/>
                <w:szCs w:val="14"/>
                <w:color w:val="auto"/>
              </w:rPr>
              <w:t>Patricia Mulroy</w:t>
            </w:r>
          </w:p>
        </w:tc>
        <w:tc>
          <w:tcPr>
            <w:tcW w:w="2140" w:type="dxa"/>
            <w:vAlign w:val="bottom"/>
            <w:tcBorders>
              <w:bottom w:val="single" w:sz="8" w:color="E2E0DE"/>
            </w:tcBorders>
            <w:shd w:val="clear" w:color="auto" w:fill="E2E0DE"/>
          </w:tcPr>
          <w:p>
            <w:pPr>
              <w:jc w:val="center"/>
              <w:ind w:left="352"/>
              <w:spacing w:after="0"/>
              <w:rPr>
                <w:sz w:val="20"/>
                <w:szCs w:val="20"/>
                <w:color w:val="auto"/>
              </w:rPr>
            </w:pPr>
            <w:r>
              <w:rPr>
                <w:rFonts w:ascii="Arial" w:cs="Arial" w:eastAsia="Arial" w:hAnsi="Arial"/>
                <w:sz w:val="14"/>
                <w:szCs w:val="14"/>
                <w:color w:val="auto"/>
                <w:w w:val="80"/>
              </w:rPr>
              <w:t>•</w:t>
            </w:r>
          </w:p>
        </w:tc>
        <w:tc>
          <w:tcPr>
            <w:tcW w:w="1600" w:type="dxa"/>
            <w:vAlign w:val="bottom"/>
            <w:tcBorders>
              <w:bottom w:val="single" w:sz="8" w:color="E2E0DE"/>
            </w:tcBorders>
            <w:shd w:val="clear" w:color="auto" w:fill="E2E0DE"/>
          </w:tcPr>
          <w:p>
            <w:pPr>
              <w:jc w:val="center"/>
              <w:spacing w:after="0"/>
              <w:rPr>
                <w:sz w:val="20"/>
                <w:szCs w:val="20"/>
                <w:color w:val="auto"/>
              </w:rPr>
            </w:pPr>
            <w:r>
              <w:rPr>
                <w:rFonts w:ascii="Arial" w:cs="Arial" w:eastAsia="Arial" w:hAnsi="Arial"/>
                <w:sz w:val="14"/>
                <w:szCs w:val="14"/>
                <w:color w:val="auto"/>
                <w:w w:val="80"/>
              </w:rPr>
              <w:t>•</w:t>
            </w:r>
          </w:p>
        </w:tc>
        <w:tc>
          <w:tcPr>
            <w:tcW w:w="1840" w:type="dxa"/>
            <w:vAlign w:val="bottom"/>
            <w:tcBorders>
              <w:bottom w:val="single" w:sz="8" w:color="E2E0DE"/>
            </w:tcBorders>
            <w:shd w:val="clear" w:color="auto" w:fill="E2E0DE"/>
          </w:tcPr>
          <w:p>
            <w:pPr>
              <w:spacing w:after="0"/>
              <w:rPr>
                <w:sz w:val="23"/>
                <w:szCs w:val="23"/>
                <w:color w:val="auto"/>
              </w:rPr>
            </w:pPr>
          </w:p>
        </w:tc>
        <w:tc>
          <w:tcPr>
            <w:tcW w:w="2080" w:type="dxa"/>
            <w:vAlign w:val="bottom"/>
            <w:tcBorders>
              <w:bottom w:val="single" w:sz="8" w:color="E2E0DE"/>
            </w:tcBorders>
            <w:shd w:val="clear" w:color="auto" w:fill="E2E0DE"/>
          </w:tcPr>
          <w:p>
            <w:pPr>
              <w:jc w:val="center"/>
              <w:ind w:left="354"/>
              <w:spacing w:after="0"/>
              <w:rPr>
                <w:sz w:val="20"/>
                <w:szCs w:val="20"/>
                <w:color w:val="auto"/>
              </w:rPr>
            </w:pPr>
            <w:r>
              <w:rPr>
                <w:rFonts w:ascii="Arial" w:cs="Arial" w:eastAsia="Arial" w:hAnsi="Arial"/>
                <w:sz w:val="14"/>
                <w:szCs w:val="14"/>
                <w:color w:val="auto"/>
                <w:w w:val="98"/>
              </w:rPr>
              <w:t>C</w:t>
            </w:r>
          </w:p>
        </w:tc>
        <w:tc>
          <w:tcPr>
            <w:tcW w:w="0" w:type="dxa"/>
            <w:vAlign w:val="bottom"/>
          </w:tcPr>
          <w:p>
            <w:pPr>
              <w:spacing w:after="0"/>
              <w:rPr>
                <w:sz w:val="1"/>
                <w:szCs w:val="1"/>
                <w:color w:val="auto"/>
              </w:rPr>
            </w:pPr>
          </w:p>
        </w:tc>
      </w:tr>
      <w:tr>
        <w:trPr>
          <w:trHeight w:val="235"/>
        </w:trPr>
        <w:tc>
          <w:tcPr>
            <w:tcW w:w="2960" w:type="dxa"/>
            <w:vAlign w:val="bottom"/>
          </w:tcPr>
          <w:p>
            <w:pPr>
              <w:ind w:left="60"/>
              <w:spacing w:after="0"/>
              <w:rPr>
                <w:sz w:val="20"/>
                <w:szCs w:val="20"/>
                <w:color w:val="auto"/>
              </w:rPr>
            </w:pPr>
            <w:r>
              <w:rPr>
                <w:rFonts w:ascii="Arial" w:cs="Arial" w:eastAsia="Arial" w:hAnsi="Arial"/>
                <w:sz w:val="14"/>
                <w:szCs w:val="14"/>
                <w:color w:val="auto"/>
              </w:rPr>
              <w:t>Margaret J. Myers</w:t>
            </w:r>
          </w:p>
        </w:tc>
        <w:tc>
          <w:tcPr>
            <w:tcW w:w="2140" w:type="dxa"/>
            <w:vAlign w:val="bottom"/>
          </w:tcPr>
          <w:p>
            <w:pPr>
              <w:jc w:val="center"/>
              <w:ind w:left="352"/>
              <w:spacing w:after="0"/>
              <w:rPr>
                <w:sz w:val="20"/>
                <w:szCs w:val="20"/>
                <w:color w:val="auto"/>
              </w:rPr>
            </w:pPr>
            <w:r>
              <w:rPr>
                <w:rFonts w:ascii="Arial" w:cs="Arial" w:eastAsia="Arial" w:hAnsi="Arial"/>
                <w:sz w:val="14"/>
                <w:szCs w:val="14"/>
                <w:color w:val="auto"/>
                <w:w w:val="80"/>
              </w:rPr>
              <w:t>•</w:t>
            </w:r>
          </w:p>
        </w:tc>
        <w:tc>
          <w:tcPr>
            <w:tcW w:w="16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80"/>
              </w:rPr>
              <w:t>•</w:t>
            </w:r>
          </w:p>
        </w:tc>
        <w:tc>
          <w:tcPr>
            <w:tcW w:w="2080" w:type="dxa"/>
            <w:vAlign w:val="bottom"/>
          </w:tcPr>
          <w:p>
            <w:pPr>
              <w:jc w:val="center"/>
              <w:ind w:left="35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1"/>
        </w:trPr>
        <w:tc>
          <w:tcPr>
            <w:tcW w:w="29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960" w:type="dxa"/>
            <w:vAlign w:val="bottom"/>
            <w:tcBorders>
              <w:bottom w:val="single" w:sz="8" w:color="E2E0DE"/>
            </w:tcBorders>
            <w:shd w:val="clear" w:color="auto" w:fill="E2E0DE"/>
          </w:tcPr>
          <w:p>
            <w:pPr>
              <w:ind w:left="60"/>
              <w:spacing w:after="0"/>
              <w:rPr>
                <w:sz w:val="20"/>
                <w:szCs w:val="20"/>
                <w:color w:val="auto"/>
              </w:rPr>
            </w:pPr>
            <w:r>
              <w:rPr>
                <w:rFonts w:ascii="Arial" w:cs="Arial" w:eastAsia="Arial" w:hAnsi="Arial"/>
                <w:sz w:val="14"/>
                <w:szCs w:val="14"/>
                <w:color w:val="auto"/>
              </w:rPr>
              <w:t>Clark T. Randt, Jr. (1)</w:t>
            </w:r>
          </w:p>
        </w:tc>
        <w:tc>
          <w:tcPr>
            <w:tcW w:w="2140" w:type="dxa"/>
            <w:vAlign w:val="bottom"/>
            <w:tcBorders>
              <w:bottom w:val="single" w:sz="8" w:color="E2E0DE"/>
            </w:tcBorders>
            <w:shd w:val="clear" w:color="auto" w:fill="E2E0DE"/>
          </w:tcPr>
          <w:p>
            <w:pPr>
              <w:jc w:val="center"/>
              <w:ind w:left="352"/>
              <w:spacing w:after="0"/>
              <w:rPr>
                <w:sz w:val="20"/>
                <w:szCs w:val="20"/>
                <w:color w:val="auto"/>
              </w:rPr>
            </w:pPr>
            <w:r>
              <w:rPr>
                <w:rFonts w:ascii="Arial" w:cs="Arial" w:eastAsia="Arial" w:hAnsi="Arial"/>
                <w:sz w:val="14"/>
                <w:szCs w:val="14"/>
                <w:color w:val="auto"/>
                <w:w w:val="80"/>
              </w:rPr>
              <w:t>•</w:t>
            </w:r>
          </w:p>
        </w:tc>
        <w:tc>
          <w:tcPr>
            <w:tcW w:w="1600" w:type="dxa"/>
            <w:vAlign w:val="bottom"/>
            <w:tcBorders>
              <w:bottom w:val="single" w:sz="8" w:color="E2E0DE"/>
            </w:tcBorders>
            <w:shd w:val="clear" w:color="auto" w:fill="E2E0DE"/>
          </w:tcPr>
          <w:p>
            <w:pPr>
              <w:spacing w:after="0"/>
              <w:rPr>
                <w:sz w:val="23"/>
                <w:szCs w:val="23"/>
                <w:color w:val="auto"/>
              </w:rPr>
            </w:pPr>
          </w:p>
        </w:tc>
        <w:tc>
          <w:tcPr>
            <w:tcW w:w="1840" w:type="dxa"/>
            <w:vAlign w:val="bottom"/>
            <w:tcBorders>
              <w:bottom w:val="single" w:sz="8" w:color="E2E0DE"/>
            </w:tcBorders>
            <w:shd w:val="clear" w:color="auto" w:fill="E2E0DE"/>
          </w:tcPr>
          <w:p>
            <w:pPr>
              <w:jc w:val="center"/>
              <w:spacing w:after="0"/>
              <w:rPr>
                <w:sz w:val="20"/>
                <w:szCs w:val="20"/>
                <w:color w:val="auto"/>
              </w:rPr>
            </w:pPr>
            <w:r>
              <w:rPr>
                <w:rFonts w:ascii="Arial" w:cs="Arial" w:eastAsia="Arial" w:hAnsi="Arial"/>
                <w:sz w:val="14"/>
                <w:szCs w:val="14"/>
                <w:color w:val="auto"/>
                <w:w w:val="80"/>
              </w:rPr>
              <w:t>•</w:t>
            </w:r>
          </w:p>
        </w:tc>
        <w:tc>
          <w:tcPr>
            <w:tcW w:w="2080" w:type="dxa"/>
            <w:vAlign w:val="bottom"/>
            <w:tcBorders>
              <w:bottom w:val="single" w:sz="8" w:color="E2E0DE"/>
            </w:tcBorders>
            <w:shd w:val="clear" w:color="auto" w:fill="E2E0DE"/>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960" w:type="dxa"/>
            <w:vAlign w:val="bottom"/>
          </w:tcPr>
          <w:p>
            <w:pPr>
              <w:ind w:left="60"/>
              <w:spacing w:after="0"/>
              <w:rPr>
                <w:sz w:val="20"/>
                <w:szCs w:val="20"/>
                <w:color w:val="auto"/>
              </w:rPr>
            </w:pPr>
            <w:r>
              <w:rPr>
                <w:rFonts w:ascii="Arial" w:cs="Arial" w:eastAsia="Arial" w:hAnsi="Arial"/>
                <w:sz w:val="14"/>
                <w:szCs w:val="14"/>
                <w:color w:val="auto"/>
              </w:rPr>
              <w:t>Philip G. Satre</w:t>
            </w:r>
          </w:p>
        </w:tc>
        <w:tc>
          <w:tcPr>
            <w:tcW w:w="2140" w:type="dxa"/>
            <w:vAlign w:val="bottom"/>
          </w:tcPr>
          <w:p>
            <w:pPr>
              <w:jc w:val="center"/>
              <w:ind w:left="352"/>
              <w:spacing w:after="0"/>
              <w:rPr>
                <w:sz w:val="20"/>
                <w:szCs w:val="20"/>
                <w:color w:val="auto"/>
              </w:rPr>
            </w:pPr>
            <w:r>
              <w:rPr>
                <w:rFonts w:ascii="Arial" w:cs="Arial" w:eastAsia="Arial" w:hAnsi="Arial"/>
                <w:sz w:val="14"/>
                <w:szCs w:val="14"/>
                <w:color w:val="auto"/>
                <w:w w:val="80"/>
              </w:rPr>
              <w:t>•</w:t>
            </w:r>
          </w:p>
        </w:tc>
        <w:tc>
          <w:tcPr>
            <w:tcW w:w="1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80" w:type="dxa"/>
            <w:vAlign w:val="bottom"/>
          </w:tcPr>
          <w:p>
            <w:pPr>
              <w:jc w:val="center"/>
              <w:ind w:left="35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1"/>
        </w:trPr>
        <w:tc>
          <w:tcPr>
            <w:tcW w:w="29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960" w:type="dxa"/>
            <w:vAlign w:val="bottom"/>
            <w:tcBorders>
              <w:bottom w:val="single" w:sz="8" w:color="E2E0DE"/>
            </w:tcBorders>
            <w:shd w:val="clear" w:color="auto" w:fill="E2E0DE"/>
          </w:tcPr>
          <w:p>
            <w:pPr>
              <w:ind w:left="60"/>
              <w:spacing w:after="0"/>
              <w:rPr>
                <w:sz w:val="20"/>
                <w:szCs w:val="20"/>
                <w:color w:val="auto"/>
              </w:rPr>
            </w:pPr>
            <w:r>
              <w:rPr>
                <w:rFonts w:ascii="Arial" w:cs="Arial" w:eastAsia="Arial" w:hAnsi="Arial"/>
                <w:sz w:val="14"/>
                <w:szCs w:val="14"/>
                <w:color w:val="auto"/>
              </w:rPr>
              <w:t>Darnell O. Strom</w:t>
            </w:r>
          </w:p>
        </w:tc>
        <w:tc>
          <w:tcPr>
            <w:tcW w:w="2140" w:type="dxa"/>
            <w:vAlign w:val="bottom"/>
            <w:tcBorders>
              <w:bottom w:val="single" w:sz="8" w:color="E2E0DE"/>
            </w:tcBorders>
            <w:shd w:val="clear" w:color="auto" w:fill="E2E0DE"/>
          </w:tcPr>
          <w:p>
            <w:pPr>
              <w:jc w:val="center"/>
              <w:ind w:left="352"/>
              <w:spacing w:after="0"/>
              <w:rPr>
                <w:sz w:val="20"/>
                <w:szCs w:val="20"/>
                <w:color w:val="auto"/>
              </w:rPr>
            </w:pPr>
            <w:r>
              <w:rPr>
                <w:rFonts w:ascii="Arial" w:cs="Arial" w:eastAsia="Arial" w:hAnsi="Arial"/>
                <w:sz w:val="14"/>
                <w:szCs w:val="14"/>
                <w:color w:val="auto"/>
                <w:w w:val="80"/>
              </w:rPr>
              <w:t>•</w:t>
            </w:r>
          </w:p>
        </w:tc>
        <w:tc>
          <w:tcPr>
            <w:tcW w:w="1600" w:type="dxa"/>
            <w:vAlign w:val="bottom"/>
            <w:tcBorders>
              <w:bottom w:val="single" w:sz="8" w:color="E2E0DE"/>
            </w:tcBorders>
            <w:shd w:val="clear" w:color="auto" w:fill="E2E0DE"/>
          </w:tcPr>
          <w:p>
            <w:pPr>
              <w:jc w:val="center"/>
              <w:spacing w:after="0"/>
              <w:rPr>
                <w:sz w:val="20"/>
                <w:szCs w:val="20"/>
                <w:color w:val="auto"/>
              </w:rPr>
            </w:pPr>
            <w:r>
              <w:rPr>
                <w:rFonts w:ascii="Arial" w:cs="Arial" w:eastAsia="Arial" w:hAnsi="Arial"/>
                <w:sz w:val="14"/>
                <w:szCs w:val="14"/>
                <w:color w:val="auto"/>
                <w:w w:val="80"/>
              </w:rPr>
              <w:t>•</w:t>
            </w:r>
          </w:p>
        </w:tc>
        <w:tc>
          <w:tcPr>
            <w:tcW w:w="1840" w:type="dxa"/>
            <w:vAlign w:val="bottom"/>
            <w:tcBorders>
              <w:bottom w:val="single" w:sz="8" w:color="E2E0DE"/>
            </w:tcBorders>
            <w:shd w:val="clear" w:color="auto" w:fill="E2E0DE"/>
          </w:tcPr>
          <w:p>
            <w:pPr>
              <w:spacing w:after="0"/>
              <w:rPr>
                <w:sz w:val="23"/>
                <w:szCs w:val="23"/>
                <w:color w:val="auto"/>
              </w:rPr>
            </w:pPr>
          </w:p>
        </w:tc>
        <w:tc>
          <w:tcPr>
            <w:tcW w:w="2080" w:type="dxa"/>
            <w:vAlign w:val="bottom"/>
            <w:tcBorders>
              <w:bottom w:val="single" w:sz="8" w:color="E2E0DE"/>
            </w:tcBorders>
            <w:shd w:val="clear" w:color="auto" w:fill="E2E0DE"/>
          </w:tcPr>
          <w:p>
            <w:pPr>
              <w:jc w:val="center"/>
              <w:ind w:left="35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2960" w:type="dxa"/>
            <w:vAlign w:val="bottom"/>
          </w:tcPr>
          <w:p>
            <w:pPr>
              <w:ind w:left="60"/>
              <w:spacing w:after="0"/>
              <w:rPr>
                <w:sz w:val="20"/>
                <w:szCs w:val="20"/>
                <w:color w:val="auto"/>
              </w:rPr>
            </w:pPr>
            <w:r>
              <w:rPr>
                <w:rFonts w:ascii="Arial" w:cs="Arial" w:eastAsia="Arial" w:hAnsi="Arial"/>
                <w:sz w:val="14"/>
                <w:szCs w:val="14"/>
                <w:color w:val="auto"/>
              </w:rPr>
              <w:t>Winifred M. Webb</w:t>
            </w:r>
          </w:p>
        </w:tc>
        <w:tc>
          <w:tcPr>
            <w:tcW w:w="2140" w:type="dxa"/>
            <w:vAlign w:val="bottom"/>
          </w:tcPr>
          <w:p>
            <w:pPr>
              <w:jc w:val="center"/>
              <w:ind w:left="352"/>
              <w:spacing w:after="0"/>
              <w:rPr>
                <w:sz w:val="20"/>
                <w:szCs w:val="20"/>
                <w:color w:val="auto"/>
              </w:rPr>
            </w:pPr>
            <w:r>
              <w:rPr>
                <w:rFonts w:ascii="Arial" w:cs="Arial" w:eastAsia="Arial" w:hAnsi="Arial"/>
                <w:sz w:val="14"/>
                <w:szCs w:val="14"/>
                <w:color w:val="auto"/>
                <w:w w:val="80"/>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7"/>
              </w:rPr>
              <w:t>C,F</w:t>
            </w:r>
          </w:p>
        </w:tc>
        <w:tc>
          <w:tcPr>
            <w:tcW w:w="18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29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960" w:type="dxa"/>
            <w:vAlign w:val="bottom"/>
            <w:shd w:val="clear" w:color="auto" w:fill="E2E0DE"/>
          </w:tcPr>
          <w:p>
            <w:pPr>
              <w:ind w:left="60"/>
              <w:spacing w:after="0"/>
              <w:rPr>
                <w:sz w:val="20"/>
                <w:szCs w:val="20"/>
                <w:color w:val="auto"/>
              </w:rPr>
            </w:pPr>
            <w:r>
              <w:rPr>
                <w:rFonts w:ascii="Arial" w:cs="Arial" w:eastAsia="Arial" w:hAnsi="Arial"/>
                <w:sz w:val="14"/>
                <w:szCs w:val="14"/>
                <w:color w:val="auto"/>
              </w:rPr>
              <w:t>Committee Meetings in 2022</w:t>
            </w:r>
          </w:p>
        </w:tc>
        <w:tc>
          <w:tcPr>
            <w:tcW w:w="2140" w:type="dxa"/>
            <w:vAlign w:val="bottom"/>
            <w:shd w:val="clear" w:color="auto" w:fill="E2E0DE"/>
          </w:tcPr>
          <w:p>
            <w:pPr>
              <w:spacing w:after="0"/>
              <w:rPr>
                <w:sz w:val="20"/>
                <w:szCs w:val="20"/>
                <w:color w:val="auto"/>
              </w:rPr>
            </w:pPr>
          </w:p>
        </w:tc>
        <w:tc>
          <w:tcPr>
            <w:tcW w:w="1600" w:type="dxa"/>
            <w:vAlign w:val="bottom"/>
            <w:shd w:val="clear" w:color="auto" w:fill="E2E0DE"/>
          </w:tcPr>
          <w:p>
            <w:pPr>
              <w:jc w:val="center"/>
              <w:spacing w:after="0"/>
              <w:rPr>
                <w:sz w:val="20"/>
                <w:szCs w:val="20"/>
                <w:color w:val="auto"/>
              </w:rPr>
            </w:pPr>
            <w:r>
              <w:rPr>
                <w:rFonts w:ascii="Arial" w:cs="Arial" w:eastAsia="Arial" w:hAnsi="Arial"/>
                <w:sz w:val="14"/>
                <w:szCs w:val="14"/>
                <w:b w:val="1"/>
                <w:bCs w:val="1"/>
                <w:color w:val="auto"/>
              </w:rPr>
              <w:t>5</w:t>
            </w:r>
          </w:p>
        </w:tc>
        <w:tc>
          <w:tcPr>
            <w:tcW w:w="1840" w:type="dxa"/>
            <w:vAlign w:val="bottom"/>
            <w:shd w:val="clear" w:color="auto" w:fill="E2E0DE"/>
          </w:tcPr>
          <w:p>
            <w:pPr>
              <w:jc w:val="center"/>
              <w:spacing w:after="0"/>
              <w:rPr>
                <w:sz w:val="20"/>
                <w:szCs w:val="20"/>
                <w:color w:val="auto"/>
              </w:rPr>
            </w:pPr>
            <w:r>
              <w:rPr>
                <w:rFonts w:ascii="Arial" w:cs="Arial" w:eastAsia="Arial" w:hAnsi="Arial"/>
                <w:sz w:val="14"/>
                <w:szCs w:val="14"/>
                <w:b w:val="1"/>
                <w:bCs w:val="1"/>
                <w:color w:val="auto"/>
              </w:rPr>
              <w:t>5</w:t>
            </w:r>
          </w:p>
        </w:tc>
        <w:tc>
          <w:tcPr>
            <w:tcW w:w="2080" w:type="dxa"/>
            <w:vAlign w:val="bottom"/>
            <w:shd w:val="clear" w:color="auto" w:fill="E2E0DE"/>
          </w:tcPr>
          <w:p>
            <w:pPr>
              <w:jc w:val="center"/>
              <w:ind w:left="374"/>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51"/>
        </w:trPr>
        <w:tc>
          <w:tcPr>
            <w:tcW w:w="2960" w:type="dxa"/>
            <w:vAlign w:val="bottom"/>
            <w:shd w:val="clear" w:color="auto" w:fill="E2E0DE"/>
          </w:tcPr>
          <w:p>
            <w:pPr>
              <w:spacing w:after="0"/>
              <w:rPr>
                <w:sz w:val="4"/>
                <w:szCs w:val="4"/>
                <w:color w:val="auto"/>
              </w:rPr>
            </w:pPr>
          </w:p>
        </w:tc>
        <w:tc>
          <w:tcPr>
            <w:tcW w:w="2140" w:type="dxa"/>
            <w:vAlign w:val="bottom"/>
            <w:shd w:val="clear" w:color="auto" w:fill="E2E0DE"/>
          </w:tcPr>
          <w:p>
            <w:pPr>
              <w:spacing w:after="0"/>
              <w:rPr>
                <w:sz w:val="4"/>
                <w:szCs w:val="4"/>
                <w:color w:val="auto"/>
              </w:rPr>
            </w:pPr>
          </w:p>
        </w:tc>
        <w:tc>
          <w:tcPr>
            <w:tcW w:w="1600" w:type="dxa"/>
            <w:vAlign w:val="bottom"/>
            <w:shd w:val="clear" w:color="auto" w:fill="E2E0DE"/>
          </w:tcPr>
          <w:p>
            <w:pPr>
              <w:spacing w:after="0"/>
              <w:rPr>
                <w:sz w:val="4"/>
                <w:szCs w:val="4"/>
                <w:color w:val="auto"/>
              </w:rPr>
            </w:pPr>
          </w:p>
        </w:tc>
        <w:tc>
          <w:tcPr>
            <w:tcW w:w="1840" w:type="dxa"/>
            <w:vAlign w:val="bottom"/>
            <w:shd w:val="clear" w:color="auto" w:fill="E2E0DE"/>
          </w:tcPr>
          <w:p>
            <w:pPr>
              <w:spacing w:after="0"/>
              <w:rPr>
                <w:sz w:val="4"/>
                <w:szCs w:val="4"/>
                <w:color w:val="auto"/>
              </w:rPr>
            </w:pPr>
          </w:p>
        </w:tc>
        <w:tc>
          <w:tcPr>
            <w:tcW w:w="2080" w:type="dxa"/>
            <w:vAlign w:val="bottom"/>
            <w:shd w:val="clear" w:color="auto" w:fill="E2E0DE"/>
          </w:tcPr>
          <w:p>
            <w:pPr>
              <w:spacing w:after="0"/>
              <w:rPr>
                <w:sz w:val="4"/>
                <w:szCs w:val="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C Chair; F Financial Expert within the meaning of SEC regulations;</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(1) Ambassador Randt will not stand for re-election at the expiration of his term at the Company’s 2023 Annual Meeting.</w:t>
      </w:r>
    </w:p>
    <w:p>
      <w:pPr>
        <w:spacing w:after="0" w:line="299"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DB59E"/>
        </w:rPr>
        <w:t>AUDIT COMMITTEE</w:t>
      </w:r>
    </w:p>
    <w:p>
      <w:pPr>
        <w:spacing w:after="0" w:line="6" w:lineRule="exact"/>
        <w:rPr>
          <w:sz w:val="20"/>
          <w:szCs w:val="20"/>
          <w:color w:val="auto"/>
        </w:rPr>
      </w:pPr>
    </w:p>
    <w:p>
      <w:pPr>
        <w:ind w:left="320" w:right="100"/>
        <w:spacing w:after="0" w:line="243" w:lineRule="auto"/>
        <w:rPr>
          <w:sz w:val="20"/>
          <w:szCs w:val="20"/>
          <w:color w:val="auto"/>
        </w:rPr>
      </w:pPr>
      <w:r>
        <w:rPr>
          <w:rFonts w:ascii="Arial" w:cs="Arial" w:eastAsia="Arial" w:hAnsi="Arial"/>
          <w:sz w:val="17"/>
          <w:szCs w:val="17"/>
          <w:color w:val="auto"/>
        </w:rPr>
        <w:t>At each regular meeting, the Audit Committee meets in executive session with the Company’s independent auditors, General Counsel, Chief Audit Executive, Chief Financial Officer, and Chief Global Compliance Officer to discuss accounting principles, financial and accounting controls, the scope of the annual audit, internal controls, regulatory compliance, and other matters. The independent auditors have complete access to the Audit Committee without management present to discuss the results of their audits and their opinions on the adequacy of internal controls, quality of financial reporting, and other accounting and auditing matters.</w:t>
      </w:r>
    </w:p>
    <w:p>
      <w:pPr>
        <w:spacing w:after="0" w:line="28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B3AB9D"/>
        </w:rPr>
        <w:t>KEY RESPONSIBILITIES</w:t>
      </w:r>
    </w:p>
    <w:p>
      <w:pPr>
        <w:spacing w:after="0" w:line="214" w:lineRule="exact"/>
        <w:rPr>
          <w:sz w:val="20"/>
          <w:szCs w:val="20"/>
          <w:color w:val="auto"/>
        </w:rPr>
      </w:pPr>
    </w:p>
    <w:p>
      <w:pPr>
        <w:ind w:left="520" w:hanging="204"/>
        <w:spacing w:after="0"/>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Appointing, retaining, overseeing, and approving the compensation of the independent auditors</w:t>
      </w:r>
    </w:p>
    <w:p>
      <w:pPr>
        <w:spacing w:after="0" w:line="207" w:lineRule="exact"/>
        <w:rPr>
          <w:rFonts w:ascii="Arial" w:cs="Arial" w:eastAsia="Arial" w:hAnsi="Arial"/>
          <w:sz w:val="17"/>
          <w:szCs w:val="17"/>
          <w:color w:val="auto"/>
        </w:rPr>
      </w:pPr>
    </w:p>
    <w:p>
      <w:pPr>
        <w:ind w:left="520" w:right="120" w:hanging="204"/>
        <w:spacing w:after="0" w:line="256"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Reviewing and discussing with the independent auditors and management the Company’s earnings releases and quarterly and annual reports to be filed with the SEC</w:t>
      </w:r>
    </w:p>
    <w:p>
      <w:pPr>
        <w:spacing w:after="0" w:line="181" w:lineRule="exact"/>
        <w:rPr>
          <w:rFonts w:ascii="Arial" w:cs="Arial" w:eastAsia="Arial" w:hAnsi="Arial"/>
          <w:sz w:val="17"/>
          <w:szCs w:val="17"/>
          <w:color w:val="auto"/>
        </w:rPr>
      </w:pPr>
    </w:p>
    <w:p>
      <w:pPr>
        <w:ind w:left="520" w:hanging="204"/>
        <w:spacing w:after="0"/>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Reviewing the adequacy, effectiveness, scope, and results of the Company’s internal auditing procedures and practices</w:t>
      </w:r>
    </w:p>
    <w:p>
      <w:pPr>
        <w:spacing w:after="0" w:line="207" w:lineRule="exact"/>
        <w:rPr>
          <w:rFonts w:ascii="Arial" w:cs="Arial" w:eastAsia="Arial" w:hAnsi="Arial"/>
          <w:sz w:val="17"/>
          <w:szCs w:val="17"/>
          <w:color w:val="auto"/>
        </w:rPr>
      </w:pPr>
    </w:p>
    <w:p>
      <w:pPr>
        <w:ind w:left="520" w:right="320" w:hanging="204"/>
        <w:spacing w:after="0" w:line="256"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Overseeing the Company’s legal and regulatory compliance programs (in conjunction with the independent Compliance Committee) and its policies and procedures for monitoring compliance as they relate to the Company’s financial statements</w:t>
      </w:r>
    </w:p>
    <w:p>
      <w:pPr>
        <w:spacing w:after="0" w:line="181" w:lineRule="exact"/>
        <w:rPr>
          <w:rFonts w:ascii="Arial" w:cs="Arial" w:eastAsia="Arial" w:hAnsi="Arial"/>
          <w:sz w:val="17"/>
          <w:szCs w:val="17"/>
          <w:color w:val="auto"/>
        </w:rPr>
      </w:pPr>
    </w:p>
    <w:p>
      <w:pPr>
        <w:ind w:left="520" w:right="100" w:hanging="204"/>
        <w:spacing w:after="0" w:line="256"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Meeting periodically with management to review the Company’s major risk exposures and the steps management has taken to monitor and control such exposures</w:t>
      </w:r>
    </w:p>
    <w:p>
      <w:pPr>
        <w:spacing w:after="0" w:line="181" w:lineRule="exact"/>
        <w:rPr>
          <w:rFonts w:ascii="Arial" w:cs="Arial" w:eastAsia="Arial" w:hAnsi="Arial"/>
          <w:sz w:val="17"/>
          <w:szCs w:val="17"/>
          <w:color w:val="auto"/>
        </w:rPr>
      </w:pPr>
    </w:p>
    <w:p>
      <w:pPr>
        <w:ind w:left="520" w:hanging="204"/>
        <w:spacing w:after="0"/>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Reviewing and approving the Company’s decision to enter into certain swaps and other derivative transactions</w:t>
      </w:r>
    </w:p>
    <w:p>
      <w:pPr>
        <w:spacing w:after="0" w:line="13"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14 //</w:t>
      </w:r>
    </w:p>
    <w:p>
      <w:pPr>
        <w:sectPr>
          <w:pgSz w:w="11900" w:h="16838" w:orient="portrait"/>
          <w:cols w:equalWidth="0" w:num="1">
            <w:col w:w="10940"/>
          </w:cols>
          <w:pgMar w:left="320" w:top="473" w:right="6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B3AB9D"/>
        </w:rPr>
        <w:t>COMPENSATION COMMITTEE</w:t>
      </w:r>
    </w:p>
    <w:p>
      <w:pPr>
        <w:spacing w:after="0" w:line="6" w:lineRule="exact"/>
        <w:rPr>
          <w:sz w:val="20"/>
          <w:szCs w:val="20"/>
          <w:color w:val="auto"/>
        </w:rPr>
      </w:pPr>
    </w:p>
    <w:p>
      <w:pPr>
        <w:jc w:val="both"/>
        <w:ind w:left="320" w:right="100"/>
        <w:spacing w:after="0" w:line="245" w:lineRule="auto"/>
        <w:rPr>
          <w:sz w:val="20"/>
          <w:szCs w:val="20"/>
          <w:color w:val="auto"/>
        </w:rPr>
      </w:pPr>
      <w:r>
        <w:rPr>
          <w:rFonts w:ascii="Arial" w:cs="Arial" w:eastAsia="Arial" w:hAnsi="Arial"/>
          <w:sz w:val="17"/>
          <w:szCs w:val="17"/>
          <w:color w:val="auto"/>
        </w:rPr>
        <w:t>The Compensation Committee sets all elements of compensation for our named executive officers (“NEOs”) based upon consideration of our NEO’s contributions to the development and operating performance of the Company, and is primarily responsible for monitoring risks relating to the Company’s compensation policies and practices to determine whether they create risks that are reasonably likely to have a material adverse effect on the Company.</w:t>
      </w:r>
    </w:p>
    <w:p>
      <w:pPr>
        <w:spacing w:after="0" w:line="164" w:lineRule="exact"/>
        <w:rPr>
          <w:sz w:val="20"/>
          <w:szCs w:val="20"/>
          <w:color w:val="auto"/>
        </w:rPr>
      </w:pPr>
    </w:p>
    <w:p>
      <w:pPr>
        <w:jc w:val="both"/>
        <w:ind w:left="320" w:right="340"/>
        <w:spacing w:after="0" w:line="247" w:lineRule="auto"/>
        <w:rPr>
          <w:sz w:val="20"/>
          <w:szCs w:val="20"/>
          <w:color w:val="auto"/>
        </w:rPr>
      </w:pPr>
      <w:r>
        <w:rPr>
          <w:rFonts w:ascii="Arial" w:cs="Arial" w:eastAsia="Arial" w:hAnsi="Arial"/>
          <w:sz w:val="17"/>
          <w:szCs w:val="17"/>
          <w:color w:val="auto"/>
        </w:rPr>
        <w:t>The Compensation Committee considers the recommendations of the CEO in establishing compensation for all NEOs, other than the CEO. In addition, the Compensation Committee oversees the CEO’s annual evaluation of our senior management and considers such evaluations when determining the compensation for members of our senior management.</w:t>
      </w:r>
    </w:p>
    <w:p>
      <w:pPr>
        <w:spacing w:after="0" w:line="151" w:lineRule="exact"/>
        <w:rPr>
          <w:sz w:val="20"/>
          <w:szCs w:val="20"/>
          <w:color w:val="auto"/>
        </w:rPr>
      </w:pPr>
    </w:p>
    <w:p>
      <w:pPr>
        <w:ind w:left="320" w:right="40"/>
        <w:spacing w:after="0" w:line="241" w:lineRule="auto"/>
        <w:rPr>
          <w:sz w:val="20"/>
          <w:szCs w:val="20"/>
          <w:color w:val="auto"/>
        </w:rPr>
      </w:pPr>
      <w:r>
        <w:rPr>
          <w:rFonts w:ascii="Arial" w:cs="Arial" w:eastAsia="Arial" w:hAnsi="Arial"/>
          <w:sz w:val="17"/>
          <w:szCs w:val="17"/>
          <w:color w:val="auto"/>
        </w:rPr>
        <w:t>The Compensation Committee has the authority to retain compensation consulting firms exclusively to assist it in the evaluation of executive officer and employee compensation and benefit programs. In 2022, the Compensation Committee retained Radford, a unit of Aon plc’s Human Capital Solutions (“Radford”), a nationally recognized independent compensation consulting firm, to assist in performing its duties. Radford does not provide services to the Company other than the advice on director and executive compensation that it may provide the Compensation Committee when requested. In 2022, Radford provided the Compensation Committee with a peer group review and competitive compensation analysis, in connection with the Compensation Committee’s review of compensation levels of our NEOs. The Compensation Committee retains sole responsibility for engaging advisors and meets with advisors, as needed, in the Compensation Committee’s sole discretion. Each of the members of the Compensation Committee brings a wealth of experience from their public and private board experience and their respective executive roles, which helps the Committee oversee the design and practice of linking executive compensation to company performance.</w:t>
      </w:r>
    </w:p>
    <w:p>
      <w:pPr>
        <w:spacing w:after="0" w:line="290"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B3AB9D"/>
        </w:rPr>
        <w:t>KEY RESPONSIBILITIES</w:t>
      </w:r>
    </w:p>
    <w:p>
      <w:pPr>
        <w:spacing w:after="0" w:line="214" w:lineRule="exact"/>
        <w:rPr>
          <w:sz w:val="20"/>
          <w:szCs w:val="20"/>
          <w:color w:val="auto"/>
        </w:rPr>
      </w:pPr>
    </w:p>
    <w:p>
      <w:pPr>
        <w:ind w:left="520" w:right="500" w:hanging="204"/>
        <w:spacing w:after="0" w:line="256"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Reviewing the goals and objectives of the Company’s executive compensation plans, and amend or recommend that the Board a amend an existing plan or adopt a new plan, as appropriate</w:t>
      </w:r>
    </w:p>
    <w:p>
      <w:pPr>
        <w:spacing w:after="0" w:line="181" w:lineRule="exact"/>
        <w:rPr>
          <w:rFonts w:ascii="Arial" w:cs="Arial" w:eastAsia="Arial" w:hAnsi="Arial"/>
          <w:sz w:val="17"/>
          <w:szCs w:val="17"/>
          <w:color w:val="auto"/>
        </w:rPr>
      </w:pPr>
    </w:p>
    <w:p>
      <w:pPr>
        <w:ind w:left="520" w:hanging="204"/>
        <w:spacing w:after="0"/>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Assessing the Company’s most recent advisory vote on executive compensation</w:t>
      </w:r>
    </w:p>
    <w:p>
      <w:pPr>
        <w:spacing w:after="0" w:line="207" w:lineRule="exact"/>
        <w:rPr>
          <w:rFonts w:ascii="Arial" w:cs="Arial" w:eastAsia="Arial" w:hAnsi="Arial"/>
          <w:sz w:val="17"/>
          <w:szCs w:val="17"/>
          <w:color w:val="auto"/>
        </w:rPr>
      </w:pPr>
    </w:p>
    <w:p>
      <w:pPr>
        <w:ind w:left="520" w:right="740" w:hanging="204"/>
        <w:spacing w:after="0" w:line="256"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Appointing advisors retained by the Committee and assessing any potential conflicts of interest, overseeing and approving the compensation of any advisors the Committee retains</w:t>
      </w:r>
    </w:p>
    <w:p>
      <w:pPr>
        <w:spacing w:after="0" w:line="181" w:lineRule="exact"/>
        <w:rPr>
          <w:rFonts w:ascii="Arial" w:cs="Arial" w:eastAsia="Arial" w:hAnsi="Arial"/>
          <w:sz w:val="17"/>
          <w:szCs w:val="17"/>
          <w:color w:val="auto"/>
        </w:rPr>
      </w:pPr>
    </w:p>
    <w:p>
      <w:pPr>
        <w:ind w:left="520" w:right="540" w:hanging="204"/>
        <w:spacing w:after="0" w:line="256"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Annually evaluating the performance of the CEO, overseeing the evaluation of performance of senior management and the other officers of the Company, and setting compensation for the CEO, other NEOs, and other members of senior management</w:t>
      </w:r>
    </w:p>
    <w:p>
      <w:pPr>
        <w:spacing w:after="0" w:line="181" w:lineRule="exact"/>
        <w:rPr>
          <w:rFonts w:ascii="Arial" w:cs="Arial" w:eastAsia="Arial" w:hAnsi="Arial"/>
          <w:sz w:val="17"/>
          <w:szCs w:val="17"/>
          <w:color w:val="auto"/>
        </w:rPr>
      </w:pPr>
    </w:p>
    <w:p>
      <w:pPr>
        <w:ind w:left="520" w:hanging="204"/>
        <w:spacing w:after="0"/>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Reviewing and approving equity awards and supervising administrative functions pursuant to the Company’s equity plans</w:t>
      </w:r>
    </w:p>
    <w:p>
      <w:pPr>
        <w:spacing w:after="0" w:line="207" w:lineRule="exact"/>
        <w:rPr>
          <w:rFonts w:ascii="Arial" w:cs="Arial" w:eastAsia="Arial" w:hAnsi="Arial"/>
          <w:sz w:val="17"/>
          <w:szCs w:val="17"/>
          <w:color w:val="auto"/>
        </w:rPr>
      </w:pPr>
    </w:p>
    <w:p>
      <w:pPr>
        <w:ind w:left="520" w:right="60" w:hanging="204"/>
        <w:spacing w:after="0" w:line="256"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Reviewing and approving compensation arrangements for officers and other key employees in accordance with policies adopted by the Committee from time to time</w:t>
      </w:r>
    </w:p>
    <w:p>
      <w:pPr>
        <w:spacing w:after="0" w:line="181" w:lineRule="exact"/>
        <w:rPr>
          <w:rFonts w:ascii="Arial" w:cs="Arial" w:eastAsia="Arial" w:hAnsi="Arial"/>
          <w:sz w:val="17"/>
          <w:szCs w:val="17"/>
          <w:color w:val="auto"/>
        </w:rPr>
      </w:pPr>
    </w:p>
    <w:p>
      <w:pPr>
        <w:ind w:left="520" w:right="1040" w:hanging="204"/>
        <w:spacing w:after="0" w:line="256"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Reviewing and recommending to the full Board the type and amount of compensation for Board and Committee service by non-management members of the Board</w:t>
      </w:r>
    </w:p>
    <w:p>
      <w:pPr>
        <w:spacing w:after="0" w:line="181" w:lineRule="exact"/>
        <w:rPr>
          <w:rFonts w:ascii="Arial" w:cs="Arial" w:eastAsia="Arial" w:hAnsi="Arial"/>
          <w:sz w:val="17"/>
          <w:szCs w:val="17"/>
          <w:color w:val="auto"/>
        </w:rPr>
      </w:pPr>
    </w:p>
    <w:p>
      <w:pPr>
        <w:ind w:left="520" w:right="400" w:hanging="204"/>
        <w:spacing w:after="0" w:line="256"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Reviewing and discussing with management the Compensation Discussion and Analysis and related disclosures in the Company’s Proxy Statement</w:t>
      </w:r>
    </w:p>
    <w:p>
      <w:pPr>
        <w:spacing w:after="0" w:line="275"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B3AB9D"/>
        </w:rPr>
        <w:t>COMPENSATION COMMITTEE INTERLOCKS AND INSIDER PARTICIPATION</w:t>
      </w:r>
    </w:p>
    <w:p>
      <w:pPr>
        <w:spacing w:after="0" w:line="6" w:lineRule="exact"/>
        <w:rPr>
          <w:sz w:val="20"/>
          <w:szCs w:val="20"/>
          <w:color w:val="auto"/>
        </w:rPr>
      </w:pPr>
    </w:p>
    <w:p>
      <w:pPr>
        <w:ind w:left="320"/>
        <w:spacing w:after="0" w:line="245" w:lineRule="auto"/>
        <w:rPr>
          <w:sz w:val="20"/>
          <w:szCs w:val="20"/>
          <w:color w:val="auto"/>
        </w:rPr>
      </w:pPr>
      <w:r>
        <w:rPr>
          <w:rFonts w:ascii="Arial" w:cs="Arial" w:eastAsia="Arial" w:hAnsi="Arial"/>
          <w:sz w:val="17"/>
          <w:szCs w:val="17"/>
          <w:color w:val="auto"/>
        </w:rPr>
        <w:t>The members of the Compensation Committee are appointed by the Board each year. The members of the Compensation Committee who served in 2022 were Ms. Atkins, Mr. Byrne, Ms. Myers and Ambassador Randt. No member of the Compensation Committee is, or was, one of our officers or employees. No interlocking relationship exists between the Board or Compensation Committee and the board of directors or compensation committee of any other company, nor has any interlocking relationship existed in the past.</w:t>
      </w:r>
    </w:p>
    <w:p>
      <w:pPr>
        <w:spacing w:after="0" w:line="131"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 15 //</w:t>
      </w:r>
    </w:p>
    <w:p>
      <w:pPr>
        <w:sectPr>
          <w:pgSz w:w="11900" w:h="16838" w:orient="portrait"/>
          <w:cols w:equalWidth="0" w:num="1">
            <w:col w:w="10920"/>
          </w:cols>
          <w:pgMar w:left="320" w:top="473" w:right="65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Nominating and corporate governance committee</w:t>
      </w:r>
    </w:p>
    <w:p>
      <w:pPr>
        <w:spacing w:after="0" w:line="33" w:lineRule="exact"/>
        <w:rPr>
          <w:sz w:val="20"/>
          <w:szCs w:val="20"/>
          <w:color w:val="auto"/>
        </w:rPr>
      </w:pPr>
    </w:p>
    <w:p>
      <w:pPr>
        <w:ind w:left="320" w:right="280"/>
        <w:spacing w:after="0" w:line="256" w:lineRule="auto"/>
        <w:rPr>
          <w:sz w:val="20"/>
          <w:szCs w:val="20"/>
          <w:color w:val="auto"/>
        </w:rPr>
      </w:pPr>
      <w:r>
        <w:rPr>
          <w:rFonts w:ascii="Arial" w:cs="Arial" w:eastAsia="Arial" w:hAnsi="Arial"/>
          <w:sz w:val="17"/>
          <w:szCs w:val="17"/>
          <w:color w:val="auto"/>
        </w:rPr>
        <w:t>The Nominating and Corporate Governance Committee seeks to have the Board represent a diversity of backgrounds and experiences and assesses potential nominees in light of the Board’s current size and composition.</w:t>
      </w:r>
    </w:p>
    <w:p>
      <w:pPr>
        <w:spacing w:after="0" w:line="155" w:lineRule="exact"/>
        <w:rPr>
          <w:sz w:val="20"/>
          <w:szCs w:val="20"/>
          <w:color w:val="auto"/>
        </w:rPr>
      </w:pPr>
    </w:p>
    <w:p>
      <w:pPr>
        <w:ind w:left="320" w:right="60"/>
        <w:spacing w:after="0"/>
        <w:rPr>
          <w:sz w:val="20"/>
          <w:szCs w:val="20"/>
          <w:color w:val="auto"/>
        </w:rPr>
      </w:pPr>
      <w:r>
        <w:rPr>
          <w:rFonts w:ascii="Arial" w:cs="Arial" w:eastAsia="Arial" w:hAnsi="Arial"/>
          <w:sz w:val="17"/>
          <w:szCs w:val="17"/>
          <w:color w:val="auto"/>
        </w:rPr>
        <w:t>The Nominating and Corporate Governance Committee believes that the minimum qualifications for serving as a director of the Company are that a nominee demonstrate, by significant accomplishment in his or her field, an ability to make a meaningful contribution to the Board’s oversight of the business and affairs of the Company and have a reputation for honest and ethical conduct in both personal and professional activities. The Nominating and Corporate Governance Committee may, from time to time, develop and recommend additional criteria for identifying and evaluating director candidates, including those recommended for consideration by Company shareholders. In addition, the Nominating and Corporate Governance Committee examines a candidate’s other commitments, potential conflicts of interest, and independence from management and the Company. The Nominating and Corporate Governance Committee and Board believe that differences of viewpoint, professional experience, individual characteristics, personal background, qualities, skills, qualifications, gender, ethnicity, and race help generate varying perspectives and that those varying perspectives are important to the effectiveness of the Board’s oversight of the Company. The Nominating and Corporate Governance Committee proactively considers diversity by annually reviewing with the Board the Board’s composition as a whole and recommending, if appropriate, measures to be taken so that the Board reflects the appropriate balance of knowledge, depth, diversity of backgrounds and experience, and the skills and expertise required for the Board as a whole. The Nominating and Corporate Governance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w:t>
      </w:r>
    </w:p>
    <w:p>
      <w:pPr>
        <w:spacing w:after="0" w:line="164" w:lineRule="exact"/>
        <w:rPr>
          <w:sz w:val="20"/>
          <w:szCs w:val="20"/>
          <w:color w:val="auto"/>
        </w:rPr>
      </w:pPr>
    </w:p>
    <w:p>
      <w:pPr>
        <w:ind w:left="320" w:right="240"/>
        <w:spacing w:after="0" w:line="247" w:lineRule="auto"/>
        <w:rPr>
          <w:sz w:val="20"/>
          <w:szCs w:val="20"/>
          <w:color w:val="auto"/>
        </w:rPr>
      </w:pPr>
      <w:r>
        <w:rPr>
          <w:rFonts w:ascii="Arial" w:cs="Arial" w:eastAsia="Arial" w:hAnsi="Arial"/>
          <w:sz w:val="17"/>
          <w:szCs w:val="17"/>
          <w:color w:val="auto"/>
        </w:rPr>
        <w:t>The Company’s Corporate Governance Guidelines sets forth the Company’s policy requiring the inclusion of candidates with diversity of race, ethnicity, and gender when evaluating new candidates for the Board. Additionally, we have established a goal of 50% diversity among Board members, which we have exceeded since 2020.</w:t>
      </w:r>
    </w:p>
    <w:p>
      <w:pPr>
        <w:spacing w:after="0" w:line="151" w:lineRule="exact"/>
        <w:rPr>
          <w:sz w:val="20"/>
          <w:szCs w:val="20"/>
          <w:color w:val="auto"/>
        </w:rPr>
      </w:pPr>
    </w:p>
    <w:p>
      <w:pPr>
        <w:ind w:left="320" w:right="20"/>
        <w:spacing w:after="0" w:line="243" w:lineRule="auto"/>
        <w:rPr>
          <w:sz w:val="20"/>
          <w:szCs w:val="20"/>
          <w:color w:val="auto"/>
        </w:rPr>
      </w:pPr>
      <w:r>
        <w:rPr>
          <w:rFonts w:ascii="Arial" w:cs="Arial" w:eastAsia="Arial" w:hAnsi="Arial"/>
          <w:sz w:val="17"/>
          <w:szCs w:val="17"/>
          <w:color w:val="auto"/>
        </w:rPr>
        <w:t>The Nominating and Corporate Governance Committee is responsible for conducting the annual Board self-evaluation process. The Board conducts a three-part evaluation process coordinated by the General Counsel. Each Board member participated in an evaluation of the full Board, each of the Committees on which he or she serves, and individual Board member performance. A summary report of the results was prepared by the General Counsel and presented to the full Board and to each Committee. The Board uses the results in preparing action items as necessary.</w:t>
      </w:r>
    </w:p>
    <w:p>
      <w:pPr>
        <w:spacing w:after="0" w:line="28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B3AB9D"/>
        </w:rPr>
        <w:t>KEY RESPONSIBILITIES</w:t>
      </w:r>
    </w:p>
    <w:p>
      <w:pPr>
        <w:spacing w:after="0" w:line="214" w:lineRule="exact"/>
        <w:rPr>
          <w:sz w:val="20"/>
          <w:szCs w:val="20"/>
          <w:color w:val="auto"/>
        </w:rPr>
      </w:pPr>
    </w:p>
    <w:p>
      <w:pPr>
        <w:ind w:left="520" w:right="80" w:hanging="204"/>
        <w:spacing w:after="0" w:line="256"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Identifying, evaluating and recommending qualified director candidates, including candidates recommended by shareholders, directors, or management</w:t>
      </w:r>
    </w:p>
    <w:p>
      <w:pPr>
        <w:spacing w:after="0" w:line="181" w:lineRule="exact"/>
        <w:rPr>
          <w:rFonts w:ascii="Arial" w:cs="Arial" w:eastAsia="Arial" w:hAnsi="Arial"/>
          <w:sz w:val="17"/>
          <w:szCs w:val="17"/>
          <w:color w:val="auto"/>
        </w:rPr>
      </w:pPr>
    </w:p>
    <w:p>
      <w:pPr>
        <w:ind w:left="520" w:hanging="204"/>
        <w:spacing w:after="0" w:line="245"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Assessing the qualifications, attributes, skills, experience, diversity and independence of Board members, taking into account appropriate considerations such as the Company’s current and planned business, current and potential composition considerations, any planned director refreshments, and the qualifications required of directors under the gaming laws of jurisdictions where the Company operates</w:t>
      </w:r>
    </w:p>
    <w:p>
      <w:pPr>
        <w:spacing w:after="0" w:line="390" w:lineRule="exact"/>
        <w:rPr>
          <w:rFonts w:ascii="Arial" w:cs="Arial" w:eastAsia="Arial" w:hAnsi="Arial"/>
          <w:sz w:val="17"/>
          <w:szCs w:val="17"/>
          <w:color w:val="auto"/>
        </w:rPr>
      </w:pPr>
    </w:p>
    <w:p>
      <w:pPr>
        <w:ind w:left="520" w:right="600" w:hanging="204"/>
        <w:spacing w:after="0" w:line="256"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Reviewing the composition of the Board and its committees and recommending, as appropriate, measures to be taken for Board refreshment and Board succession planning</w:t>
      </w:r>
    </w:p>
    <w:p>
      <w:pPr>
        <w:spacing w:after="0" w:line="181" w:lineRule="exact"/>
        <w:rPr>
          <w:rFonts w:ascii="Arial" w:cs="Arial" w:eastAsia="Arial" w:hAnsi="Arial"/>
          <w:sz w:val="17"/>
          <w:szCs w:val="17"/>
          <w:color w:val="auto"/>
        </w:rPr>
      </w:pPr>
    </w:p>
    <w:p>
      <w:pPr>
        <w:ind w:left="520" w:hanging="204"/>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Reviewing and making recommendations regarding the Board’s leadership structure</w:t>
      </w:r>
    </w:p>
    <w:p>
      <w:pPr>
        <w:spacing w:after="0" w:line="207" w:lineRule="exact"/>
        <w:rPr>
          <w:rFonts w:ascii="Arial" w:cs="Arial" w:eastAsia="Arial" w:hAnsi="Arial"/>
          <w:sz w:val="17"/>
          <w:szCs w:val="17"/>
          <w:color w:val="auto"/>
        </w:rPr>
      </w:pPr>
    </w:p>
    <w:p>
      <w:pPr>
        <w:ind w:left="520" w:right="600" w:hanging="204"/>
        <w:spacing w:after="0" w:line="256"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Overseeing corporate governance matters generally, including the corporate governance guidelines, and annually reviewing and recommending any changes to the Board , as appropriate</w:t>
      </w:r>
    </w:p>
    <w:p>
      <w:pPr>
        <w:spacing w:after="0" w:line="181" w:lineRule="exact"/>
        <w:rPr>
          <w:rFonts w:ascii="Arial" w:cs="Arial" w:eastAsia="Arial" w:hAnsi="Arial"/>
          <w:sz w:val="17"/>
          <w:szCs w:val="17"/>
          <w:color w:val="auto"/>
        </w:rPr>
      </w:pPr>
    </w:p>
    <w:p>
      <w:pPr>
        <w:ind w:left="520" w:hanging="204"/>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Overseeing and, as it determines appropriate, designating directors to participate in the Company’s engagement with shareholders</w:t>
      </w:r>
    </w:p>
    <w:p>
      <w:pPr>
        <w:spacing w:after="0" w:line="207" w:lineRule="exact"/>
        <w:rPr>
          <w:rFonts w:ascii="Arial" w:cs="Arial" w:eastAsia="Arial" w:hAnsi="Arial"/>
          <w:sz w:val="17"/>
          <w:szCs w:val="17"/>
          <w:color w:val="auto"/>
        </w:rPr>
      </w:pPr>
    </w:p>
    <w:p>
      <w:pPr>
        <w:ind w:left="520" w:hanging="204"/>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Overseeing the annual evaluation of the Board and its standing committees</w:t>
      </w:r>
    </w:p>
    <w:p>
      <w:pPr>
        <w:spacing w:after="0" w:line="13"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16 //</w:t>
      </w:r>
    </w:p>
    <w:p>
      <w:pPr>
        <w:sectPr>
          <w:pgSz w:w="11900" w:h="16838" w:orient="portrait"/>
          <w:cols w:equalWidth="0" w:num="1">
            <w:col w:w="10940"/>
          </w:cols>
          <w:pgMar w:left="320" w:top="473" w:right="6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B3AB9D"/>
        </w:rPr>
        <w:t>CONSIDERATION OF CANDIDATES RECOMMENDED BY SHAREHOLDERS</w:t>
      </w:r>
    </w:p>
    <w:p>
      <w:pPr>
        <w:spacing w:after="0" w:line="6" w:lineRule="exact"/>
        <w:rPr>
          <w:sz w:val="20"/>
          <w:szCs w:val="20"/>
          <w:color w:val="auto"/>
        </w:rPr>
      </w:pPr>
    </w:p>
    <w:p>
      <w:pPr>
        <w:ind w:left="320"/>
        <w:spacing w:after="0" w:line="242" w:lineRule="auto"/>
        <w:rPr>
          <w:sz w:val="20"/>
          <w:szCs w:val="20"/>
          <w:color w:val="auto"/>
        </w:rPr>
      </w:pPr>
      <w:r>
        <w:rPr>
          <w:rFonts w:ascii="Arial" w:cs="Arial" w:eastAsia="Arial" w:hAnsi="Arial"/>
          <w:sz w:val="17"/>
          <w:szCs w:val="17"/>
          <w:color w:val="auto"/>
        </w:rPr>
        <w:t>Our Nominating and Corporate Governance Committee is pleased to consider director candidates recommended by shareholders. In considering such candidates, the Nominating and Corporate Governance Committee will take into consideration the Board’s current size and composition; the needs of the Board, including the skills and experience of existing directors; and the qualifications of the candidate. To have a candidate considered by the Nominating and Corporate Governance Committee, a shareholder must comply with the provisions of the Company’s Ninth Amended and Restated Bylaws (the “Bylaws”) and be sent to the Company’s Secretary at Wynn Resorts, Limited, c/o Secretary at 3131 Las Vegas Boulevard South, Las Vegas, Nevada 89109.</w:t>
      </w:r>
    </w:p>
    <w:p>
      <w:pPr>
        <w:spacing w:after="0" w:line="170" w:lineRule="exact"/>
        <w:rPr>
          <w:sz w:val="20"/>
          <w:szCs w:val="20"/>
          <w:color w:val="auto"/>
        </w:rPr>
      </w:pPr>
    </w:p>
    <w:p>
      <w:pPr>
        <w:ind w:left="320"/>
        <w:spacing w:after="0" w:line="241" w:lineRule="auto"/>
        <w:rPr>
          <w:sz w:val="20"/>
          <w:szCs w:val="20"/>
          <w:color w:val="auto"/>
        </w:rPr>
      </w:pPr>
      <w:r>
        <w:rPr>
          <w:rFonts w:ascii="Arial" w:cs="Arial" w:eastAsia="Arial" w:hAnsi="Arial"/>
          <w:sz w:val="17"/>
          <w:szCs w:val="17"/>
          <w:color w:val="auto"/>
        </w:rPr>
        <w:t>If the Nominating and Corporate Governance Committee pursues consideration of a person identified as a potential candidate, the Nominating and Corporate Governance Committee may take any or all of the following steps: collect and review publicly available information regarding the candidate, contact and request information from the candidate, verify the candidate’s credentials, conduct one or more interviews with the candidate and contact one or more references provided by the candidate or other persons who may have greater first-hand knowledge of the candidate’s accomplishments. The Nominating and Corporate Governance Committee’s evaluation process takes into account the candidate’s accomplishments and qualifications, including in comparison to any other candidates that the Nominating and Corporate Governance Committee might be considering, and does not vary based on whether a candidate has been recommended by a shareholder.</w:t>
      </w:r>
    </w:p>
    <w:p>
      <w:pPr>
        <w:spacing w:after="0" w:line="200" w:lineRule="exact"/>
        <w:rPr>
          <w:sz w:val="20"/>
          <w:szCs w:val="20"/>
          <w:color w:val="auto"/>
        </w:rPr>
      </w:pPr>
    </w:p>
    <w:p>
      <w:pPr>
        <w:spacing w:after="0" w:line="383"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Board leadership</w:t>
      </w:r>
    </w:p>
    <w:p>
      <w:pPr>
        <w:spacing w:after="0" w:line="33" w:lineRule="exact"/>
        <w:rPr>
          <w:sz w:val="20"/>
          <w:szCs w:val="20"/>
          <w:color w:val="auto"/>
        </w:rPr>
      </w:pPr>
    </w:p>
    <w:p>
      <w:pPr>
        <w:ind w:left="320"/>
        <w:spacing w:after="0" w:line="241" w:lineRule="auto"/>
        <w:rPr>
          <w:sz w:val="20"/>
          <w:szCs w:val="20"/>
          <w:color w:val="auto"/>
        </w:rPr>
      </w:pPr>
      <w:r>
        <w:rPr>
          <w:rFonts w:ascii="Arial" w:cs="Arial" w:eastAsia="Arial" w:hAnsi="Arial"/>
          <w:sz w:val="17"/>
          <w:szCs w:val="17"/>
          <w:color w:val="auto"/>
        </w:rPr>
        <w:t>On at least an annual basis, our Board assesses its leadership structure, including the appointment of the Chair of the Board. The Chair of the Board is annually elected by a majority of the members of the Board. Our Corporate Governance Guidelines requires that our Chair be an independent, non-executive member of the Board. We believe the separation of the Chair and the Chief Executive Officer clarifies the individual roles and responsibilities of the Chief Executive Officer, streamlines decision-making and enhances accountability. Our Chief Executive Officer, Mr. Billings, serves as a member of the Board, and Mr. Satre has served as our non-executive Chair of the Board since 2018. This separation in roles allows Mr. Billings to focus on the management of the Company, day-to-day operations and engagement with external stakeholders. Mr. Satre, as an independent member of the Board, focuses his attention on the broad strategic issues considered by the Board leveraging his strong public company and gaming background to provide strategic guidance and effective oversight of management and engaging with the Chief Executive Officer between Board meetings.</w:t>
      </w:r>
    </w:p>
    <w:p>
      <w:pPr>
        <w:spacing w:after="0" w:line="200" w:lineRule="exact"/>
        <w:rPr>
          <w:sz w:val="20"/>
          <w:szCs w:val="20"/>
          <w:color w:val="auto"/>
        </w:rPr>
      </w:pPr>
    </w:p>
    <w:p>
      <w:pPr>
        <w:spacing w:after="0" w:line="382"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Board role in risk oversight</w:t>
      </w:r>
    </w:p>
    <w:p>
      <w:pPr>
        <w:spacing w:after="0" w:line="33" w:lineRule="exact"/>
        <w:rPr>
          <w:sz w:val="20"/>
          <w:szCs w:val="20"/>
          <w:color w:val="auto"/>
        </w:rPr>
      </w:pPr>
    </w:p>
    <w:p>
      <w:pPr>
        <w:ind w:left="320" w:right="40"/>
        <w:spacing w:after="0" w:line="247" w:lineRule="auto"/>
        <w:rPr>
          <w:sz w:val="20"/>
          <w:szCs w:val="20"/>
          <w:color w:val="auto"/>
        </w:rPr>
      </w:pPr>
      <w:r>
        <w:rPr>
          <w:rFonts w:ascii="Arial" w:cs="Arial" w:eastAsia="Arial" w:hAnsi="Arial"/>
          <w:sz w:val="17"/>
          <w:szCs w:val="17"/>
          <w:color w:val="auto"/>
        </w:rPr>
        <w:t>The Board’s goals are to build value for the Company’s shareholders and to promote the vitality and sustainability of the Company for its customers, employees, communities in which it does business, our planet, and the other individuals and organizations that share interests with us.</w:t>
      </w:r>
    </w:p>
    <w:p>
      <w:pPr>
        <w:spacing w:after="0" w:line="151" w:lineRule="exact"/>
        <w:rPr>
          <w:sz w:val="20"/>
          <w:szCs w:val="20"/>
          <w:color w:val="auto"/>
        </w:rPr>
      </w:pPr>
    </w:p>
    <w:p>
      <w:pPr>
        <w:jc w:val="both"/>
        <w:ind w:left="320" w:right="400"/>
        <w:spacing w:after="0" w:line="247" w:lineRule="auto"/>
        <w:rPr>
          <w:sz w:val="20"/>
          <w:szCs w:val="20"/>
          <w:color w:val="auto"/>
        </w:rPr>
      </w:pPr>
      <w:r>
        <w:rPr>
          <w:rFonts w:ascii="Arial" w:cs="Arial" w:eastAsia="Arial" w:hAnsi="Arial"/>
          <w:sz w:val="17"/>
          <w:szCs w:val="17"/>
          <w:color w:val="auto"/>
        </w:rPr>
        <w:t>To achieve these goals, the Board monitors the performance of the Company (in relation to its goals, strategy, risks and competitors); reviews the Company’s compliance efforts; and, through the Compensation Committee, evaluates and addresses the performance of management, including the Chief Executive Officer.</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Board has an active role in overseeing the Company’s areas of risk.</w:t>
      </w:r>
    </w:p>
    <w:p>
      <w:pPr>
        <w:spacing w:after="0" w:line="208" w:lineRule="exact"/>
        <w:rPr>
          <w:sz w:val="20"/>
          <w:szCs w:val="20"/>
          <w:color w:val="auto"/>
        </w:rPr>
      </w:pPr>
    </w:p>
    <w:p>
      <w:pPr>
        <w:ind w:left="520" w:right="240" w:hanging="204"/>
        <w:spacing w:after="0" w:line="245"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Board and its Committees, in consultation with management and the Company’s independent auditors, regularly review the Company’s risk profile and have identified specific areas of risk including: regulatory compliance; legal and human resource matters; legislative and political conditions; capital availability and liquidity; gaming credit extension and collection; cybersecurity, including protection of customer and employee data; construction; catastrophic events; and succession planning.</w:t>
      </w:r>
    </w:p>
    <w:p>
      <w:pPr>
        <w:spacing w:after="0" w:line="190" w:lineRule="exact"/>
        <w:rPr>
          <w:rFonts w:ascii="Arial" w:cs="Arial" w:eastAsia="Arial" w:hAnsi="Arial"/>
          <w:sz w:val="17"/>
          <w:szCs w:val="17"/>
          <w:color w:val="auto"/>
        </w:rPr>
      </w:pPr>
    </w:p>
    <w:p>
      <w:pPr>
        <w:ind w:left="520" w:right="160" w:hanging="204"/>
        <w:spacing w:after="0" w:line="247"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part of its program of regular oversight, the Board is responsible for overseeing cybersecurity risk and information security. The Board receives regular reports from the Company’s Chief Information Security Officer on the Company’s cybersecurity risk profile and enterprise cybersecurity programs and from the Chief Data Privacy Officer on data privacy programs.</w:t>
      </w:r>
    </w:p>
    <w:p>
      <w:pPr>
        <w:spacing w:after="0" w:line="130" w:lineRule="exact"/>
        <w:rPr>
          <w:rFonts w:ascii="Arial" w:cs="Arial" w:eastAsia="Arial" w:hAnsi="Arial"/>
          <w:sz w:val="17"/>
          <w:szCs w:val="17"/>
          <w:color w:val="auto"/>
        </w:rPr>
      </w:pPr>
    </w:p>
    <w:p>
      <w:pPr>
        <w:ind w:left="5680" w:hanging="164"/>
        <w:spacing w:after="0"/>
        <w:tabs>
          <w:tab w:leader="none" w:pos="56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17 //</w:t>
      </w:r>
    </w:p>
    <w:p>
      <w:pPr>
        <w:sectPr>
          <w:pgSz w:w="11900" w:h="16838" w:orient="portrait"/>
          <w:cols w:equalWidth="0" w:num="1">
            <w:col w:w="10900"/>
          </w:cols>
          <w:pgMar w:left="320" w:top="473" w:right="67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204"/>
        <w:spacing w:after="0" w:line="247"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Board assesses risks to the Company’s long-term strategic objectives, including threats related to our people, our communities and our planet (including climate change). The Company addresses these risks through our environmental, social and governance (ESG) initiatives.</w:t>
      </w:r>
    </w:p>
    <w:p>
      <w:pPr>
        <w:spacing w:after="0" w:line="190" w:lineRule="exact"/>
        <w:rPr>
          <w:rFonts w:ascii="Arial" w:cs="Arial" w:eastAsia="Arial" w:hAnsi="Arial"/>
          <w:sz w:val="17"/>
          <w:szCs w:val="17"/>
          <w:color w:val="auto"/>
        </w:rPr>
      </w:pPr>
    </w:p>
    <w:p>
      <w:pPr>
        <w:ind w:left="520" w:right="140" w:hanging="204"/>
        <w:spacing w:after="0" w:line="247"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Board (as a whole and through its Committees) has reviewed and approved management’s process for identifying, managing and mitigating these risks. While the full Board has overall responsibility for risk oversight, the Board has assigned certain areas of risk oversight to its Committees as well as to the Company’s Compliance Committee.</w:t>
      </w:r>
    </w:p>
    <w:p>
      <w:pPr>
        <w:spacing w:after="0" w:line="190" w:lineRule="exact"/>
        <w:rPr>
          <w:rFonts w:ascii="Arial" w:cs="Arial" w:eastAsia="Arial" w:hAnsi="Arial"/>
          <w:sz w:val="17"/>
          <w:szCs w:val="17"/>
          <w:color w:val="auto"/>
        </w:rPr>
      </w:pPr>
    </w:p>
    <w:p>
      <w:pPr>
        <w:ind w:left="520" w:right="40" w:hanging="204"/>
        <w:spacing w:after="0" w:line="245"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Throughout the year, the Board, its Committees and the Company’s Compliance Committee receive reports from management that include information regarding major risks and exposures facing the Company and the steps management has taken to monitor and control such risks and exposures. The Board maintains a process to allow for direct communication of risks and issues from employees to the Board of Directors.</w:t>
      </w:r>
    </w:p>
    <w:p>
      <w:pPr>
        <w:spacing w:after="0" w:line="190" w:lineRule="exact"/>
        <w:rPr>
          <w:rFonts w:ascii="Arial" w:cs="Arial" w:eastAsia="Arial" w:hAnsi="Arial"/>
          <w:sz w:val="17"/>
          <w:szCs w:val="17"/>
          <w:color w:val="auto"/>
        </w:rPr>
      </w:pPr>
    </w:p>
    <w:p>
      <w:pPr>
        <w:ind w:left="520" w:right="520" w:hanging="204"/>
        <w:spacing w:after="0" w:line="256"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addition, throughout the year, the Board, its Committees and the Company’s Compliance Committee dedicate a portion of their meetings to review and discuss specific risk topics in greater detail.</w:t>
      </w:r>
    </w:p>
    <w:p>
      <w:pPr>
        <w:spacing w:after="0" w:line="181" w:lineRule="exact"/>
        <w:rPr>
          <w:rFonts w:ascii="Arial" w:cs="Arial" w:eastAsia="Arial" w:hAnsi="Arial"/>
          <w:sz w:val="17"/>
          <w:szCs w:val="17"/>
          <w:color w:val="auto"/>
        </w:rPr>
      </w:pPr>
    </w:p>
    <w:p>
      <w:pPr>
        <w:ind w:left="520" w:right="160" w:hanging="204"/>
        <w:spacing w:after="0" w:line="245"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Audit Committee is primarily responsible for the oversight of credit, related party, information security, construction and general financial risks, as well as monitoring the independence of our independent registered public accounting firm, the adequacy of our risk-related internal controls including our internal controls over financial reporting, and legal and compliance matters that may have a material impact on the Company’s financial statements.</w:t>
      </w:r>
    </w:p>
    <w:p>
      <w:pPr>
        <w:spacing w:after="0" w:line="190" w:lineRule="exact"/>
        <w:rPr>
          <w:rFonts w:ascii="Arial" w:cs="Arial" w:eastAsia="Arial" w:hAnsi="Arial"/>
          <w:sz w:val="17"/>
          <w:szCs w:val="17"/>
          <w:color w:val="auto"/>
        </w:rPr>
      </w:pPr>
    </w:p>
    <w:p>
      <w:pPr>
        <w:ind w:left="520" w:right="340" w:hanging="204"/>
        <w:spacing w:after="0" w:line="256"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Company’s Compliance Committee primarily oversees risks relating to regulatory, workplace conduct and security, and political compliance.</w:t>
      </w:r>
    </w:p>
    <w:p>
      <w:pPr>
        <w:spacing w:after="0" w:line="181" w:lineRule="exact"/>
        <w:rPr>
          <w:rFonts w:ascii="Arial" w:cs="Arial" w:eastAsia="Arial" w:hAnsi="Arial"/>
          <w:sz w:val="17"/>
          <w:szCs w:val="17"/>
          <w:color w:val="auto"/>
        </w:rPr>
      </w:pPr>
    </w:p>
    <w:p>
      <w:pPr>
        <w:ind w:left="520" w:right="180" w:hanging="204"/>
        <w:spacing w:after="0" w:line="247"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 the 2022 fiscal year, management completed a review of the Company’s compensation policies and practices and presented its analysis to the Compensation Committee. The Compensation Committee concurred with management’s conclusion that such policies and practices do not present risks that are reasonably likely to have a material adverse effect on the Company.</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B3AB9D"/>
        </w:rPr>
        <w:t>COMPLIANCE COMMITTEE</w:t>
      </w:r>
    </w:p>
    <w:p>
      <w:pPr>
        <w:spacing w:after="0" w:line="6" w:lineRule="exact"/>
        <w:rPr>
          <w:sz w:val="20"/>
          <w:szCs w:val="20"/>
          <w:color w:val="auto"/>
        </w:rPr>
      </w:pPr>
    </w:p>
    <w:p>
      <w:pPr>
        <w:ind w:left="320" w:right="20"/>
        <w:spacing w:after="0" w:line="241" w:lineRule="auto"/>
        <w:rPr>
          <w:sz w:val="20"/>
          <w:szCs w:val="20"/>
          <w:color w:val="auto"/>
        </w:rPr>
      </w:pPr>
      <w:r>
        <w:rPr>
          <w:rFonts w:ascii="Arial" w:cs="Arial" w:eastAsia="Arial" w:hAnsi="Arial"/>
          <w:sz w:val="17"/>
          <w:szCs w:val="17"/>
          <w:color w:val="auto"/>
        </w:rPr>
        <w:t xml:space="preserve">The Company maintains a Compliance Program that features a completely independent Compliance Committee comprised of individuals with extensive familiarity with law enforcement, regulated businesses, ethics, and/or gaming compliance who are not otherwise affiliated with the Company, to oversee and promote the Company’s compliance and to ensure that the Company meets the Company’s strict policy to conduct business at the highest levels of honesty and integrity: Thomas Peterman, former Senior Vice President and Chief Compliance Officer for MGM Resorts International (Chair); Michelle Chatigny, former Vice President, Global Regulatory and Product Compliance for International Game Technology; Edward Davis, former Commissioner of the Boston Police Department; and Alison A. Quirk, former Executive Vice President and Chief Human Resources and Citizenship Officer at State Street Corporation. Chair Satre and Ms. Mulroy serve as </w:t>
      </w:r>
      <w:r>
        <w:rPr>
          <w:rFonts w:ascii="Arial" w:cs="Arial" w:eastAsia="Arial" w:hAnsi="Arial"/>
          <w:sz w:val="17"/>
          <w:szCs w:val="17"/>
          <w:i w:val="1"/>
          <w:iCs w:val="1"/>
          <w:color w:val="auto"/>
        </w:rPr>
        <w:t>ex officio</w:t>
      </w:r>
      <w:r>
        <w:rPr>
          <w:rFonts w:ascii="Arial" w:cs="Arial" w:eastAsia="Arial" w:hAnsi="Arial"/>
          <w:sz w:val="17"/>
          <w:szCs w:val="17"/>
          <w:color w:val="auto"/>
        </w:rPr>
        <w:t xml:space="preserve"> members of the Committee and representatives of the Board. Ms. Webb also attends the meetings of the Compliance Committee. The Compliance Program is subject to review and approval of the Nevada Gaming Control Board and the Massachusetts Gaming Commission.</w:t>
      </w:r>
    </w:p>
    <w:p>
      <w:pPr>
        <w:spacing w:after="0" w:line="200" w:lineRule="exact"/>
        <w:rPr>
          <w:sz w:val="20"/>
          <w:szCs w:val="20"/>
          <w:color w:val="auto"/>
        </w:rPr>
      </w:pPr>
    </w:p>
    <w:p>
      <w:pPr>
        <w:spacing w:after="0" w:line="380"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Prohibition on hedging and pledging transactions</w:t>
      </w:r>
    </w:p>
    <w:p>
      <w:pPr>
        <w:spacing w:after="0" w:line="33" w:lineRule="exact"/>
        <w:rPr>
          <w:sz w:val="20"/>
          <w:szCs w:val="20"/>
          <w:color w:val="auto"/>
        </w:rPr>
      </w:pPr>
    </w:p>
    <w:p>
      <w:pPr>
        <w:ind w:left="320" w:right="80"/>
        <w:spacing w:after="0" w:line="243" w:lineRule="auto"/>
        <w:rPr>
          <w:sz w:val="20"/>
          <w:szCs w:val="20"/>
          <w:color w:val="auto"/>
        </w:rPr>
      </w:pPr>
      <w:r>
        <w:rPr>
          <w:rFonts w:ascii="Arial" w:cs="Arial" w:eastAsia="Arial" w:hAnsi="Arial"/>
          <w:sz w:val="17"/>
          <w:szCs w:val="17"/>
          <w:color w:val="auto"/>
        </w:rPr>
        <w:t>Pursuant to the Company’s Trading Policy, our directors and executive officers are prohibited from engaging in speculative transactions in the Company’s securities, such as trading in puts and calls, or selling securities short, and from all hedging and prospective pledging of Company securities as collateral for any loan, including holding securities in a margin account and obtaining a loan or other margin credit under such account, unless approved in advance by the Board.</w:t>
      </w:r>
    </w:p>
    <w:p>
      <w:pPr>
        <w:spacing w:after="0" w:line="3"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18 //</w:t>
      </w:r>
    </w:p>
    <w:p>
      <w:pPr>
        <w:sectPr>
          <w:pgSz w:w="11900" w:h="16838" w:orient="portrait"/>
          <w:cols w:equalWidth="0" w:num="1">
            <w:col w:w="10920"/>
          </w:cols>
          <w:pgMar w:left="320" w:top="473" w:right="65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B3AB9D"/>
        </w:rPr>
        <w:t>HOW YOU CAN COMMUNICATE WITH US AND HOW WE COMMUNICATE WITH YOU</w:t>
      </w:r>
    </w:p>
    <w:p>
      <w:pPr>
        <w:spacing w:after="0" w:line="6" w:lineRule="exact"/>
        <w:rPr>
          <w:sz w:val="20"/>
          <w:szCs w:val="20"/>
          <w:color w:val="auto"/>
        </w:rPr>
      </w:pPr>
    </w:p>
    <w:p>
      <w:pPr>
        <w:ind w:left="320"/>
        <w:spacing w:after="0" w:line="245" w:lineRule="auto"/>
        <w:rPr>
          <w:sz w:val="20"/>
          <w:szCs w:val="20"/>
          <w:color w:val="auto"/>
        </w:rPr>
      </w:pPr>
      <w:r>
        <w:rPr>
          <w:rFonts w:ascii="Arial" w:cs="Arial" w:eastAsia="Arial" w:hAnsi="Arial"/>
          <w:sz w:val="17"/>
          <w:szCs w:val="17"/>
          <w:color w:val="auto"/>
        </w:rPr>
        <w:t>We know that the caliber of our decision making as a Board is highly influenced by the sources, caliber and timeliness of the information we seek and receive to inform our deliberations. We therefore cast a wide net for input from management, employees, customers, thought leaders, competitors and potential disrupters, thought leaders, regulators, lenders and insurers and, perhaps most critically, from investors: those of you who have a financial stake in us have every reason to collect and share insights essential to our operations and resilience.</w:t>
      </w:r>
    </w:p>
    <w:p>
      <w:pPr>
        <w:spacing w:after="0" w:line="164" w:lineRule="exact"/>
        <w:rPr>
          <w:sz w:val="20"/>
          <w:szCs w:val="20"/>
          <w:color w:val="auto"/>
        </w:rPr>
      </w:pPr>
    </w:p>
    <w:p>
      <w:pPr>
        <w:ind w:left="320" w:right="520"/>
        <w:spacing w:after="0" w:line="256" w:lineRule="auto"/>
        <w:rPr>
          <w:sz w:val="20"/>
          <w:szCs w:val="20"/>
          <w:color w:val="auto"/>
        </w:rPr>
      </w:pPr>
      <w:r>
        <w:rPr>
          <w:rFonts w:ascii="Arial" w:cs="Arial" w:eastAsia="Arial" w:hAnsi="Arial"/>
          <w:sz w:val="17"/>
          <w:szCs w:val="17"/>
          <w:color w:val="auto"/>
        </w:rPr>
        <w:t>Because investor input is so critical to our functioning and accountability, we maintain a number of ways for you, as shareholders, to provide it to us as a Board, to individual directors or to management:</w:t>
      </w:r>
    </w:p>
    <w:p>
      <w:pPr>
        <w:spacing w:after="0" w:line="181" w:lineRule="exact"/>
        <w:rPr>
          <w:sz w:val="20"/>
          <w:szCs w:val="20"/>
          <w:color w:val="auto"/>
        </w:rPr>
      </w:pPr>
    </w:p>
    <w:p>
      <w:pPr>
        <w:ind w:left="520" w:hanging="204"/>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You can attend our annual meeting: this event is your day and we encourage you to join us, and</w:t>
      </w:r>
    </w:p>
    <w:p>
      <w:pPr>
        <w:spacing w:after="0" w:line="207" w:lineRule="exact"/>
        <w:rPr>
          <w:rFonts w:ascii="Arial" w:cs="Arial" w:eastAsia="Arial" w:hAnsi="Arial"/>
          <w:sz w:val="17"/>
          <w:szCs w:val="17"/>
          <w:color w:val="auto"/>
        </w:rPr>
      </w:pPr>
    </w:p>
    <w:p>
      <w:pPr>
        <w:ind w:left="520" w:right="60" w:hanging="204"/>
        <w:spacing w:after="0" w:line="242"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You can write to us, as a Board, a board committee or an individual director by sending a letter to: Wynn Resorts, Limited, c/o Secretary, 3131 Las Vegas Boulevard South, Las Vegas, Nevada 89109. All communications received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sure each addressee receives the communication, which may be done by e-mail.</w:t>
      </w:r>
    </w:p>
    <w:p>
      <w:pPr>
        <w:spacing w:after="0" w:line="290"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B3AB9D"/>
        </w:rPr>
        <w:t>HOW WE ARE PAID</w:t>
      </w:r>
    </w:p>
    <w:p>
      <w:pPr>
        <w:spacing w:after="0" w:line="6" w:lineRule="exact"/>
        <w:rPr>
          <w:sz w:val="20"/>
          <w:szCs w:val="20"/>
          <w:color w:val="auto"/>
        </w:rPr>
      </w:pPr>
    </w:p>
    <w:p>
      <w:pPr>
        <w:ind w:left="320" w:right="100"/>
        <w:spacing w:after="0" w:line="256" w:lineRule="auto"/>
        <w:rPr>
          <w:sz w:val="20"/>
          <w:szCs w:val="20"/>
          <w:color w:val="auto"/>
        </w:rPr>
      </w:pPr>
      <w:r>
        <w:rPr>
          <w:rFonts w:ascii="Arial" w:cs="Arial" w:eastAsia="Arial" w:hAnsi="Arial"/>
          <w:sz w:val="17"/>
          <w:szCs w:val="17"/>
          <w:color w:val="auto"/>
        </w:rPr>
        <w:t>For the 2022 Board service year that began with the Annual Meeting in May 2022, non-employee directors of the Company received fees for service on the Board and Committees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132080</wp:posOffset>
            </wp:positionV>
            <wp:extent cx="6740525" cy="4629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40525" cy="462915"/>
                    </a:xfrm>
                    <a:prstGeom prst="rect">
                      <a:avLst/>
                    </a:prstGeom>
                    <a:noFill/>
                  </pic:spPr>
                </pic:pic>
              </a:graphicData>
            </a:graphic>
          </wp:anchor>
        </w:drawing>
      </w:r>
    </w:p>
    <w:p>
      <w:pPr>
        <w:sectPr>
          <w:pgSz w:w="11900" w:h="16838" w:orient="portrait"/>
          <w:cols w:equalWidth="0" w:num="1">
            <w:col w:w="10920"/>
          </w:cols>
          <w:pgMar w:left="320" w:top="473" w:right="659" w:bottom="1440" w:gutter="0" w:footer="0" w:header="0"/>
        </w:sectPr>
      </w:pPr>
    </w:p>
    <w:p>
      <w:pPr>
        <w:spacing w:after="0" w:line="31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Board Service</w:t>
      </w: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Audit Committee Service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Compensation Committee Service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Nominating and Corporate Governance Committee Service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(1) Amount and vesting period determined annually at a meeting of the Board.</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   Member annual fee of $100,000</w:t>
      </w:r>
    </w:p>
    <w:p>
      <w:pPr>
        <w:spacing w:after="0" w:line="232" w:lineRule="auto"/>
        <w:rPr>
          <w:sz w:val="20"/>
          <w:szCs w:val="20"/>
          <w:color w:val="auto"/>
        </w:rPr>
      </w:pPr>
      <w:r>
        <w:rPr>
          <w:rFonts w:ascii="Arial" w:cs="Arial" w:eastAsia="Arial" w:hAnsi="Arial"/>
          <w:sz w:val="14"/>
          <w:szCs w:val="14"/>
          <w:color w:val="auto"/>
        </w:rPr>
        <w:t>-   Chair annual fee of $200,000</w:t>
      </w:r>
    </w:p>
    <w:p>
      <w:pPr>
        <w:ind w:left="140" w:right="140" w:hanging="138"/>
        <w:spacing w:after="0" w:line="239" w:lineRule="auto"/>
        <w:rPr>
          <w:sz w:val="20"/>
          <w:szCs w:val="20"/>
          <w:color w:val="auto"/>
        </w:rPr>
      </w:pPr>
      <w:r>
        <w:rPr>
          <w:rFonts w:ascii="Arial" w:cs="Arial" w:eastAsia="Arial" w:hAnsi="Arial"/>
          <w:sz w:val="14"/>
          <w:szCs w:val="14"/>
          <w:color w:val="auto"/>
        </w:rPr>
        <w:t>-   Grant of restricted stock equal in value to $250,000 that vests 100% on the first anniversary of the grant date (1)</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   Member monthly fee of $1,250</w:t>
      </w:r>
    </w:p>
    <w:p>
      <w:pPr>
        <w:spacing w:after="0"/>
        <w:rPr>
          <w:sz w:val="20"/>
          <w:szCs w:val="20"/>
          <w:color w:val="auto"/>
        </w:rPr>
      </w:pPr>
      <w:r>
        <w:rPr>
          <w:rFonts w:ascii="Arial" w:cs="Arial" w:eastAsia="Arial" w:hAnsi="Arial"/>
          <w:sz w:val="14"/>
          <w:szCs w:val="14"/>
          <w:color w:val="auto"/>
        </w:rPr>
        <w:t>-   Chair monthly fee of $3,000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-3659505</wp:posOffset>
            </wp:positionH>
            <wp:positionV relativeFrom="paragraph">
              <wp:posOffset>19050</wp:posOffset>
            </wp:positionV>
            <wp:extent cx="6740525" cy="2476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40525" cy="247650"/>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   Member monthly fee of $1,000</w:t>
      </w:r>
    </w:p>
    <w:p>
      <w:pPr>
        <w:spacing w:after="0"/>
        <w:rPr>
          <w:sz w:val="20"/>
          <w:szCs w:val="20"/>
          <w:color w:val="auto"/>
        </w:rPr>
      </w:pPr>
      <w:r>
        <w:rPr>
          <w:rFonts w:ascii="Arial" w:cs="Arial" w:eastAsia="Arial" w:hAnsi="Arial"/>
          <w:sz w:val="14"/>
          <w:szCs w:val="14"/>
          <w:color w:val="auto"/>
        </w:rPr>
        <w:t>-   Chair monthly fee of $2,000</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   Member monthly fee of $1,000</w:t>
      </w:r>
    </w:p>
    <w:p>
      <w:pPr>
        <w:spacing w:after="0"/>
        <w:rPr>
          <w:sz w:val="20"/>
          <w:szCs w:val="20"/>
          <w:color w:val="auto"/>
        </w:rPr>
      </w:pPr>
      <w:r>
        <w:rPr>
          <w:rFonts w:ascii="Arial" w:cs="Arial" w:eastAsia="Arial" w:hAnsi="Arial"/>
          <w:sz w:val="14"/>
          <w:szCs w:val="14"/>
          <w:color w:val="auto"/>
        </w:rPr>
        <w:t>-   Chair monthly fee of $2,000</w:t>
      </w:r>
    </w:p>
    <w:p>
      <w:pPr>
        <w:spacing w:after="0" w:line="431" w:lineRule="exact"/>
        <w:rPr>
          <w:sz w:val="20"/>
          <w:szCs w:val="20"/>
          <w:color w:val="auto"/>
        </w:rPr>
      </w:pPr>
    </w:p>
    <w:p>
      <w:pPr>
        <w:sectPr>
          <w:pgSz w:w="11900" w:h="16838" w:orient="portrait"/>
          <w:cols w:equalWidth="0" w:num="2">
            <w:col w:w="5360" w:space="720"/>
            <w:col w:w="4840"/>
          </w:cols>
          <w:pgMar w:left="320" w:top="473" w:right="659" w:bottom="1440" w:gutter="0" w:footer="0" w:header="0"/>
          <w:type w:val="continuous"/>
        </w:sectPr>
      </w:pPr>
    </w:p>
    <w:p>
      <w:pPr>
        <w:ind w:left="320" w:right="40"/>
        <w:spacing w:after="0" w:line="247" w:lineRule="auto"/>
        <w:rPr>
          <w:sz w:val="20"/>
          <w:szCs w:val="20"/>
          <w:color w:val="auto"/>
        </w:rPr>
      </w:pPr>
      <w:r>
        <w:rPr>
          <w:rFonts w:ascii="Arial" w:cs="Arial" w:eastAsia="Arial" w:hAnsi="Arial"/>
          <w:sz w:val="17"/>
          <w:szCs w:val="17"/>
          <w:color w:val="auto"/>
        </w:rPr>
        <w:t>In response to continued restrictions on travelling to Macau resulting from the COVID-19 pandemic and the financial impact on the Company, certain non-employee directors elected to receive stock in lieu of all or a portion of the annual fee for their Board service. These amounts are annotated in the table below.</w:t>
      </w:r>
    </w:p>
    <w:p>
      <w:pPr>
        <w:spacing w:after="0" w:line="133" w:lineRule="exact"/>
        <w:rPr>
          <w:sz w:val="20"/>
          <w:szCs w:val="20"/>
          <w:color w:val="auto"/>
        </w:rPr>
      </w:pPr>
    </w:p>
    <w:p>
      <w:pPr>
        <w:ind w:left="320"/>
        <w:spacing w:after="0" w:line="246" w:lineRule="auto"/>
        <w:rPr>
          <w:sz w:val="20"/>
          <w:szCs w:val="20"/>
          <w:color w:val="auto"/>
        </w:rPr>
      </w:pPr>
      <w:r>
        <w:rPr>
          <w:rFonts w:ascii="Arial" w:cs="Arial" w:eastAsia="Arial" w:hAnsi="Arial"/>
          <w:sz w:val="17"/>
          <w:szCs w:val="17"/>
          <w:color w:val="auto"/>
        </w:rPr>
        <w:t xml:space="preserve">In addition to the fees set forth in the table above, </w:t>
      </w:r>
      <w:r>
        <w:rPr>
          <w:rFonts w:ascii="Arial" w:cs="Arial" w:eastAsia="Arial" w:hAnsi="Arial"/>
          <w:sz w:val="17"/>
          <w:szCs w:val="17"/>
          <w:i w:val="1"/>
          <w:iCs w:val="1"/>
          <w:color w:val="auto"/>
        </w:rPr>
        <w:t>ex officio</w:t>
      </w:r>
      <w:r>
        <w:rPr>
          <w:rFonts w:ascii="Arial" w:cs="Arial" w:eastAsia="Arial" w:hAnsi="Arial"/>
          <w:sz w:val="17"/>
          <w:szCs w:val="17"/>
          <w:color w:val="auto"/>
        </w:rPr>
        <w:t xml:space="preserve"> members of the Compliance Committee receive an annual retainer of $75,000, and the Chair of the Audit Committee receives an attendance fee of $1,500 or $2,500 for telephonic and in-person meetings of the Compliance Committee, respectively. All non-employee directors are provided complimentary room, food and beverage privileges at our properties and are reimbursed for any other out-of-pocket expenses related to their attendance at Board or Committee meetings or other corporate events. Non-employee directors from time to time may receive other benefits and as is discussed in the table below under “All Other Compensation,” if applicable. The Company does not provide non-equity incentive plan awards or deferred compensation or retirement plans for non-employee directors.</w:t>
      </w:r>
    </w:p>
    <w:p>
      <w:pPr>
        <w:spacing w:after="0" w:line="164" w:lineRule="exact"/>
        <w:rPr>
          <w:sz w:val="20"/>
          <w:szCs w:val="20"/>
          <w:color w:val="auto"/>
        </w:rPr>
      </w:pPr>
    </w:p>
    <w:p>
      <w:pPr>
        <w:ind w:left="320" w:right="280"/>
        <w:spacing w:after="0" w:line="245" w:lineRule="auto"/>
        <w:rPr>
          <w:sz w:val="20"/>
          <w:szCs w:val="20"/>
          <w:color w:val="auto"/>
        </w:rPr>
      </w:pPr>
      <w:r>
        <w:rPr>
          <w:rFonts w:ascii="Arial" w:cs="Arial" w:eastAsia="Arial" w:hAnsi="Arial"/>
          <w:sz w:val="17"/>
          <w:szCs w:val="17"/>
          <w:color w:val="auto"/>
        </w:rPr>
        <w:t>For the 2022 period prior to the Annual Meeting in May 2022, Board compensation consisted of a monthly member fee of $5,000 and a $1,500 meeting fee for each Board or Committee meeting he or she attended instead of the $100,000 annual fee. Monthly Committee service fees were consistent between the period prior to and post the 2022 Annual Meeting, except for the Audit Committee chair role, which increased to $3,000 per month from $2,500 per month.</w:t>
      </w:r>
    </w:p>
    <w:p>
      <w:pPr>
        <w:spacing w:after="0" w:line="131"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 19 //</w:t>
      </w:r>
    </w:p>
    <w:p>
      <w:pPr>
        <w:sectPr>
          <w:pgSz w:w="11900" w:h="16838" w:orient="portrait"/>
          <w:cols w:equalWidth="0" w:num="1">
            <w:col w:w="10920"/>
          </w:cols>
          <w:pgMar w:left="320" w:top="473" w:right="6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B3AB9D"/>
        </w:rPr>
        <w:t>NON-EMPLOYEE DIRECTOR COMPENSATION TABLE</w:t>
      </w:r>
    </w:p>
    <w:p>
      <w:pPr>
        <w:spacing w:after="0" w:line="6" w:lineRule="exact"/>
        <w:rPr>
          <w:sz w:val="20"/>
          <w:szCs w:val="20"/>
          <w:color w:val="auto"/>
        </w:rPr>
      </w:pPr>
    </w:p>
    <w:p>
      <w:pPr>
        <w:ind w:left="320" w:right="100"/>
        <w:spacing w:after="0" w:line="247" w:lineRule="auto"/>
        <w:rPr>
          <w:sz w:val="20"/>
          <w:szCs w:val="20"/>
          <w:color w:val="auto"/>
        </w:rPr>
      </w:pPr>
      <w:r>
        <w:rPr>
          <w:rFonts w:ascii="Arial" w:cs="Arial" w:eastAsia="Arial" w:hAnsi="Arial"/>
          <w:sz w:val="17"/>
          <w:szCs w:val="17"/>
          <w:color w:val="auto"/>
        </w:rPr>
        <w:t>The table below summarizes the total compensation awarded to, earned by or paid to each of the non-employee directors for the fiscal year ended December 31, 2022. Messrs. Billings and Maddox received no compensation for their service as a director and, therefore, are not included in this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137795</wp:posOffset>
            </wp:positionV>
            <wp:extent cx="6740525" cy="1949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40525" cy="1949450"/>
                    </a:xfrm>
                    <a:prstGeom prst="rect">
                      <a:avLst/>
                    </a:prstGeom>
                    <a:noFill/>
                  </pic:spPr>
                </pic:pic>
              </a:graphicData>
            </a:graphic>
          </wp:anchor>
        </w:drawing>
      </w:r>
    </w:p>
    <w:p>
      <w:pPr>
        <w:spacing w:after="0" w:line="197" w:lineRule="exact"/>
        <w:rPr>
          <w:sz w:val="20"/>
          <w:szCs w:val="20"/>
          <w:color w:val="auto"/>
        </w:rPr>
      </w:pPr>
    </w:p>
    <w:tbl>
      <w:tblPr>
        <w:tblLayout w:type="fixed"/>
        <w:tblInd w:w="320" w:type="dxa"/>
        <w:tblCellMar>
          <w:top w:w="0" w:type="dxa"/>
          <w:left w:w="0" w:type="dxa"/>
          <w:bottom w:w="0" w:type="dxa"/>
          <w:right w:w="0" w:type="dxa"/>
        </w:tblCellMar>
      </w:tblPr>
      <w:tr>
        <w:trPr>
          <w:trHeight w:val="175"/>
        </w:trPr>
        <w:tc>
          <w:tcPr>
            <w:tcW w:w="4740" w:type="dxa"/>
            <w:vAlign w:val="bottom"/>
            <w:shd w:val="clear" w:color="auto" w:fill="71655E"/>
          </w:tcPr>
          <w:p>
            <w:pPr>
              <w:spacing w:after="0"/>
              <w:rPr>
                <w:sz w:val="15"/>
                <w:szCs w:val="15"/>
                <w:color w:val="auto"/>
              </w:rPr>
            </w:pPr>
          </w:p>
        </w:tc>
        <w:tc>
          <w:tcPr>
            <w:tcW w:w="1500" w:type="dxa"/>
            <w:vAlign w:val="bottom"/>
            <w:gridSpan w:val="2"/>
            <w:vMerge w:val="restart"/>
            <w:shd w:val="clear" w:color="auto" w:fill="71655E"/>
          </w:tcPr>
          <w:p>
            <w:pPr>
              <w:ind w:left="220"/>
              <w:spacing w:after="0"/>
              <w:rPr>
                <w:sz w:val="20"/>
                <w:szCs w:val="20"/>
                <w:color w:val="auto"/>
              </w:rPr>
            </w:pPr>
            <w:r>
              <w:rPr>
                <w:rFonts w:ascii="Arial" w:cs="Arial" w:eastAsia="Arial" w:hAnsi="Arial"/>
                <w:sz w:val="12"/>
                <w:szCs w:val="12"/>
                <w:b w:val="1"/>
                <w:bCs w:val="1"/>
                <w:color w:val="FFFFFF"/>
              </w:rPr>
              <w:t>FEES EARNED OR</w:t>
            </w:r>
          </w:p>
        </w:tc>
        <w:tc>
          <w:tcPr>
            <w:tcW w:w="340" w:type="dxa"/>
            <w:vAlign w:val="bottom"/>
            <w:shd w:val="clear" w:color="auto" w:fill="71655E"/>
          </w:tcPr>
          <w:p>
            <w:pPr>
              <w:spacing w:after="0"/>
              <w:rPr>
                <w:sz w:val="15"/>
                <w:szCs w:val="15"/>
                <w:color w:val="auto"/>
              </w:rPr>
            </w:pPr>
          </w:p>
        </w:tc>
        <w:tc>
          <w:tcPr>
            <w:tcW w:w="900" w:type="dxa"/>
            <w:vAlign w:val="bottom"/>
            <w:vMerge w:val="restart"/>
            <w:shd w:val="clear" w:color="auto" w:fill="71655E"/>
          </w:tcPr>
          <w:p>
            <w:pPr>
              <w:jc w:val="right"/>
              <w:ind w:right="352"/>
              <w:spacing w:after="0"/>
              <w:rPr>
                <w:sz w:val="20"/>
                <w:szCs w:val="20"/>
                <w:color w:val="auto"/>
              </w:rPr>
            </w:pPr>
            <w:r>
              <w:rPr>
                <w:rFonts w:ascii="Arial" w:cs="Arial" w:eastAsia="Arial" w:hAnsi="Arial"/>
                <w:sz w:val="12"/>
                <w:szCs w:val="12"/>
                <w:b w:val="1"/>
                <w:bCs w:val="1"/>
                <w:color w:val="FFFFFF"/>
              </w:rPr>
              <w:t>STOCK</w:t>
            </w:r>
          </w:p>
        </w:tc>
        <w:tc>
          <w:tcPr>
            <w:tcW w:w="860" w:type="dxa"/>
            <w:vAlign w:val="bottom"/>
            <w:gridSpan w:val="2"/>
            <w:shd w:val="clear" w:color="auto" w:fill="71655E"/>
          </w:tcPr>
          <w:p>
            <w:pPr>
              <w:ind w:left="180"/>
              <w:spacing w:after="0"/>
              <w:rPr>
                <w:sz w:val="20"/>
                <w:szCs w:val="20"/>
                <w:color w:val="auto"/>
              </w:rPr>
            </w:pPr>
            <w:r>
              <w:rPr>
                <w:rFonts w:ascii="Arial" w:cs="Arial" w:eastAsia="Arial" w:hAnsi="Arial"/>
                <w:sz w:val="12"/>
                <w:szCs w:val="12"/>
                <w:b w:val="1"/>
                <w:bCs w:val="1"/>
                <w:color w:val="FFFFFF"/>
              </w:rPr>
              <w:t>OPTION</w:t>
            </w:r>
          </w:p>
        </w:tc>
        <w:tc>
          <w:tcPr>
            <w:tcW w:w="1340" w:type="dxa"/>
            <w:vAlign w:val="bottom"/>
            <w:gridSpan w:val="2"/>
            <w:shd w:val="clear" w:color="auto" w:fill="71655E"/>
          </w:tcPr>
          <w:p>
            <w:pPr>
              <w:ind w:left="320"/>
              <w:spacing w:after="0"/>
              <w:rPr>
                <w:sz w:val="20"/>
                <w:szCs w:val="20"/>
                <w:color w:val="auto"/>
              </w:rPr>
            </w:pPr>
            <w:r>
              <w:rPr>
                <w:rFonts w:ascii="Arial" w:cs="Arial" w:eastAsia="Arial" w:hAnsi="Arial"/>
                <w:sz w:val="12"/>
                <w:szCs w:val="12"/>
                <w:b w:val="1"/>
                <w:bCs w:val="1"/>
                <w:color w:val="FFFFFF"/>
              </w:rPr>
              <w:t>ALL OTHER</w:t>
            </w:r>
          </w:p>
        </w:tc>
        <w:tc>
          <w:tcPr>
            <w:tcW w:w="940" w:type="dxa"/>
            <w:vAlign w:val="bottom"/>
            <w:shd w:val="clear" w:color="auto" w:fill="71655E"/>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4740" w:type="dxa"/>
            <w:vAlign w:val="bottom"/>
            <w:vMerge w:val="restart"/>
            <w:shd w:val="clear" w:color="auto" w:fill="71655E"/>
          </w:tcPr>
          <w:p>
            <w:pPr>
              <w:ind w:left="60"/>
              <w:spacing w:after="0" w:line="130" w:lineRule="exact"/>
              <w:rPr>
                <w:sz w:val="20"/>
                <w:szCs w:val="20"/>
                <w:color w:val="auto"/>
              </w:rPr>
            </w:pPr>
            <w:r>
              <w:rPr>
                <w:rFonts w:ascii="Arial" w:cs="Arial" w:eastAsia="Arial" w:hAnsi="Arial"/>
                <w:sz w:val="12"/>
                <w:szCs w:val="12"/>
                <w:b w:val="1"/>
                <w:bCs w:val="1"/>
                <w:color w:val="FFFFFF"/>
              </w:rPr>
              <w:t>NAME</w:t>
            </w:r>
          </w:p>
        </w:tc>
        <w:tc>
          <w:tcPr>
            <w:tcW w:w="1500" w:type="dxa"/>
            <w:vAlign w:val="bottom"/>
            <w:gridSpan w:val="2"/>
            <w:vMerge w:val="continue"/>
            <w:shd w:val="clear" w:color="auto" w:fill="71655E"/>
          </w:tcPr>
          <w:p>
            <w:pPr>
              <w:spacing w:after="0"/>
              <w:rPr>
                <w:sz w:val="5"/>
                <w:szCs w:val="5"/>
                <w:color w:val="auto"/>
              </w:rPr>
            </w:pPr>
          </w:p>
        </w:tc>
        <w:tc>
          <w:tcPr>
            <w:tcW w:w="340" w:type="dxa"/>
            <w:vAlign w:val="bottom"/>
            <w:shd w:val="clear" w:color="auto" w:fill="71655E"/>
          </w:tcPr>
          <w:p>
            <w:pPr>
              <w:spacing w:after="0"/>
              <w:rPr>
                <w:sz w:val="5"/>
                <w:szCs w:val="5"/>
                <w:color w:val="auto"/>
              </w:rPr>
            </w:pPr>
          </w:p>
        </w:tc>
        <w:tc>
          <w:tcPr>
            <w:tcW w:w="900" w:type="dxa"/>
            <w:vAlign w:val="bottom"/>
            <w:vMerge w:val="continue"/>
            <w:shd w:val="clear" w:color="auto" w:fill="71655E"/>
          </w:tcPr>
          <w:p>
            <w:pPr>
              <w:spacing w:after="0"/>
              <w:rPr>
                <w:sz w:val="5"/>
                <w:szCs w:val="5"/>
                <w:color w:val="auto"/>
              </w:rPr>
            </w:pPr>
          </w:p>
        </w:tc>
        <w:tc>
          <w:tcPr>
            <w:tcW w:w="860" w:type="dxa"/>
            <w:vAlign w:val="bottom"/>
            <w:gridSpan w:val="2"/>
            <w:vMerge w:val="restart"/>
            <w:shd w:val="clear" w:color="auto" w:fill="71655E"/>
          </w:tcPr>
          <w:p>
            <w:pPr>
              <w:ind w:left="160"/>
              <w:spacing w:after="0" w:line="130" w:lineRule="exact"/>
              <w:rPr>
                <w:sz w:val="20"/>
                <w:szCs w:val="20"/>
                <w:color w:val="auto"/>
              </w:rPr>
            </w:pPr>
            <w:r>
              <w:rPr>
                <w:rFonts w:ascii="Arial" w:cs="Arial" w:eastAsia="Arial" w:hAnsi="Arial"/>
                <w:sz w:val="12"/>
                <w:szCs w:val="12"/>
                <w:b w:val="1"/>
                <w:bCs w:val="1"/>
                <w:color w:val="FFFFFF"/>
              </w:rPr>
              <w:t>AWARDS</w:t>
            </w:r>
          </w:p>
        </w:tc>
        <w:tc>
          <w:tcPr>
            <w:tcW w:w="1340" w:type="dxa"/>
            <w:vAlign w:val="bottom"/>
            <w:gridSpan w:val="2"/>
            <w:vMerge w:val="restart"/>
            <w:shd w:val="clear" w:color="auto" w:fill="71655E"/>
          </w:tcPr>
          <w:p>
            <w:pPr>
              <w:ind w:left="180"/>
              <w:spacing w:after="0" w:line="130" w:lineRule="exact"/>
              <w:rPr>
                <w:sz w:val="20"/>
                <w:szCs w:val="20"/>
                <w:color w:val="auto"/>
              </w:rPr>
            </w:pPr>
            <w:r>
              <w:rPr>
                <w:rFonts w:ascii="Arial" w:cs="Arial" w:eastAsia="Arial" w:hAnsi="Arial"/>
                <w:sz w:val="12"/>
                <w:szCs w:val="12"/>
                <w:b w:val="1"/>
                <w:bCs w:val="1"/>
                <w:color w:val="FFFFFF"/>
              </w:rPr>
              <w:t>COMPENSATION</w:t>
            </w:r>
          </w:p>
        </w:tc>
        <w:tc>
          <w:tcPr>
            <w:tcW w:w="940" w:type="dxa"/>
            <w:vAlign w:val="bottom"/>
            <w:vMerge w:val="restart"/>
            <w:shd w:val="clear" w:color="auto" w:fill="71655E"/>
          </w:tcPr>
          <w:p>
            <w:pPr>
              <w:ind w:left="200"/>
              <w:spacing w:after="0" w:line="130" w:lineRule="exact"/>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65"/>
        </w:trPr>
        <w:tc>
          <w:tcPr>
            <w:tcW w:w="4740" w:type="dxa"/>
            <w:vAlign w:val="bottom"/>
            <w:vMerge w:val="continue"/>
            <w:shd w:val="clear" w:color="auto" w:fill="71655E"/>
          </w:tcPr>
          <w:p>
            <w:pPr>
              <w:spacing w:after="0"/>
              <w:rPr>
                <w:sz w:val="5"/>
                <w:szCs w:val="5"/>
                <w:color w:val="auto"/>
              </w:rPr>
            </w:pPr>
          </w:p>
        </w:tc>
        <w:tc>
          <w:tcPr>
            <w:tcW w:w="1500" w:type="dxa"/>
            <w:vAlign w:val="bottom"/>
            <w:gridSpan w:val="2"/>
            <w:vMerge w:val="restart"/>
            <w:shd w:val="clear" w:color="auto" w:fill="71655E"/>
          </w:tcPr>
          <w:p>
            <w:pPr>
              <w:ind w:left="180"/>
              <w:spacing w:after="0"/>
              <w:rPr>
                <w:sz w:val="20"/>
                <w:szCs w:val="20"/>
                <w:color w:val="auto"/>
              </w:rPr>
            </w:pPr>
            <w:r>
              <w:rPr>
                <w:rFonts w:ascii="Arial" w:cs="Arial" w:eastAsia="Arial" w:hAnsi="Arial"/>
                <w:sz w:val="12"/>
                <w:szCs w:val="12"/>
                <w:b w:val="1"/>
                <w:bCs w:val="1"/>
                <w:color w:val="FFFFFF"/>
              </w:rPr>
              <w:t>PAID IN CASH($) (1)</w:t>
            </w:r>
          </w:p>
        </w:tc>
        <w:tc>
          <w:tcPr>
            <w:tcW w:w="1240" w:type="dxa"/>
            <w:vAlign w:val="bottom"/>
            <w:gridSpan w:val="2"/>
            <w:vMerge w:val="restart"/>
            <w:shd w:val="clear" w:color="auto" w:fill="71655E"/>
          </w:tcPr>
          <w:p>
            <w:pPr>
              <w:ind w:left="180"/>
              <w:spacing w:after="0"/>
              <w:rPr>
                <w:sz w:val="20"/>
                <w:szCs w:val="20"/>
                <w:color w:val="auto"/>
              </w:rPr>
            </w:pPr>
            <w:r>
              <w:rPr>
                <w:rFonts w:ascii="Arial" w:cs="Arial" w:eastAsia="Arial" w:hAnsi="Arial"/>
                <w:sz w:val="12"/>
                <w:szCs w:val="12"/>
                <w:b w:val="1"/>
                <w:bCs w:val="1"/>
                <w:color w:val="FFFFFF"/>
              </w:rPr>
              <w:t>AWARDS($) (2)</w:t>
            </w:r>
          </w:p>
        </w:tc>
        <w:tc>
          <w:tcPr>
            <w:tcW w:w="860" w:type="dxa"/>
            <w:vAlign w:val="bottom"/>
            <w:gridSpan w:val="2"/>
            <w:vMerge w:val="continue"/>
            <w:shd w:val="clear" w:color="auto" w:fill="71655E"/>
          </w:tcPr>
          <w:p>
            <w:pPr>
              <w:spacing w:after="0"/>
              <w:rPr>
                <w:sz w:val="5"/>
                <w:szCs w:val="5"/>
                <w:color w:val="auto"/>
              </w:rPr>
            </w:pPr>
          </w:p>
        </w:tc>
        <w:tc>
          <w:tcPr>
            <w:tcW w:w="1340" w:type="dxa"/>
            <w:vAlign w:val="bottom"/>
            <w:gridSpan w:val="2"/>
            <w:vMerge w:val="continue"/>
            <w:shd w:val="clear" w:color="auto" w:fill="71655E"/>
          </w:tcPr>
          <w:p>
            <w:pPr>
              <w:spacing w:after="0"/>
              <w:rPr>
                <w:sz w:val="5"/>
                <w:szCs w:val="5"/>
                <w:color w:val="auto"/>
              </w:rPr>
            </w:pPr>
          </w:p>
        </w:tc>
        <w:tc>
          <w:tcPr>
            <w:tcW w:w="940" w:type="dxa"/>
            <w:vAlign w:val="bottom"/>
            <w:vMerge w:val="continue"/>
            <w:shd w:val="clear" w:color="auto" w:fill="71655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740" w:type="dxa"/>
            <w:vAlign w:val="bottom"/>
            <w:shd w:val="clear" w:color="auto" w:fill="71655E"/>
          </w:tcPr>
          <w:p>
            <w:pPr>
              <w:spacing w:after="0"/>
              <w:rPr>
                <w:sz w:val="8"/>
                <w:szCs w:val="8"/>
                <w:color w:val="auto"/>
              </w:rPr>
            </w:pPr>
          </w:p>
        </w:tc>
        <w:tc>
          <w:tcPr>
            <w:tcW w:w="1500" w:type="dxa"/>
            <w:vAlign w:val="bottom"/>
            <w:gridSpan w:val="2"/>
            <w:vMerge w:val="continue"/>
            <w:shd w:val="clear" w:color="auto" w:fill="71655E"/>
          </w:tcPr>
          <w:p>
            <w:pPr>
              <w:spacing w:after="0"/>
              <w:rPr>
                <w:sz w:val="8"/>
                <w:szCs w:val="8"/>
                <w:color w:val="auto"/>
              </w:rPr>
            </w:pPr>
          </w:p>
        </w:tc>
        <w:tc>
          <w:tcPr>
            <w:tcW w:w="1240" w:type="dxa"/>
            <w:vAlign w:val="bottom"/>
            <w:gridSpan w:val="2"/>
            <w:vMerge w:val="continue"/>
            <w:shd w:val="clear" w:color="auto" w:fill="71655E"/>
          </w:tcPr>
          <w:p>
            <w:pPr>
              <w:spacing w:after="0"/>
              <w:rPr>
                <w:sz w:val="8"/>
                <w:szCs w:val="8"/>
                <w:color w:val="auto"/>
              </w:rPr>
            </w:pPr>
          </w:p>
        </w:tc>
        <w:tc>
          <w:tcPr>
            <w:tcW w:w="360" w:type="dxa"/>
            <w:vAlign w:val="bottom"/>
            <w:vMerge w:val="restart"/>
            <w:shd w:val="clear" w:color="auto" w:fill="71655E"/>
          </w:tcPr>
          <w:p>
            <w:pPr>
              <w:ind w:left="260"/>
              <w:spacing w:after="0"/>
              <w:rPr>
                <w:sz w:val="20"/>
                <w:szCs w:val="20"/>
                <w:color w:val="auto"/>
              </w:rPr>
            </w:pPr>
            <w:r>
              <w:rPr>
                <w:rFonts w:ascii="Arial" w:cs="Arial" w:eastAsia="Arial" w:hAnsi="Arial"/>
                <w:sz w:val="12"/>
                <w:szCs w:val="12"/>
                <w:b w:val="1"/>
                <w:bCs w:val="1"/>
                <w:color w:val="FFFFFF"/>
                <w:w w:val="74"/>
              </w:rPr>
              <w:t>($</w:t>
            </w:r>
          </w:p>
        </w:tc>
        <w:tc>
          <w:tcPr>
            <w:tcW w:w="500" w:type="dxa"/>
            <w:vAlign w:val="bottom"/>
            <w:vMerge w:val="restart"/>
            <w:shd w:val="clear" w:color="auto" w:fill="71655E"/>
          </w:tcPr>
          <w:p>
            <w:pPr>
              <w:jc w:val="right"/>
              <w:ind w:right="212"/>
              <w:spacing w:after="0"/>
              <w:rPr>
                <w:sz w:val="20"/>
                <w:szCs w:val="20"/>
                <w:color w:val="auto"/>
              </w:rPr>
            </w:pPr>
            <w:r>
              <w:rPr>
                <w:rFonts w:ascii="Arial" w:cs="Arial" w:eastAsia="Arial" w:hAnsi="Arial"/>
                <w:sz w:val="12"/>
                <w:szCs w:val="12"/>
                <w:b w:val="1"/>
                <w:bCs w:val="1"/>
                <w:color w:val="FFFFFF"/>
                <w:w w:val="90"/>
              </w:rPr>
              <w:t>) (3)</w:t>
            </w:r>
          </w:p>
        </w:tc>
        <w:tc>
          <w:tcPr>
            <w:tcW w:w="700" w:type="dxa"/>
            <w:vAlign w:val="bottom"/>
            <w:vMerge w:val="restart"/>
            <w:shd w:val="clear" w:color="auto" w:fill="71655E"/>
          </w:tcPr>
          <w:p>
            <w:pPr>
              <w:ind w:left="600"/>
              <w:spacing w:after="0"/>
              <w:rPr>
                <w:sz w:val="20"/>
                <w:szCs w:val="20"/>
                <w:color w:val="auto"/>
              </w:rPr>
            </w:pPr>
            <w:r>
              <w:rPr>
                <w:rFonts w:ascii="Arial" w:cs="Arial" w:eastAsia="Arial" w:hAnsi="Arial"/>
                <w:sz w:val="12"/>
                <w:szCs w:val="12"/>
                <w:b w:val="1"/>
                <w:bCs w:val="1"/>
                <w:color w:val="FFFFFF"/>
                <w:w w:val="74"/>
              </w:rPr>
              <w:t>($</w:t>
            </w:r>
          </w:p>
        </w:tc>
        <w:tc>
          <w:tcPr>
            <w:tcW w:w="640" w:type="dxa"/>
            <w:vAlign w:val="bottom"/>
            <w:vMerge w:val="restart"/>
            <w:shd w:val="clear" w:color="auto" w:fill="71655E"/>
          </w:tcPr>
          <w:p>
            <w:pPr>
              <w:jc w:val="right"/>
              <w:ind w:right="534"/>
              <w:spacing w:after="0"/>
              <w:rPr>
                <w:sz w:val="20"/>
                <w:szCs w:val="20"/>
                <w:color w:val="auto"/>
              </w:rPr>
            </w:pPr>
            <w:r>
              <w:rPr>
                <w:rFonts w:ascii="Arial" w:cs="Arial" w:eastAsia="Arial" w:hAnsi="Arial"/>
                <w:sz w:val="8"/>
                <w:szCs w:val="8"/>
                <w:b w:val="1"/>
                <w:bCs w:val="1"/>
                <w:color w:val="FFFFFF"/>
                <w:w w:val="73"/>
              </w:rPr>
              <w:t>)</w:t>
            </w:r>
          </w:p>
        </w:tc>
        <w:tc>
          <w:tcPr>
            <w:tcW w:w="940" w:type="dxa"/>
            <w:vAlign w:val="bottom"/>
            <w:shd w:val="clear" w:color="auto" w:fill="71655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740" w:type="dxa"/>
            <w:vAlign w:val="bottom"/>
            <w:tcBorders>
              <w:bottom w:val="single" w:sz="8" w:color="71655E"/>
            </w:tcBorders>
            <w:shd w:val="clear" w:color="auto" w:fill="71655E"/>
          </w:tcPr>
          <w:p>
            <w:pPr>
              <w:spacing w:after="0"/>
              <w:rPr>
                <w:sz w:val="6"/>
                <w:szCs w:val="6"/>
                <w:color w:val="auto"/>
              </w:rPr>
            </w:pPr>
          </w:p>
        </w:tc>
        <w:tc>
          <w:tcPr>
            <w:tcW w:w="540" w:type="dxa"/>
            <w:vAlign w:val="bottom"/>
            <w:tcBorders>
              <w:bottom w:val="single" w:sz="8" w:color="71655E"/>
            </w:tcBorders>
            <w:shd w:val="clear" w:color="auto" w:fill="71655E"/>
          </w:tcPr>
          <w:p>
            <w:pPr>
              <w:spacing w:after="0"/>
              <w:rPr>
                <w:sz w:val="6"/>
                <w:szCs w:val="6"/>
                <w:color w:val="auto"/>
              </w:rPr>
            </w:pPr>
          </w:p>
        </w:tc>
        <w:tc>
          <w:tcPr>
            <w:tcW w:w="960" w:type="dxa"/>
            <w:vAlign w:val="bottom"/>
            <w:tcBorders>
              <w:bottom w:val="single" w:sz="8" w:color="71655E"/>
            </w:tcBorders>
            <w:shd w:val="clear" w:color="auto" w:fill="71655E"/>
          </w:tcPr>
          <w:p>
            <w:pPr>
              <w:spacing w:after="0"/>
              <w:rPr>
                <w:sz w:val="6"/>
                <w:szCs w:val="6"/>
                <w:color w:val="auto"/>
              </w:rPr>
            </w:pPr>
          </w:p>
        </w:tc>
        <w:tc>
          <w:tcPr>
            <w:tcW w:w="340" w:type="dxa"/>
            <w:vAlign w:val="bottom"/>
            <w:tcBorders>
              <w:bottom w:val="single" w:sz="8" w:color="71655E"/>
            </w:tcBorders>
            <w:shd w:val="clear" w:color="auto" w:fill="71655E"/>
          </w:tcPr>
          <w:p>
            <w:pPr>
              <w:spacing w:after="0"/>
              <w:rPr>
                <w:sz w:val="6"/>
                <w:szCs w:val="6"/>
                <w:color w:val="auto"/>
              </w:rPr>
            </w:pPr>
          </w:p>
        </w:tc>
        <w:tc>
          <w:tcPr>
            <w:tcW w:w="900" w:type="dxa"/>
            <w:vAlign w:val="bottom"/>
            <w:tcBorders>
              <w:bottom w:val="single" w:sz="8" w:color="71655E"/>
            </w:tcBorders>
            <w:shd w:val="clear" w:color="auto" w:fill="71655E"/>
          </w:tcPr>
          <w:p>
            <w:pPr>
              <w:spacing w:after="0"/>
              <w:rPr>
                <w:sz w:val="6"/>
                <w:szCs w:val="6"/>
                <w:color w:val="auto"/>
              </w:rPr>
            </w:pPr>
          </w:p>
        </w:tc>
        <w:tc>
          <w:tcPr>
            <w:tcW w:w="360" w:type="dxa"/>
            <w:vAlign w:val="bottom"/>
            <w:tcBorders>
              <w:bottom w:val="single" w:sz="8" w:color="71655E"/>
            </w:tcBorders>
            <w:vMerge w:val="continue"/>
            <w:shd w:val="clear" w:color="auto" w:fill="71655E"/>
          </w:tcPr>
          <w:p>
            <w:pPr>
              <w:spacing w:after="0"/>
              <w:rPr>
                <w:sz w:val="6"/>
                <w:szCs w:val="6"/>
                <w:color w:val="auto"/>
              </w:rPr>
            </w:pPr>
          </w:p>
        </w:tc>
        <w:tc>
          <w:tcPr>
            <w:tcW w:w="500" w:type="dxa"/>
            <w:vAlign w:val="bottom"/>
            <w:tcBorders>
              <w:bottom w:val="single" w:sz="8" w:color="71655E"/>
            </w:tcBorders>
            <w:vMerge w:val="continue"/>
            <w:shd w:val="clear" w:color="auto" w:fill="71655E"/>
          </w:tcPr>
          <w:p>
            <w:pPr>
              <w:spacing w:after="0"/>
              <w:rPr>
                <w:sz w:val="6"/>
                <w:szCs w:val="6"/>
                <w:color w:val="auto"/>
              </w:rPr>
            </w:pPr>
          </w:p>
        </w:tc>
        <w:tc>
          <w:tcPr>
            <w:tcW w:w="700" w:type="dxa"/>
            <w:vAlign w:val="bottom"/>
            <w:tcBorders>
              <w:bottom w:val="single" w:sz="8" w:color="71655E"/>
            </w:tcBorders>
            <w:vMerge w:val="continue"/>
            <w:shd w:val="clear" w:color="auto" w:fill="71655E"/>
          </w:tcPr>
          <w:p>
            <w:pPr>
              <w:spacing w:after="0"/>
              <w:rPr>
                <w:sz w:val="6"/>
                <w:szCs w:val="6"/>
                <w:color w:val="auto"/>
              </w:rPr>
            </w:pPr>
          </w:p>
        </w:tc>
        <w:tc>
          <w:tcPr>
            <w:tcW w:w="640" w:type="dxa"/>
            <w:vAlign w:val="bottom"/>
            <w:tcBorders>
              <w:bottom w:val="single" w:sz="8" w:color="71655E"/>
            </w:tcBorders>
            <w:vMerge w:val="continue"/>
            <w:shd w:val="clear" w:color="auto" w:fill="71655E"/>
          </w:tcPr>
          <w:p>
            <w:pPr>
              <w:spacing w:after="0"/>
              <w:rPr>
                <w:sz w:val="6"/>
                <w:szCs w:val="6"/>
                <w:color w:val="auto"/>
              </w:rPr>
            </w:pPr>
          </w:p>
        </w:tc>
        <w:tc>
          <w:tcPr>
            <w:tcW w:w="940" w:type="dxa"/>
            <w:vAlign w:val="bottom"/>
            <w:tcBorders>
              <w:bottom w:val="single" w:sz="8" w:color="71655E"/>
            </w:tcBorders>
            <w:shd w:val="clear" w:color="auto" w:fill="71655E"/>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4740" w:type="dxa"/>
            <w:vAlign w:val="bottom"/>
            <w:tcBorders>
              <w:bottom w:val="single" w:sz="8" w:color="E2E0DE"/>
            </w:tcBorders>
            <w:shd w:val="clear" w:color="auto" w:fill="E2E0DE"/>
          </w:tcPr>
          <w:p>
            <w:pPr>
              <w:ind w:left="60"/>
              <w:spacing w:after="0"/>
              <w:rPr>
                <w:sz w:val="20"/>
                <w:szCs w:val="20"/>
                <w:color w:val="auto"/>
              </w:rPr>
            </w:pPr>
            <w:r>
              <w:rPr>
                <w:rFonts w:ascii="Arial" w:cs="Arial" w:eastAsia="Arial" w:hAnsi="Arial"/>
                <w:sz w:val="14"/>
                <w:szCs w:val="14"/>
                <w:color w:val="auto"/>
              </w:rPr>
              <w:t>Betsy S. Atkins</w:t>
            </w:r>
          </w:p>
        </w:tc>
        <w:tc>
          <w:tcPr>
            <w:tcW w:w="540" w:type="dxa"/>
            <w:vAlign w:val="bottom"/>
            <w:tcBorders>
              <w:bottom w:val="single" w:sz="8" w:color="E2E0DE"/>
            </w:tcBorders>
            <w:shd w:val="clear" w:color="auto" w:fill="E2E0DE"/>
          </w:tcPr>
          <w:p>
            <w:pPr>
              <w:ind w:left="1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2E0DE"/>
            </w:tcBorders>
            <w:shd w:val="clear" w:color="auto" w:fill="E2E0DE"/>
          </w:tcPr>
          <w:p>
            <w:pPr>
              <w:jc w:val="right"/>
              <w:ind w:right="91"/>
              <w:spacing w:after="0"/>
              <w:rPr>
                <w:sz w:val="20"/>
                <w:szCs w:val="20"/>
                <w:color w:val="auto"/>
              </w:rPr>
            </w:pPr>
            <w:r>
              <w:rPr>
                <w:rFonts w:ascii="Arial" w:cs="Arial" w:eastAsia="Arial" w:hAnsi="Arial"/>
                <w:sz w:val="14"/>
                <w:szCs w:val="14"/>
                <w:color w:val="auto"/>
              </w:rPr>
              <w:t>139,667</w:t>
            </w:r>
          </w:p>
        </w:tc>
        <w:tc>
          <w:tcPr>
            <w:tcW w:w="340" w:type="dxa"/>
            <w:vAlign w:val="bottom"/>
            <w:tcBorders>
              <w:bottom w:val="single" w:sz="8" w:color="E2E0DE"/>
            </w:tcBorders>
            <w:shd w:val="clear" w:color="auto" w:fill="E2E0DE"/>
          </w:tcPr>
          <w:p>
            <w:pPr>
              <w:ind w:left="18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2E0DE"/>
            </w:tcBorders>
            <w:shd w:val="clear" w:color="auto" w:fill="E2E0DE"/>
          </w:tcPr>
          <w:p>
            <w:pPr>
              <w:jc w:val="right"/>
              <w:ind w:right="132"/>
              <w:spacing w:after="0"/>
              <w:rPr>
                <w:sz w:val="20"/>
                <w:szCs w:val="20"/>
                <w:color w:val="auto"/>
              </w:rPr>
            </w:pPr>
            <w:r>
              <w:rPr>
                <w:rFonts w:ascii="Arial" w:cs="Arial" w:eastAsia="Arial" w:hAnsi="Arial"/>
                <w:sz w:val="14"/>
                <w:szCs w:val="14"/>
                <w:color w:val="auto"/>
              </w:rPr>
              <w:t>250,013</w:t>
            </w:r>
          </w:p>
        </w:tc>
        <w:tc>
          <w:tcPr>
            <w:tcW w:w="360" w:type="dxa"/>
            <w:vAlign w:val="bottom"/>
            <w:tcBorders>
              <w:bottom w:val="single" w:sz="8" w:color="E2E0DE"/>
            </w:tcBorders>
            <w:shd w:val="clear" w:color="auto" w:fill="E2E0DE"/>
          </w:tcPr>
          <w:p>
            <w:pPr>
              <w:ind w:left="1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E2E0DE"/>
            </w:tcBorders>
            <w:shd w:val="clear" w:color="auto" w:fill="E2E0DE"/>
          </w:tcPr>
          <w:p>
            <w:pPr>
              <w:jc w:val="right"/>
              <w:ind w:right="11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2E0DE"/>
            </w:tcBorders>
            <w:shd w:val="clear" w:color="auto" w:fill="E2E0DE"/>
          </w:tcPr>
          <w:p>
            <w:pPr>
              <w:ind w:left="1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E2E0DE"/>
            </w:tcBorders>
            <w:shd w:val="clear" w:color="auto" w:fill="E2E0DE"/>
          </w:tcPr>
          <w:p>
            <w:pPr>
              <w:jc w:val="right"/>
              <w:ind w:right="114"/>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2E0DE"/>
            </w:tcBorders>
            <w:shd w:val="clear" w:color="auto" w:fill="E2E0DE"/>
          </w:tcPr>
          <w:p>
            <w:pPr>
              <w:ind w:left="180"/>
              <w:spacing w:after="0"/>
              <w:rPr>
                <w:sz w:val="20"/>
                <w:szCs w:val="20"/>
                <w:color w:val="auto"/>
              </w:rPr>
            </w:pPr>
            <w:r>
              <w:rPr>
                <w:rFonts w:ascii="Arial" w:cs="Arial" w:eastAsia="Arial" w:hAnsi="Arial"/>
                <w:sz w:val="14"/>
                <w:szCs w:val="14"/>
                <w:color w:val="auto"/>
              </w:rPr>
              <w:t>$389,680</w:t>
            </w:r>
          </w:p>
        </w:tc>
        <w:tc>
          <w:tcPr>
            <w:tcW w:w="0" w:type="dxa"/>
            <w:vAlign w:val="bottom"/>
          </w:tcPr>
          <w:p>
            <w:pPr>
              <w:spacing w:after="0"/>
              <w:rPr>
                <w:sz w:val="1"/>
                <w:szCs w:val="1"/>
                <w:color w:val="auto"/>
              </w:rPr>
            </w:pPr>
          </w:p>
        </w:tc>
      </w:tr>
      <w:tr>
        <w:trPr>
          <w:trHeight w:val="235"/>
        </w:trPr>
        <w:tc>
          <w:tcPr>
            <w:tcW w:w="4740" w:type="dxa"/>
            <w:vAlign w:val="bottom"/>
          </w:tcPr>
          <w:p>
            <w:pPr>
              <w:ind w:left="60"/>
              <w:spacing w:after="0"/>
              <w:rPr>
                <w:sz w:val="20"/>
                <w:szCs w:val="20"/>
                <w:color w:val="auto"/>
              </w:rPr>
            </w:pPr>
            <w:r>
              <w:rPr>
                <w:rFonts w:ascii="Arial" w:cs="Arial" w:eastAsia="Arial" w:hAnsi="Arial"/>
                <w:sz w:val="14"/>
                <w:szCs w:val="14"/>
                <w:color w:val="auto"/>
              </w:rPr>
              <w:t>Richard J. Byrne</w:t>
            </w:r>
          </w:p>
        </w:tc>
        <w:tc>
          <w:tcPr>
            <w:tcW w:w="540" w:type="dxa"/>
            <w:vAlign w:val="bottom"/>
          </w:tcPr>
          <w:p>
            <w:pPr>
              <w:ind w:lef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124,167</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249,989</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00" w:type="dxa"/>
            <w:vAlign w:val="bottom"/>
          </w:tcPr>
          <w:p>
            <w:pPr>
              <w:ind w:lef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4"/>
              <w:spacing w:after="0"/>
              <w:rPr>
                <w:sz w:val="20"/>
                <w:szCs w:val="20"/>
                <w:color w:val="auto"/>
              </w:rPr>
            </w:pPr>
            <w:r>
              <w:rPr>
                <w:rFonts w:ascii="Arial" w:cs="Arial" w:eastAsia="Arial" w:hAnsi="Arial"/>
                <w:sz w:val="14"/>
                <w:szCs w:val="14"/>
                <w:color w:val="auto"/>
              </w:rPr>
              <w:t>-</w:t>
            </w:r>
          </w:p>
        </w:tc>
        <w:tc>
          <w:tcPr>
            <w:tcW w:w="940" w:type="dxa"/>
            <w:vAlign w:val="bottom"/>
          </w:tcPr>
          <w:p>
            <w:pPr>
              <w:ind w:left="180"/>
              <w:spacing w:after="0"/>
              <w:rPr>
                <w:sz w:val="20"/>
                <w:szCs w:val="20"/>
                <w:color w:val="auto"/>
              </w:rPr>
            </w:pPr>
            <w:r>
              <w:rPr>
                <w:rFonts w:ascii="Arial" w:cs="Arial" w:eastAsia="Arial" w:hAnsi="Arial"/>
                <w:sz w:val="14"/>
                <w:szCs w:val="14"/>
                <w:color w:val="auto"/>
              </w:rPr>
              <w:t>$374,156</w:t>
            </w:r>
          </w:p>
        </w:tc>
        <w:tc>
          <w:tcPr>
            <w:tcW w:w="0" w:type="dxa"/>
            <w:vAlign w:val="bottom"/>
          </w:tcPr>
          <w:p>
            <w:pPr>
              <w:spacing w:after="0"/>
              <w:rPr>
                <w:sz w:val="1"/>
                <w:szCs w:val="1"/>
                <w:color w:val="auto"/>
              </w:rPr>
            </w:pPr>
          </w:p>
        </w:tc>
      </w:tr>
      <w:tr>
        <w:trPr>
          <w:trHeight w:val="51"/>
        </w:trPr>
        <w:tc>
          <w:tcPr>
            <w:tcW w:w="4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4740" w:type="dxa"/>
            <w:vAlign w:val="bottom"/>
            <w:tcBorders>
              <w:bottom w:val="single" w:sz="8" w:color="E2E0DE"/>
            </w:tcBorders>
            <w:shd w:val="clear" w:color="auto" w:fill="E2E0DE"/>
          </w:tcPr>
          <w:p>
            <w:pPr>
              <w:ind w:left="60"/>
              <w:spacing w:after="0"/>
              <w:rPr>
                <w:sz w:val="20"/>
                <w:szCs w:val="20"/>
                <w:color w:val="auto"/>
              </w:rPr>
            </w:pPr>
            <w:r>
              <w:rPr>
                <w:rFonts w:ascii="Arial" w:cs="Arial" w:eastAsia="Arial" w:hAnsi="Arial"/>
                <w:sz w:val="14"/>
                <w:szCs w:val="14"/>
                <w:color w:val="auto"/>
              </w:rPr>
              <w:t>Patricia Mulroy</w:t>
            </w:r>
          </w:p>
        </w:tc>
        <w:tc>
          <w:tcPr>
            <w:tcW w:w="540" w:type="dxa"/>
            <w:vAlign w:val="bottom"/>
            <w:tcBorders>
              <w:bottom w:val="single" w:sz="8" w:color="E2E0DE"/>
            </w:tcBorders>
            <w:shd w:val="clear" w:color="auto" w:fill="E2E0DE"/>
          </w:tcPr>
          <w:p>
            <w:pPr>
              <w:ind w:left="1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2E0DE"/>
            </w:tcBorders>
            <w:shd w:val="clear" w:color="auto" w:fill="E2E0DE"/>
          </w:tcPr>
          <w:p>
            <w:pPr>
              <w:jc w:val="right"/>
              <w:ind w:right="91"/>
              <w:spacing w:after="0"/>
              <w:rPr>
                <w:sz w:val="20"/>
                <w:szCs w:val="20"/>
                <w:color w:val="auto"/>
              </w:rPr>
            </w:pPr>
            <w:r>
              <w:rPr>
                <w:rFonts w:ascii="Arial" w:cs="Arial" w:eastAsia="Arial" w:hAnsi="Arial"/>
                <w:sz w:val="14"/>
                <w:szCs w:val="14"/>
                <w:color w:val="auto"/>
              </w:rPr>
              <w:t>213,667</w:t>
            </w:r>
          </w:p>
        </w:tc>
        <w:tc>
          <w:tcPr>
            <w:tcW w:w="340" w:type="dxa"/>
            <w:vAlign w:val="bottom"/>
            <w:tcBorders>
              <w:bottom w:val="single" w:sz="8" w:color="E2E0DE"/>
            </w:tcBorders>
            <w:shd w:val="clear" w:color="auto" w:fill="E2E0DE"/>
          </w:tcPr>
          <w:p>
            <w:pPr>
              <w:ind w:left="18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2E0DE"/>
            </w:tcBorders>
            <w:shd w:val="clear" w:color="auto" w:fill="E2E0DE"/>
          </w:tcPr>
          <w:p>
            <w:pPr>
              <w:jc w:val="right"/>
              <w:ind w:right="132"/>
              <w:spacing w:after="0"/>
              <w:rPr>
                <w:sz w:val="20"/>
                <w:szCs w:val="20"/>
                <w:color w:val="auto"/>
              </w:rPr>
            </w:pPr>
            <w:r>
              <w:rPr>
                <w:rFonts w:ascii="Arial" w:cs="Arial" w:eastAsia="Arial" w:hAnsi="Arial"/>
                <w:sz w:val="14"/>
                <w:szCs w:val="14"/>
                <w:color w:val="auto"/>
              </w:rPr>
              <w:t>249,989</w:t>
            </w:r>
          </w:p>
        </w:tc>
        <w:tc>
          <w:tcPr>
            <w:tcW w:w="360" w:type="dxa"/>
            <w:vAlign w:val="bottom"/>
            <w:tcBorders>
              <w:bottom w:val="single" w:sz="8" w:color="E2E0DE"/>
            </w:tcBorders>
            <w:shd w:val="clear" w:color="auto" w:fill="E2E0DE"/>
          </w:tcPr>
          <w:p>
            <w:pPr>
              <w:ind w:left="1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E2E0DE"/>
            </w:tcBorders>
            <w:shd w:val="clear" w:color="auto" w:fill="E2E0DE"/>
          </w:tcPr>
          <w:p>
            <w:pPr>
              <w:jc w:val="right"/>
              <w:ind w:right="11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2E0DE"/>
            </w:tcBorders>
            <w:shd w:val="clear" w:color="auto" w:fill="E2E0DE"/>
          </w:tcPr>
          <w:p>
            <w:pPr>
              <w:ind w:left="1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E2E0DE"/>
            </w:tcBorders>
            <w:shd w:val="clear" w:color="auto" w:fill="E2E0DE"/>
          </w:tcPr>
          <w:p>
            <w:pPr>
              <w:jc w:val="right"/>
              <w:ind w:right="114"/>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2E0DE"/>
            </w:tcBorders>
            <w:shd w:val="clear" w:color="auto" w:fill="E2E0DE"/>
          </w:tcPr>
          <w:p>
            <w:pPr>
              <w:ind w:left="180"/>
              <w:spacing w:after="0"/>
              <w:rPr>
                <w:sz w:val="20"/>
                <w:szCs w:val="20"/>
                <w:color w:val="auto"/>
              </w:rPr>
            </w:pPr>
            <w:r>
              <w:rPr>
                <w:rFonts w:ascii="Arial" w:cs="Arial" w:eastAsia="Arial" w:hAnsi="Arial"/>
                <w:sz w:val="14"/>
                <w:szCs w:val="14"/>
                <w:color w:val="auto"/>
              </w:rPr>
              <w:t>$463,656</w:t>
            </w:r>
          </w:p>
        </w:tc>
        <w:tc>
          <w:tcPr>
            <w:tcW w:w="0" w:type="dxa"/>
            <w:vAlign w:val="bottom"/>
          </w:tcPr>
          <w:p>
            <w:pPr>
              <w:spacing w:after="0"/>
              <w:rPr>
                <w:sz w:val="1"/>
                <w:szCs w:val="1"/>
                <w:color w:val="auto"/>
              </w:rPr>
            </w:pPr>
          </w:p>
        </w:tc>
      </w:tr>
      <w:tr>
        <w:trPr>
          <w:trHeight w:val="235"/>
        </w:trPr>
        <w:tc>
          <w:tcPr>
            <w:tcW w:w="4740" w:type="dxa"/>
            <w:vAlign w:val="bottom"/>
          </w:tcPr>
          <w:p>
            <w:pPr>
              <w:ind w:left="60"/>
              <w:spacing w:after="0"/>
              <w:rPr>
                <w:sz w:val="20"/>
                <w:szCs w:val="20"/>
                <w:color w:val="auto"/>
              </w:rPr>
            </w:pPr>
            <w:r>
              <w:rPr>
                <w:rFonts w:ascii="Arial" w:cs="Arial" w:eastAsia="Arial" w:hAnsi="Arial"/>
                <w:sz w:val="14"/>
                <w:szCs w:val="14"/>
                <w:color w:val="auto"/>
              </w:rPr>
              <w:t>Margaret J. Myers</w:t>
            </w:r>
          </w:p>
        </w:tc>
        <w:tc>
          <w:tcPr>
            <w:tcW w:w="540" w:type="dxa"/>
            <w:vAlign w:val="bottom"/>
          </w:tcPr>
          <w:p>
            <w:pPr>
              <w:ind w:lef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119,667</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249,989</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00" w:type="dxa"/>
            <w:vAlign w:val="bottom"/>
          </w:tcPr>
          <w:p>
            <w:pPr>
              <w:ind w:lef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4"/>
              <w:spacing w:after="0"/>
              <w:rPr>
                <w:sz w:val="20"/>
                <w:szCs w:val="20"/>
                <w:color w:val="auto"/>
              </w:rPr>
            </w:pPr>
            <w:r>
              <w:rPr>
                <w:rFonts w:ascii="Arial" w:cs="Arial" w:eastAsia="Arial" w:hAnsi="Arial"/>
                <w:sz w:val="14"/>
                <w:szCs w:val="14"/>
                <w:color w:val="auto"/>
              </w:rPr>
              <w:t>-</w:t>
            </w:r>
          </w:p>
        </w:tc>
        <w:tc>
          <w:tcPr>
            <w:tcW w:w="940" w:type="dxa"/>
            <w:vAlign w:val="bottom"/>
          </w:tcPr>
          <w:p>
            <w:pPr>
              <w:ind w:left="180"/>
              <w:spacing w:after="0"/>
              <w:rPr>
                <w:sz w:val="20"/>
                <w:szCs w:val="20"/>
                <w:color w:val="auto"/>
              </w:rPr>
            </w:pPr>
            <w:r>
              <w:rPr>
                <w:rFonts w:ascii="Arial" w:cs="Arial" w:eastAsia="Arial" w:hAnsi="Arial"/>
                <w:sz w:val="14"/>
                <w:szCs w:val="14"/>
                <w:color w:val="auto"/>
              </w:rPr>
              <w:t>$369,656</w:t>
            </w:r>
          </w:p>
        </w:tc>
        <w:tc>
          <w:tcPr>
            <w:tcW w:w="0" w:type="dxa"/>
            <w:vAlign w:val="bottom"/>
          </w:tcPr>
          <w:p>
            <w:pPr>
              <w:spacing w:after="0"/>
              <w:rPr>
                <w:sz w:val="1"/>
                <w:szCs w:val="1"/>
                <w:color w:val="auto"/>
              </w:rPr>
            </w:pPr>
          </w:p>
        </w:tc>
      </w:tr>
      <w:tr>
        <w:trPr>
          <w:trHeight w:val="51"/>
        </w:trPr>
        <w:tc>
          <w:tcPr>
            <w:tcW w:w="4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4740" w:type="dxa"/>
            <w:vAlign w:val="bottom"/>
            <w:tcBorders>
              <w:bottom w:val="single" w:sz="8" w:color="E2E0DE"/>
            </w:tcBorders>
            <w:shd w:val="clear" w:color="auto" w:fill="E2E0DE"/>
          </w:tcPr>
          <w:p>
            <w:pPr>
              <w:ind w:left="60"/>
              <w:spacing w:after="0"/>
              <w:rPr>
                <w:sz w:val="20"/>
                <w:szCs w:val="20"/>
                <w:color w:val="auto"/>
              </w:rPr>
            </w:pPr>
            <w:r>
              <w:rPr>
                <w:rFonts w:ascii="Arial" w:cs="Arial" w:eastAsia="Arial" w:hAnsi="Arial"/>
                <w:sz w:val="14"/>
                <w:szCs w:val="14"/>
                <w:color w:val="auto"/>
              </w:rPr>
              <w:t>Clark T. Randt, Jr.</w:t>
            </w:r>
          </w:p>
        </w:tc>
        <w:tc>
          <w:tcPr>
            <w:tcW w:w="540" w:type="dxa"/>
            <w:vAlign w:val="bottom"/>
            <w:tcBorders>
              <w:bottom w:val="single" w:sz="8" w:color="E2E0DE"/>
            </w:tcBorders>
            <w:shd w:val="clear" w:color="auto" w:fill="E2E0DE"/>
          </w:tcPr>
          <w:p>
            <w:pPr>
              <w:ind w:left="1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2E0DE"/>
            </w:tcBorders>
            <w:shd w:val="clear" w:color="auto" w:fill="E2E0DE"/>
          </w:tcPr>
          <w:p>
            <w:pPr>
              <w:jc w:val="right"/>
              <w:ind w:right="91"/>
              <w:spacing w:after="0"/>
              <w:rPr>
                <w:sz w:val="20"/>
                <w:szCs w:val="20"/>
                <w:color w:val="auto"/>
              </w:rPr>
            </w:pPr>
            <w:r>
              <w:rPr>
                <w:rFonts w:ascii="Arial" w:cs="Arial" w:eastAsia="Arial" w:hAnsi="Arial"/>
                <w:sz w:val="14"/>
                <w:szCs w:val="14"/>
                <w:color w:val="auto"/>
              </w:rPr>
              <w:t>104,667</w:t>
            </w:r>
          </w:p>
        </w:tc>
        <w:tc>
          <w:tcPr>
            <w:tcW w:w="340" w:type="dxa"/>
            <w:vAlign w:val="bottom"/>
            <w:tcBorders>
              <w:bottom w:val="single" w:sz="8" w:color="E2E0DE"/>
            </w:tcBorders>
            <w:shd w:val="clear" w:color="auto" w:fill="E2E0DE"/>
          </w:tcPr>
          <w:p>
            <w:pPr>
              <w:ind w:left="18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2E0DE"/>
            </w:tcBorders>
            <w:shd w:val="clear" w:color="auto" w:fill="E2E0DE"/>
          </w:tcPr>
          <w:p>
            <w:pPr>
              <w:jc w:val="right"/>
              <w:ind w:right="132"/>
              <w:spacing w:after="0"/>
              <w:rPr>
                <w:sz w:val="20"/>
                <w:szCs w:val="20"/>
                <w:color w:val="auto"/>
              </w:rPr>
            </w:pPr>
            <w:r>
              <w:rPr>
                <w:rFonts w:ascii="Arial" w:cs="Arial" w:eastAsia="Arial" w:hAnsi="Arial"/>
                <w:sz w:val="14"/>
                <w:szCs w:val="14"/>
                <w:color w:val="auto"/>
              </w:rPr>
              <w:t>249,989</w:t>
            </w:r>
          </w:p>
        </w:tc>
        <w:tc>
          <w:tcPr>
            <w:tcW w:w="360" w:type="dxa"/>
            <w:vAlign w:val="bottom"/>
            <w:tcBorders>
              <w:bottom w:val="single" w:sz="8" w:color="E2E0DE"/>
            </w:tcBorders>
            <w:shd w:val="clear" w:color="auto" w:fill="E2E0DE"/>
          </w:tcPr>
          <w:p>
            <w:pPr>
              <w:ind w:left="1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E2E0DE"/>
            </w:tcBorders>
            <w:shd w:val="clear" w:color="auto" w:fill="E2E0DE"/>
          </w:tcPr>
          <w:p>
            <w:pPr>
              <w:jc w:val="right"/>
              <w:ind w:right="11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2E0DE"/>
            </w:tcBorders>
            <w:shd w:val="clear" w:color="auto" w:fill="E2E0DE"/>
          </w:tcPr>
          <w:p>
            <w:pPr>
              <w:ind w:left="1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E2E0DE"/>
            </w:tcBorders>
            <w:shd w:val="clear" w:color="auto" w:fill="E2E0DE"/>
          </w:tcPr>
          <w:p>
            <w:pPr>
              <w:jc w:val="right"/>
              <w:ind w:right="114"/>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2E0DE"/>
            </w:tcBorders>
            <w:shd w:val="clear" w:color="auto" w:fill="E2E0DE"/>
          </w:tcPr>
          <w:p>
            <w:pPr>
              <w:ind w:left="180"/>
              <w:spacing w:after="0"/>
              <w:rPr>
                <w:sz w:val="20"/>
                <w:szCs w:val="20"/>
                <w:color w:val="auto"/>
              </w:rPr>
            </w:pPr>
            <w:r>
              <w:rPr>
                <w:rFonts w:ascii="Arial" w:cs="Arial" w:eastAsia="Arial" w:hAnsi="Arial"/>
                <w:sz w:val="14"/>
                <w:szCs w:val="14"/>
                <w:color w:val="auto"/>
              </w:rPr>
              <w:t>$354,656</w:t>
            </w:r>
          </w:p>
        </w:tc>
        <w:tc>
          <w:tcPr>
            <w:tcW w:w="0" w:type="dxa"/>
            <w:vAlign w:val="bottom"/>
          </w:tcPr>
          <w:p>
            <w:pPr>
              <w:spacing w:after="0"/>
              <w:rPr>
                <w:sz w:val="1"/>
                <w:szCs w:val="1"/>
                <w:color w:val="auto"/>
              </w:rPr>
            </w:pPr>
          </w:p>
        </w:tc>
      </w:tr>
      <w:tr>
        <w:trPr>
          <w:trHeight w:val="235"/>
        </w:trPr>
        <w:tc>
          <w:tcPr>
            <w:tcW w:w="4740" w:type="dxa"/>
            <w:vAlign w:val="bottom"/>
          </w:tcPr>
          <w:p>
            <w:pPr>
              <w:ind w:left="60"/>
              <w:spacing w:after="0"/>
              <w:rPr>
                <w:sz w:val="20"/>
                <w:szCs w:val="20"/>
                <w:color w:val="auto"/>
              </w:rPr>
            </w:pPr>
            <w:r>
              <w:rPr>
                <w:rFonts w:ascii="Arial" w:cs="Arial" w:eastAsia="Arial" w:hAnsi="Arial"/>
                <w:sz w:val="14"/>
                <w:szCs w:val="14"/>
                <w:color w:val="auto"/>
              </w:rPr>
              <w:t>Philip G. Satre</w:t>
            </w:r>
          </w:p>
        </w:tc>
        <w:tc>
          <w:tcPr>
            <w:tcW w:w="540" w:type="dxa"/>
            <w:vAlign w:val="bottom"/>
          </w:tcPr>
          <w:p>
            <w:pPr>
              <w:ind w:lef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279,666</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249,977</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00" w:type="dxa"/>
            <w:vAlign w:val="bottom"/>
          </w:tcPr>
          <w:p>
            <w:pPr>
              <w:ind w:lef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4"/>
              <w:spacing w:after="0"/>
              <w:rPr>
                <w:sz w:val="20"/>
                <w:szCs w:val="20"/>
                <w:color w:val="auto"/>
              </w:rPr>
            </w:pPr>
            <w:r>
              <w:rPr>
                <w:rFonts w:ascii="Arial" w:cs="Arial" w:eastAsia="Arial" w:hAnsi="Arial"/>
                <w:sz w:val="14"/>
                <w:szCs w:val="14"/>
                <w:color w:val="auto"/>
              </w:rPr>
              <w:t>-</w:t>
            </w:r>
          </w:p>
        </w:tc>
        <w:tc>
          <w:tcPr>
            <w:tcW w:w="940" w:type="dxa"/>
            <w:vAlign w:val="bottom"/>
          </w:tcPr>
          <w:p>
            <w:pPr>
              <w:ind w:left="180"/>
              <w:spacing w:after="0"/>
              <w:rPr>
                <w:sz w:val="20"/>
                <w:szCs w:val="20"/>
                <w:color w:val="auto"/>
              </w:rPr>
            </w:pPr>
            <w:r>
              <w:rPr>
                <w:rFonts w:ascii="Arial" w:cs="Arial" w:eastAsia="Arial" w:hAnsi="Arial"/>
                <w:sz w:val="14"/>
                <w:szCs w:val="14"/>
                <w:color w:val="auto"/>
              </w:rPr>
              <w:t>$529,643</w:t>
            </w:r>
          </w:p>
        </w:tc>
        <w:tc>
          <w:tcPr>
            <w:tcW w:w="0" w:type="dxa"/>
            <w:vAlign w:val="bottom"/>
          </w:tcPr>
          <w:p>
            <w:pPr>
              <w:spacing w:after="0"/>
              <w:rPr>
                <w:sz w:val="1"/>
                <w:szCs w:val="1"/>
                <w:color w:val="auto"/>
              </w:rPr>
            </w:pPr>
          </w:p>
        </w:tc>
      </w:tr>
      <w:tr>
        <w:trPr>
          <w:trHeight w:val="51"/>
        </w:trPr>
        <w:tc>
          <w:tcPr>
            <w:tcW w:w="4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4740" w:type="dxa"/>
            <w:vAlign w:val="bottom"/>
            <w:tcBorders>
              <w:bottom w:val="single" w:sz="8" w:color="E2E0DE"/>
            </w:tcBorders>
            <w:shd w:val="clear" w:color="auto" w:fill="E2E0DE"/>
          </w:tcPr>
          <w:p>
            <w:pPr>
              <w:ind w:left="60"/>
              <w:spacing w:after="0"/>
              <w:rPr>
                <w:sz w:val="20"/>
                <w:szCs w:val="20"/>
                <w:color w:val="auto"/>
              </w:rPr>
            </w:pPr>
            <w:r>
              <w:rPr>
                <w:rFonts w:ascii="Arial" w:cs="Arial" w:eastAsia="Arial" w:hAnsi="Arial"/>
                <w:sz w:val="14"/>
                <w:szCs w:val="14"/>
                <w:color w:val="auto"/>
              </w:rPr>
              <w:t>Darnell O. Strom</w:t>
            </w:r>
          </w:p>
        </w:tc>
        <w:tc>
          <w:tcPr>
            <w:tcW w:w="540" w:type="dxa"/>
            <w:vAlign w:val="bottom"/>
            <w:tcBorders>
              <w:bottom w:val="single" w:sz="8" w:color="E2E0DE"/>
            </w:tcBorders>
            <w:shd w:val="clear" w:color="auto" w:fill="E2E0DE"/>
          </w:tcPr>
          <w:p>
            <w:pPr>
              <w:ind w:left="1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2E0DE"/>
            </w:tcBorders>
            <w:shd w:val="clear" w:color="auto" w:fill="E2E0DE"/>
          </w:tcPr>
          <w:p>
            <w:pPr>
              <w:jc w:val="right"/>
              <w:ind w:right="91"/>
              <w:spacing w:after="0"/>
              <w:rPr>
                <w:sz w:val="20"/>
                <w:szCs w:val="20"/>
                <w:color w:val="auto"/>
              </w:rPr>
            </w:pPr>
            <w:r>
              <w:rPr>
                <w:rFonts w:ascii="Arial" w:cs="Arial" w:eastAsia="Arial" w:hAnsi="Arial"/>
                <w:sz w:val="14"/>
                <w:szCs w:val="14"/>
                <w:color w:val="auto"/>
              </w:rPr>
              <w:t>122,667</w:t>
            </w:r>
          </w:p>
        </w:tc>
        <w:tc>
          <w:tcPr>
            <w:tcW w:w="340" w:type="dxa"/>
            <w:vAlign w:val="bottom"/>
            <w:tcBorders>
              <w:bottom w:val="single" w:sz="8" w:color="E2E0DE"/>
            </w:tcBorders>
            <w:shd w:val="clear" w:color="auto" w:fill="E2E0DE"/>
          </w:tcPr>
          <w:p>
            <w:pPr>
              <w:ind w:left="18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2E0DE"/>
            </w:tcBorders>
            <w:shd w:val="clear" w:color="auto" w:fill="E2E0DE"/>
          </w:tcPr>
          <w:p>
            <w:pPr>
              <w:jc w:val="right"/>
              <w:ind w:right="132"/>
              <w:spacing w:after="0"/>
              <w:rPr>
                <w:sz w:val="20"/>
                <w:szCs w:val="20"/>
                <w:color w:val="auto"/>
              </w:rPr>
            </w:pPr>
            <w:r>
              <w:rPr>
                <w:rFonts w:ascii="Arial" w:cs="Arial" w:eastAsia="Arial" w:hAnsi="Arial"/>
                <w:sz w:val="14"/>
                <w:szCs w:val="14"/>
                <w:color w:val="auto"/>
              </w:rPr>
              <w:t>250,003</w:t>
            </w:r>
          </w:p>
        </w:tc>
        <w:tc>
          <w:tcPr>
            <w:tcW w:w="360" w:type="dxa"/>
            <w:vAlign w:val="bottom"/>
            <w:tcBorders>
              <w:bottom w:val="single" w:sz="8" w:color="E2E0DE"/>
            </w:tcBorders>
            <w:shd w:val="clear" w:color="auto" w:fill="E2E0DE"/>
          </w:tcPr>
          <w:p>
            <w:pPr>
              <w:ind w:left="1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E2E0DE"/>
            </w:tcBorders>
            <w:shd w:val="clear" w:color="auto" w:fill="E2E0DE"/>
          </w:tcPr>
          <w:p>
            <w:pPr>
              <w:jc w:val="right"/>
              <w:ind w:right="11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2E0DE"/>
            </w:tcBorders>
            <w:shd w:val="clear" w:color="auto" w:fill="E2E0DE"/>
          </w:tcPr>
          <w:p>
            <w:pPr>
              <w:ind w:left="1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E2E0DE"/>
            </w:tcBorders>
            <w:shd w:val="clear" w:color="auto" w:fill="E2E0DE"/>
          </w:tcPr>
          <w:p>
            <w:pPr>
              <w:jc w:val="right"/>
              <w:ind w:right="114"/>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2E0DE"/>
            </w:tcBorders>
            <w:shd w:val="clear" w:color="auto" w:fill="E2E0DE"/>
          </w:tcPr>
          <w:p>
            <w:pPr>
              <w:ind w:left="180"/>
              <w:spacing w:after="0"/>
              <w:rPr>
                <w:sz w:val="20"/>
                <w:szCs w:val="20"/>
                <w:color w:val="auto"/>
              </w:rPr>
            </w:pPr>
            <w:r>
              <w:rPr>
                <w:rFonts w:ascii="Arial" w:cs="Arial" w:eastAsia="Arial" w:hAnsi="Arial"/>
                <w:sz w:val="14"/>
                <w:szCs w:val="14"/>
                <w:color w:val="auto"/>
              </w:rPr>
              <w:t>$372,670</w:t>
            </w:r>
          </w:p>
        </w:tc>
        <w:tc>
          <w:tcPr>
            <w:tcW w:w="0" w:type="dxa"/>
            <w:vAlign w:val="bottom"/>
          </w:tcPr>
          <w:p>
            <w:pPr>
              <w:spacing w:after="0"/>
              <w:rPr>
                <w:sz w:val="1"/>
                <w:szCs w:val="1"/>
                <w:color w:val="auto"/>
              </w:rPr>
            </w:pPr>
          </w:p>
        </w:tc>
      </w:tr>
      <w:tr>
        <w:trPr>
          <w:trHeight w:val="235"/>
        </w:trPr>
        <w:tc>
          <w:tcPr>
            <w:tcW w:w="4740" w:type="dxa"/>
            <w:vAlign w:val="bottom"/>
          </w:tcPr>
          <w:p>
            <w:pPr>
              <w:ind w:left="60"/>
              <w:spacing w:after="0"/>
              <w:rPr>
                <w:sz w:val="20"/>
                <w:szCs w:val="20"/>
                <w:color w:val="auto"/>
              </w:rPr>
            </w:pPr>
            <w:r>
              <w:rPr>
                <w:rFonts w:ascii="Arial" w:cs="Arial" w:eastAsia="Arial" w:hAnsi="Arial"/>
                <w:sz w:val="14"/>
                <w:szCs w:val="14"/>
                <w:color w:val="auto"/>
              </w:rPr>
              <w:t>Winifred M. Webb</w:t>
            </w:r>
          </w:p>
        </w:tc>
        <w:tc>
          <w:tcPr>
            <w:tcW w:w="540" w:type="dxa"/>
            <w:vAlign w:val="bottom"/>
          </w:tcPr>
          <w:p>
            <w:pPr>
              <w:ind w:lef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1"/>
              <w:spacing w:after="0"/>
              <w:rPr>
                <w:sz w:val="20"/>
                <w:szCs w:val="20"/>
                <w:color w:val="auto"/>
              </w:rPr>
            </w:pPr>
            <w:r>
              <w:rPr>
                <w:rFonts w:ascii="Arial" w:cs="Arial" w:eastAsia="Arial" w:hAnsi="Arial"/>
                <w:sz w:val="14"/>
                <w:szCs w:val="14"/>
                <w:color w:val="auto"/>
              </w:rPr>
              <w:t>144,667</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250,013</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00" w:type="dxa"/>
            <w:vAlign w:val="bottom"/>
          </w:tcPr>
          <w:p>
            <w:pPr>
              <w:ind w:lef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4"/>
              <w:spacing w:after="0"/>
              <w:rPr>
                <w:sz w:val="20"/>
                <w:szCs w:val="20"/>
                <w:color w:val="auto"/>
              </w:rPr>
            </w:pPr>
            <w:r>
              <w:rPr>
                <w:rFonts w:ascii="Arial" w:cs="Arial" w:eastAsia="Arial" w:hAnsi="Arial"/>
                <w:sz w:val="14"/>
                <w:szCs w:val="14"/>
                <w:color w:val="auto"/>
              </w:rPr>
              <w:t>-</w:t>
            </w:r>
          </w:p>
        </w:tc>
        <w:tc>
          <w:tcPr>
            <w:tcW w:w="940" w:type="dxa"/>
            <w:vAlign w:val="bottom"/>
          </w:tcPr>
          <w:p>
            <w:pPr>
              <w:ind w:left="180"/>
              <w:spacing w:after="0"/>
              <w:rPr>
                <w:sz w:val="20"/>
                <w:szCs w:val="20"/>
                <w:color w:val="auto"/>
              </w:rPr>
            </w:pPr>
            <w:r>
              <w:rPr>
                <w:rFonts w:ascii="Arial" w:cs="Arial" w:eastAsia="Arial" w:hAnsi="Arial"/>
                <w:sz w:val="14"/>
                <w:szCs w:val="14"/>
                <w:color w:val="auto"/>
              </w:rPr>
              <w:t>$394,680</w:t>
            </w:r>
          </w:p>
        </w:tc>
        <w:tc>
          <w:tcPr>
            <w:tcW w:w="0" w:type="dxa"/>
            <w:vAlign w:val="bottom"/>
          </w:tcPr>
          <w:p>
            <w:pPr>
              <w:spacing w:after="0"/>
              <w:rPr>
                <w:sz w:val="1"/>
                <w:szCs w:val="1"/>
                <w:color w:val="auto"/>
              </w:rPr>
            </w:pPr>
          </w:p>
        </w:tc>
      </w:tr>
      <w:tr>
        <w:trPr>
          <w:trHeight w:val="51"/>
        </w:trPr>
        <w:tc>
          <w:tcPr>
            <w:tcW w:w="4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4740" w:type="dxa"/>
            <w:vAlign w:val="bottom"/>
            <w:shd w:val="clear" w:color="auto" w:fill="E2E0DE"/>
          </w:tcPr>
          <w:p>
            <w:pPr>
              <w:ind w:left="60"/>
              <w:spacing w:after="0"/>
              <w:rPr>
                <w:sz w:val="20"/>
                <w:szCs w:val="20"/>
                <w:color w:val="auto"/>
              </w:rPr>
            </w:pPr>
            <w:r>
              <w:rPr>
                <w:rFonts w:ascii="Arial" w:cs="Arial" w:eastAsia="Arial" w:hAnsi="Arial"/>
                <w:sz w:val="14"/>
                <w:szCs w:val="14"/>
                <w:color w:val="auto"/>
              </w:rPr>
              <w:t>Jay L. Johnson (4)</w:t>
            </w:r>
          </w:p>
        </w:tc>
        <w:tc>
          <w:tcPr>
            <w:tcW w:w="540" w:type="dxa"/>
            <w:vAlign w:val="bottom"/>
            <w:shd w:val="clear" w:color="auto" w:fill="E2E0DE"/>
          </w:tcPr>
          <w:p>
            <w:pPr>
              <w:ind w:lef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E2E0DE"/>
          </w:tcPr>
          <w:p>
            <w:pPr>
              <w:jc w:val="right"/>
              <w:ind w:right="91"/>
              <w:spacing w:after="0"/>
              <w:rPr>
                <w:sz w:val="20"/>
                <w:szCs w:val="20"/>
                <w:color w:val="auto"/>
              </w:rPr>
            </w:pPr>
            <w:r>
              <w:rPr>
                <w:rFonts w:ascii="Arial" w:cs="Arial" w:eastAsia="Arial" w:hAnsi="Arial"/>
                <w:sz w:val="14"/>
                <w:szCs w:val="14"/>
                <w:color w:val="auto"/>
              </w:rPr>
              <w:t>42,000</w:t>
            </w:r>
          </w:p>
        </w:tc>
        <w:tc>
          <w:tcPr>
            <w:tcW w:w="340" w:type="dxa"/>
            <w:vAlign w:val="bottom"/>
            <w:shd w:val="clear" w:color="auto" w:fill="E2E0DE"/>
          </w:tcPr>
          <w:p>
            <w:pPr>
              <w:ind w:lef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E2E0DE"/>
          </w:tcPr>
          <w:p>
            <w:pPr>
              <w:jc w:val="right"/>
              <w:ind w:right="92"/>
              <w:spacing w:after="0"/>
              <w:rPr>
                <w:sz w:val="20"/>
                <w:szCs w:val="20"/>
                <w:color w:val="auto"/>
              </w:rPr>
            </w:pPr>
            <w:r>
              <w:rPr>
                <w:rFonts w:ascii="Arial" w:cs="Arial" w:eastAsia="Arial" w:hAnsi="Arial"/>
                <w:sz w:val="14"/>
                <w:szCs w:val="14"/>
                <w:color w:val="auto"/>
              </w:rPr>
              <w:t>(81,910)</w:t>
            </w:r>
          </w:p>
        </w:tc>
        <w:tc>
          <w:tcPr>
            <w:tcW w:w="360" w:type="dxa"/>
            <w:vAlign w:val="bottom"/>
            <w:shd w:val="clear" w:color="auto" w:fill="E2E0DE"/>
          </w:tcPr>
          <w:p>
            <w:pPr>
              <w:ind w:lef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E2E0DE"/>
          </w:tcPr>
          <w:p>
            <w:pPr>
              <w:jc w:val="right"/>
              <w:ind w:right="112"/>
              <w:spacing w:after="0"/>
              <w:rPr>
                <w:sz w:val="20"/>
                <w:szCs w:val="20"/>
                <w:color w:val="auto"/>
              </w:rPr>
            </w:pPr>
            <w:r>
              <w:rPr>
                <w:rFonts w:ascii="Arial" w:cs="Arial" w:eastAsia="Arial" w:hAnsi="Arial"/>
                <w:sz w:val="14"/>
                <w:szCs w:val="14"/>
                <w:color w:val="auto"/>
              </w:rPr>
              <w:t>-</w:t>
            </w:r>
          </w:p>
        </w:tc>
        <w:tc>
          <w:tcPr>
            <w:tcW w:w="700" w:type="dxa"/>
            <w:vAlign w:val="bottom"/>
            <w:shd w:val="clear" w:color="auto" w:fill="E2E0DE"/>
          </w:tcPr>
          <w:p>
            <w:pPr>
              <w:ind w:lef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E2E0DE"/>
          </w:tcPr>
          <w:p>
            <w:pPr>
              <w:jc w:val="right"/>
              <w:ind w:right="114"/>
              <w:spacing w:after="0"/>
              <w:rPr>
                <w:sz w:val="20"/>
                <w:szCs w:val="20"/>
                <w:color w:val="auto"/>
              </w:rPr>
            </w:pPr>
            <w:r>
              <w:rPr>
                <w:rFonts w:ascii="Arial" w:cs="Arial" w:eastAsia="Arial" w:hAnsi="Arial"/>
                <w:sz w:val="14"/>
                <w:szCs w:val="14"/>
                <w:color w:val="auto"/>
              </w:rPr>
              <w:t>-</w:t>
            </w:r>
          </w:p>
        </w:tc>
        <w:tc>
          <w:tcPr>
            <w:tcW w:w="940" w:type="dxa"/>
            <w:vAlign w:val="bottom"/>
            <w:shd w:val="clear" w:color="auto" w:fill="E2E0DE"/>
          </w:tcPr>
          <w:p>
            <w:pPr>
              <w:ind w:left="180"/>
              <w:spacing w:after="0"/>
              <w:rPr>
                <w:sz w:val="20"/>
                <w:szCs w:val="20"/>
                <w:color w:val="auto"/>
              </w:rPr>
            </w:pPr>
            <w:r>
              <w:rPr>
                <w:rFonts w:ascii="Arial" w:cs="Arial" w:eastAsia="Arial" w:hAnsi="Arial"/>
                <w:sz w:val="14"/>
                <w:szCs w:val="14"/>
                <w:color w:val="auto"/>
              </w:rPr>
              <w:t>$ (39,910)</w:t>
            </w:r>
          </w:p>
        </w:tc>
        <w:tc>
          <w:tcPr>
            <w:tcW w:w="0" w:type="dxa"/>
            <w:vAlign w:val="bottom"/>
          </w:tcPr>
          <w:p>
            <w:pPr>
              <w:spacing w:after="0"/>
              <w:rPr>
                <w:sz w:val="1"/>
                <w:szCs w:val="1"/>
                <w:color w:val="auto"/>
              </w:rPr>
            </w:pPr>
          </w:p>
        </w:tc>
      </w:tr>
      <w:tr>
        <w:trPr>
          <w:trHeight w:val="51"/>
        </w:trPr>
        <w:tc>
          <w:tcPr>
            <w:tcW w:w="4740" w:type="dxa"/>
            <w:vAlign w:val="bottom"/>
            <w:shd w:val="clear" w:color="auto" w:fill="E2E0DE"/>
          </w:tcPr>
          <w:p>
            <w:pPr>
              <w:spacing w:after="0"/>
              <w:rPr>
                <w:sz w:val="4"/>
                <w:szCs w:val="4"/>
                <w:color w:val="auto"/>
              </w:rPr>
            </w:pPr>
          </w:p>
        </w:tc>
        <w:tc>
          <w:tcPr>
            <w:tcW w:w="540" w:type="dxa"/>
            <w:vAlign w:val="bottom"/>
            <w:shd w:val="clear" w:color="auto" w:fill="E2E0DE"/>
          </w:tcPr>
          <w:p>
            <w:pPr>
              <w:spacing w:after="0"/>
              <w:rPr>
                <w:sz w:val="4"/>
                <w:szCs w:val="4"/>
                <w:color w:val="auto"/>
              </w:rPr>
            </w:pPr>
          </w:p>
        </w:tc>
        <w:tc>
          <w:tcPr>
            <w:tcW w:w="960" w:type="dxa"/>
            <w:vAlign w:val="bottom"/>
            <w:shd w:val="clear" w:color="auto" w:fill="E2E0DE"/>
          </w:tcPr>
          <w:p>
            <w:pPr>
              <w:spacing w:after="0"/>
              <w:rPr>
                <w:sz w:val="4"/>
                <w:szCs w:val="4"/>
                <w:color w:val="auto"/>
              </w:rPr>
            </w:pPr>
          </w:p>
        </w:tc>
        <w:tc>
          <w:tcPr>
            <w:tcW w:w="340" w:type="dxa"/>
            <w:vAlign w:val="bottom"/>
            <w:shd w:val="clear" w:color="auto" w:fill="E2E0DE"/>
          </w:tcPr>
          <w:p>
            <w:pPr>
              <w:spacing w:after="0"/>
              <w:rPr>
                <w:sz w:val="4"/>
                <w:szCs w:val="4"/>
                <w:color w:val="auto"/>
              </w:rPr>
            </w:pPr>
          </w:p>
        </w:tc>
        <w:tc>
          <w:tcPr>
            <w:tcW w:w="900" w:type="dxa"/>
            <w:vAlign w:val="bottom"/>
            <w:shd w:val="clear" w:color="auto" w:fill="E2E0DE"/>
          </w:tcPr>
          <w:p>
            <w:pPr>
              <w:spacing w:after="0"/>
              <w:rPr>
                <w:sz w:val="4"/>
                <w:szCs w:val="4"/>
                <w:color w:val="auto"/>
              </w:rPr>
            </w:pPr>
          </w:p>
        </w:tc>
        <w:tc>
          <w:tcPr>
            <w:tcW w:w="360" w:type="dxa"/>
            <w:vAlign w:val="bottom"/>
            <w:shd w:val="clear" w:color="auto" w:fill="E2E0DE"/>
          </w:tcPr>
          <w:p>
            <w:pPr>
              <w:spacing w:after="0"/>
              <w:rPr>
                <w:sz w:val="4"/>
                <w:szCs w:val="4"/>
                <w:color w:val="auto"/>
              </w:rPr>
            </w:pPr>
          </w:p>
        </w:tc>
        <w:tc>
          <w:tcPr>
            <w:tcW w:w="500" w:type="dxa"/>
            <w:vAlign w:val="bottom"/>
            <w:shd w:val="clear" w:color="auto" w:fill="E2E0DE"/>
          </w:tcPr>
          <w:p>
            <w:pPr>
              <w:spacing w:after="0"/>
              <w:rPr>
                <w:sz w:val="4"/>
                <w:szCs w:val="4"/>
                <w:color w:val="auto"/>
              </w:rPr>
            </w:pPr>
          </w:p>
        </w:tc>
        <w:tc>
          <w:tcPr>
            <w:tcW w:w="700" w:type="dxa"/>
            <w:vAlign w:val="bottom"/>
            <w:shd w:val="clear" w:color="auto" w:fill="E2E0DE"/>
          </w:tcPr>
          <w:p>
            <w:pPr>
              <w:spacing w:after="0"/>
              <w:rPr>
                <w:sz w:val="4"/>
                <w:szCs w:val="4"/>
                <w:color w:val="auto"/>
              </w:rPr>
            </w:pPr>
          </w:p>
        </w:tc>
        <w:tc>
          <w:tcPr>
            <w:tcW w:w="640" w:type="dxa"/>
            <w:vAlign w:val="bottom"/>
            <w:shd w:val="clear" w:color="auto" w:fill="E2E0DE"/>
          </w:tcPr>
          <w:p>
            <w:pPr>
              <w:spacing w:after="0"/>
              <w:rPr>
                <w:sz w:val="4"/>
                <w:szCs w:val="4"/>
                <w:color w:val="auto"/>
              </w:rPr>
            </w:pPr>
          </w:p>
        </w:tc>
        <w:tc>
          <w:tcPr>
            <w:tcW w:w="940" w:type="dxa"/>
            <w:vAlign w:val="bottom"/>
            <w:shd w:val="clear" w:color="auto" w:fill="E2E0DE"/>
          </w:tcPr>
          <w:p>
            <w:pPr>
              <w:spacing w:after="0"/>
              <w:rPr>
                <w:sz w:val="4"/>
                <w:szCs w:val="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20" w:right="40" w:hanging="4"/>
        <w:spacing w:after="0" w:line="230" w:lineRule="auto"/>
        <w:tabs>
          <w:tab w:leader="none" w:pos="502"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amounts set forth in this column reflects each non-employee director’s total annual fees, inclusive of their respective total annual retainer fees. On May 11, 2022, as a measure to preserve liquidity due to the ongoing financial effects of pandemic related travel restrictions to and from Macau, Ms. Atkins, Ms. Webb, and Mr. Satre each elected to receive 100% of the remainder of their respective annual retainer fees in the form of a restricted stock award, and Mr. Strom elected to receive 33% of the remainder of his respective annual retainer fee in the form of a restricted stock award all of which vest on December 31, 2022. The full annual fees for each such non-employee director, including restricted stock granted in lieu of cash, are reflected above in the Fees Earned or Paid in Cash column, and such restricted stock components are computed in accordance with FASB ASC Topic 718, except for a de minimis incremental amount equal to $24, $(12), 14, and $24 for Ms. Atkins, Mr. Satre, Mr. Strom, and Ms. Webb, respectively, which is included in the “Stock Awards” column above. The number of shares each non-employee director was granted was determined based on each of their respective annual retainer fees for the remainder of 2022 and the closing stock price on May 11, 2022, which was $58.85.</w:t>
      </w:r>
    </w:p>
    <w:p>
      <w:pPr>
        <w:spacing w:after="0" w:line="89" w:lineRule="exact"/>
        <w:rPr>
          <w:rFonts w:ascii="Arial" w:cs="Arial" w:eastAsia="Arial" w:hAnsi="Arial"/>
          <w:sz w:val="12"/>
          <w:szCs w:val="12"/>
          <w:color w:val="auto"/>
        </w:rPr>
      </w:pPr>
    </w:p>
    <w:p>
      <w:pPr>
        <w:jc w:val="both"/>
        <w:ind w:left="320" w:right="160" w:hanging="4"/>
        <w:spacing w:after="0" w:line="233" w:lineRule="auto"/>
        <w:tabs>
          <w:tab w:leader="none" w:pos="502"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amounts set forth in this column reflect the aggregate grant date fair value of 3,474 restricted stock awards granted to each director on May 5, 2022, as computed in accordance with FASB ASC Topic 718, except for Mr. Johnson. The aggregate number of unvested stock awards held by each director at December 31, 2022, is as follows: Ms. Atkins, Mr. Byrne, Ms. Mulroy, Ms. Myers, Ambassador Randt, Mr. Satre and Ms. Webb, 3,916 each; and Mr. Strom, 3,474. The amount set forth in this column for Mr. Johnson includes the effect of the revaluing of his unvested award balances of 1,212 restricted stock at the time of the accelerated vesting of such awards in connection with his retirement from the Board.</w:t>
      </w:r>
    </w:p>
    <w:p>
      <w:pPr>
        <w:spacing w:after="0" w:line="88" w:lineRule="exact"/>
        <w:rPr>
          <w:rFonts w:ascii="Arial" w:cs="Arial" w:eastAsia="Arial" w:hAnsi="Arial"/>
          <w:sz w:val="12"/>
          <w:szCs w:val="12"/>
          <w:color w:val="auto"/>
        </w:rPr>
      </w:pPr>
    </w:p>
    <w:p>
      <w:pPr>
        <w:ind w:left="500" w:hanging="184"/>
        <w:spacing w:after="0"/>
        <w:tabs>
          <w:tab w:leader="none" w:pos="5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aggregate number of outstanding option awards held by each director at December 31, 2022, is as follows: Ambassador Randt 7,000 vested; and Ms. Mulroy 6,700 vested.</w:t>
      </w:r>
    </w:p>
    <w:p>
      <w:pPr>
        <w:spacing w:after="0" w:line="96" w:lineRule="exact"/>
        <w:rPr>
          <w:rFonts w:ascii="Arial" w:cs="Arial" w:eastAsia="Arial" w:hAnsi="Arial"/>
          <w:sz w:val="12"/>
          <w:szCs w:val="12"/>
          <w:color w:val="auto"/>
        </w:rPr>
      </w:pPr>
    </w:p>
    <w:p>
      <w:pPr>
        <w:ind w:left="500" w:hanging="184"/>
        <w:spacing w:after="0"/>
        <w:tabs>
          <w:tab w:leader="none" w:pos="5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Mr. Johnson retired from the board effective at the 2022 annual meeting on May 5, 2022.</w:t>
      </w:r>
    </w:p>
    <w:p>
      <w:pPr>
        <w:spacing w:after="0" w:line="8"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20 //</w:t>
      </w:r>
    </w:p>
    <w:p>
      <w:pPr>
        <w:sectPr>
          <w:pgSz w:w="11900" w:h="16838" w:orient="portrait"/>
          <w:cols w:equalWidth="0" w:num="1">
            <w:col w:w="10940"/>
          </w:cols>
          <w:pgMar w:left="320" w:top="473" w:right="63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224155</wp:posOffset>
            </wp:positionV>
            <wp:extent cx="6939280" cy="8921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39280" cy="8921750"/>
                    </a:xfrm>
                    <a:prstGeom prst="rect">
                      <a:avLst/>
                    </a:prstGeom>
                    <a:noFill/>
                  </pic:spPr>
                </pic:pic>
              </a:graphicData>
            </a:graphic>
          </wp:anchor>
        </w:drawing>
      </w:r>
    </w:p>
    <w:p>
      <w:pPr>
        <w:sectPr>
          <w:pgSz w:w="11900" w:h="16838" w:orient="portrait"/>
          <w:cols w:equalWidth="0" w:num="1">
            <w:col w:w="10139"/>
          </w:cols>
          <w:pgMar w:left="320" w:top="473" w:right="1440"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Our company</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02275B"/>
        </w:rPr>
        <w:t>WHO WE ARE</w:t>
      </w:r>
    </w:p>
    <w:p>
      <w:pPr>
        <w:spacing w:after="0" w:line="175" w:lineRule="exact"/>
        <w:rPr>
          <w:sz w:val="20"/>
          <w:szCs w:val="20"/>
          <w:color w:val="auto"/>
        </w:rPr>
      </w:pPr>
    </w:p>
    <w:p>
      <w:pPr>
        <w:ind w:left="320" w:right="480"/>
        <w:spacing w:after="0" w:line="247" w:lineRule="auto"/>
        <w:rPr>
          <w:sz w:val="20"/>
          <w:szCs w:val="20"/>
          <w:color w:val="auto"/>
        </w:rPr>
      </w:pPr>
      <w:r>
        <w:rPr>
          <w:rFonts w:ascii="Arial" w:cs="Arial" w:eastAsia="Arial" w:hAnsi="Arial"/>
          <w:sz w:val="17"/>
          <w:szCs w:val="17"/>
          <w:color w:val="auto"/>
        </w:rPr>
        <w:t>We are a US-based global company whose over 27,000 highly diverse employees in the United States and Macau provide the experiences that place all of our global entertainment properties at the top of the most respected rankings, which in turn, support our brand, our stability, and our ability to create value for all our stakeholders.</w:t>
      </w:r>
    </w:p>
    <w:p>
      <w:pPr>
        <w:spacing w:after="0" w:line="151" w:lineRule="exact"/>
        <w:rPr>
          <w:sz w:val="20"/>
          <w:szCs w:val="20"/>
          <w:color w:val="auto"/>
        </w:rPr>
      </w:pPr>
    </w:p>
    <w:p>
      <w:pPr>
        <w:ind w:left="320" w:right="80"/>
        <w:spacing w:after="0" w:line="256" w:lineRule="auto"/>
        <w:rPr>
          <w:sz w:val="20"/>
          <w:szCs w:val="20"/>
          <w:color w:val="auto"/>
        </w:rPr>
      </w:pPr>
      <w:r>
        <w:rPr>
          <w:rFonts w:ascii="Arial" w:cs="Arial" w:eastAsia="Arial" w:hAnsi="Arial"/>
          <w:sz w:val="17"/>
          <w:szCs w:val="17"/>
          <w:color w:val="auto"/>
        </w:rPr>
        <w:t>Although we are required by law to feature in this proxy statement the members of our Board of Directors and executive team, we want to tell you about all of us, because we are acutely aware that it is our five-star employees who create five-star experiences.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So here are some quick facts about us as a team:</w:t>
      </w:r>
    </w:p>
    <w:p>
      <w:pPr>
        <w:spacing w:after="0" w:line="208" w:lineRule="exact"/>
        <w:rPr>
          <w:sz w:val="20"/>
          <w:szCs w:val="20"/>
          <w:color w:val="auto"/>
        </w:rPr>
      </w:pPr>
    </w:p>
    <w:p>
      <w:pPr>
        <w:ind w:left="520" w:hanging="204"/>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provide approximately 22,000 full time jobs across all our properties.</w:t>
      </w:r>
    </w:p>
    <w:p>
      <w:pPr>
        <w:spacing w:after="0" w:line="207" w:lineRule="exact"/>
        <w:rPr>
          <w:rFonts w:ascii="Arial" w:cs="Arial" w:eastAsia="Arial" w:hAnsi="Arial"/>
          <w:sz w:val="17"/>
          <w:szCs w:val="17"/>
          <w:color w:val="auto"/>
        </w:rPr>
      </w:pPr>
    </w:p>
    <w:p>
      <w:pPr>
        <w:ind w:left="520" w:hanging="204"/>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100% of our full-time employee position come with benefits—many of them industry leading.</w:t>
      </w:r>
    </w:p>
    <w:p>
      <w:pPr>
        <w:spacing w:after="0" w:line="207" w:lineRule="exact"/>
        <w:rPr>
          <w:rFonts w:ascii="Arial" w:cs="Arial" w:eastAsia="Arial" w:hAnsi="Arial"/>
          <w:sz w:val="17"/>
          <w:szCs w:val="17"/>
          <w:color w:val="auto"/>
        </w:rPr>
      </w:pPr>
    </w:p>
    <w:p>
      <w:pPr>
        <w:ind w:left="520" w:hanging="204"/>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48% of our employees are diverse by gender.</w:t>
      </w:r>
    </w:p>
    <w:p>
      <w:pPr>
        <w:spacing w:after="0" w:line="207" w:lineRule="exact"/>
        <w:rPr>
          <w:rFonts w:ascii="Arial" w:cs="Arial" w:eastAsia="Arial" w:hAnsi="Arial"/>
          <w:sz w:val="17"/>
          <w:szCs w:val="17"/>
          <w:color w:val="auto"/>
        </w:rPr>
      </w:pPr>
    </w:p>
    <w:p>
      <w:pPr>
        <w:ind w:left="520" w:right="40" w:hanging="204"/>
        <w:spacing w:after="0" w:line="256"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retain our employees longer than our industry’s average. Approximately 16% of our Wynn Las Vegas employees have been with us since we opened that property in 2005.</w:t>
      </w:r>
    </w:p>
    <w:p>
      <w:pPr>
        <w:spacing w:after="0" w:line="142" w:lineRule="exact"/>
        <w:rPr>
          <w:sz w:val="20"/>
          <w:szCs w:val="20"/>
          <w:color w:val="auto"/>
        </w:rPr>
      </w:pPr>
    </w:p>
    <w:p>
      <w:pPr>
        <w:ind w:left="320" w:right="200"/>
        <w:spacing w:after="0" w:line="256" w:lineRule="auto"/>
        <w:rPr>
          <w:sz w:val="20"/>
          <w:szCs w:val="20"/>
          <w:color w:val="auto"/>
        </w:rPr>
      </w:pPr>
      <w:r>
        <w:rPr>
          <w:rFonts w:ascii="Arial" w:cs="Arial" w:eastAsia="Arial" w:hAnsi="Arial"/>
          <w:sz w:val="17"/>
          <w:szCs w:val="17"/>
          <w:color w:val="auto"/>
        </w:rPr>
        <w:t>We offer exclusive educational opportunities so our employees may advance their careers. We signal to employees how much we value internal opportunities by trying to promote from within wherever we can: that includes the promotion of our new CEO.</w:t>
      </w:r>
    </w:p>
    <w:p>
      <w:pPr>
        <w:spacing w:after="0" w:line="142" w:lineRule="exact"/>
        <w:rPr>
          <w:sz w:val="20"/>
          <w:szCs w:val="20"/>
          <w:color w:val="auto"/>
        </w:rPr>
      </w:pPr>
    </w:p>
    <w:p>
      <w:pPr>
        <w:ind w:left="320" w:right="40"/>
        <w:spacing w:after="0" w:line="242" w:lineRule="auto"/>
        <w:rPr>
          <w:sz w:val="20"/>
          <w:szCs w:val="20"/>
          <w:color w:val="auto"/>
        </w:rPr>
      </w:pPr>
      <w:r>
        <w:rPr>
          <w:rFonts w:ascii="Arial" w:cs="Arial" w:eastAsia="Arial" w:hAnsi="Arial"/>
          <w:sz w:val="17"/>
          <w:szCs w:val="17"/>
          <w:color w:val="auto"/>
        </w:rPr>
        <w:t>When we talk about who we are, we are not only thinking about our employees and executives—we touch lives more broadly than that. We seek opportunities to enrich our communities and advance responsible initiatives in several areas such as executing a comprehensive human trafficking prevention program with industry-leading partnerships and local organizations. We believe in hiring and training a local workforce to create strong and engaged communities surrounding our properties. We are recognized for building award-winning community volunteer and donation programs, including matching dollar-for-dollar charitable donations of up to $75,000 per employee, the highest match offered in the industry. We continuously expand diversity and inclusion programs across our operations, earning recognition as one of the top companies in our sector for doing so.</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02275B"/>
        </w:rPr>
        <w:t>HOW WE DO IT—OUR PEOPLE AND OUR PROPERITES</w:t>
      </w:r>
    </w:p>
    <w:p>
      <w:pPr>
        <w:spacing w:after="0" w:line="175" w:lineRule="exact"/>
        <w:rPr>
          <w:sz w:val="20"/>
          <w:szCs w:val="20"/>
          <w:color w:val="auto"/>
        </w:rPr>
      </w:pPr>
    </w:p>
    <w:p>
      <w:pPr>
        <w:ind w:left="320" w:right="280"/>
        <w:spacing w:after="0" w:line="243" w:lineRule="auto"/>
        <w:rPr>
          <w:sz w:val="20"/>
          <w:szCs w:val="20"/>
          <w:color w:val="auto"/>
        </w:rPr>
      </w:pPr>
      <w:r>
        <w:rPr>
          <w:rFonts w:ascii="Arial" w:cs="Arial" w:eastAsia="Arial" w:hAnsi="Arial"/>
          <w:sz w:val="17"/>
          <w:szCs w:val="17"/>
          <w:color w:val="auto"/>
        </w:rPr>
        <w:t>We purposefully speak first about our people- our employees are everyday creators of unforgettable experiences, which our customers return for. They are also the ones who identify, design, build, maintain, and create ‘magic’ at our resorts. These resorts allow us to demonstrate that “five-star” describes our ability to surprise and delight customers while respectfully stewarding our planet and driving financial efficiency for our investors. To that end, we have committed to three aggressive corporate sustainability goals that guide our company growth and address the global threat of climate change:</w:t>
      </w:r>
    </w:p>
    <w:p>
      <w:pPr>
        <w:spacing w:after="0" w:line="194" w:lineRule="exact"/>
        <w:rPr>
          <w:sz w:val="20"/>
          <w:szCs w:val="20"/>
          <w:color w:val="auto"/>
        </w:rPr>
      </w:pPr>
    </w:p>
    <w:p>
      <w:pPr>
        <w:ind w:left="520" w:hanging="204"/>
        <w:spacing w:after="0"/>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Net-Zero by 2050: To reduce or offset all carbon dioxide (CO2) produced by our operations no later than 2050.</w:t>
      </w:r>
    </w:p>
    <w:p>
      <w:pPr>
        <w:spacing w:after="0" w:line="207" w:lineRule="exact"/>
        <w:rPr>
          <w:rFonts w:ascii="Arial" w:cs="Arial" w:eastAsia="Arial" w:hAnsi="Arial"/>
          <w:sz w:val="17"/>
          <w:szCs w:val="17"/>
          <w:color w:val="auto"/>
        </w:rPr>
      </w:pPr>
    </w:p>
    <w:p>
      <w:pPr>
        <w:ind w:left="520" w:hanging="204"/>
        <w:spacing w:after="0"/>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CO2 Peak by 2030: To stop and reverse year-over-year growth of operational CO2 emissions by 2030.</w:t>
      </w:r>
    </w:p>
    <w:p>
      <w:pPr>
        <w:spacing w:after="0" w:line="207" w:lineRule="exact"/>
        <w:rPr>
          <w:rFonts w:ascii="Arial" w:cs="Arial" w:eastAsia="Arial" w:hAnsi="Arial"/>
          <w:sz w:val="17"/>
          <w:szCs w:val="17"/>
          <w:color w:val="auto"/>
        </w:rPr>
      </w:pPr>
    </w:p>
    <w:p>
      <w:pPr>
        <w:ind w:left="520" w:hanging="204"/>
        <w:spacing w:after="0"/>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50% Renewable Energy by 2030: To increase the renewable energy Wynn produces or procures to 50%+ of total consumption by 2030.</w:t>
      </w:r>
    </w:p>
    <w:p>
      <w:pPr>
        <w:spacing w:after="0" w:line="169" w:lineRule="exact"/>
        <w:rPr>
          <w:sz w:val="20"/>
          <w:szCs w:val="20"/>
          <w:color w:val="auto"/>
        </w:rPr>
      </w:pPr>
    </w:p>
    <w:p>
      <w:pPr>
        <w:jc w:val="both"/>
        <w:ind w:left="320" w:right="260"/>
        <w:spacing w:after="0" w:line="247" w:lineRule="auto"/>
        <w:rPr>
          <w:sz w:val="20"/>
          <w:szCs w:val="20"/>
          <w:color w:val="auto"/>
        </w:rPr>
      </w:pPr>
      <w:r>
        <w:rPr>
          <w:rFonts w:ascii="Arial" w:cs="Arial" w:eastAsia="Arial" w:hAnsi="Arial"/>
          <w:sz w:val="17"/>
          <w:szCs w:val="17"/>
          <w:color w:val="auto"/>
        </w:rPr>
        <w:t>To meet these goals, we have made significant investments in clean and renewable energy projects, expanded our integration of smart water technologies to reduce consumptive water use, developed zero-waste convention programs and continue to design and build our resorts to the best-in-class green building standards.</w:t>
      </w:r>
    </w:p>
    <w:p>
      <w:pPr>
        <w:spacing w:after="0" w:line="164" w:lineRule="exact"/>
        <w:rPr>
          <w:sz w:val="20"/>
          <w:szCs w:val="20"/>
          <w:color w:val="auto"/>
        </w:rPr>
      </w:pPr>
    </w:p>
    <w:p>
      <w:pPr>
        <w:ind w:left="320" w:right="820"/>
        <w:spacing w:after="0" w:line="248" w:lineRule="auto"/>
        <w:rPr>
          <w:sz w:val="20"/>
          <w:szCs w:val="20"/>
          <w:color w:val="auto"/>
        </w:rPr>
      </w:pPr>
      <w:r>
        <w:rPr>
          <w:rFonts w:ascii="Arial" w:cs="Arial" w:eastAsia="Arial" w:hAnsi="Arial"/>
          <w:sz w:val="17"/>
          <w:szCs w:val="17"/>
          <w:color w:val="auto"/>
        </w:rPr>
        <w:t>For more information on our environmental and social efforts see our annual Environmental, Social, and Governance Reports at http://wynnresponsibility.com</w:t>
      </w: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22 //</w:t>
      </w:r>
    </w:p>
    <w:p>
      <w:pPr>
        <w:sectPr>
          <w:pgSz w:w="11900" w:h="16838" w:orient="portrait"/>
          <w:cols w:equalWidth="0" w:num="1">
            <w:col w:w="10920"/>
          </w:cols>
          <w:pgMar w:left="320" w:top="473" w:right="65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02275B"/>
        </w:rPr>
        <w:t>EXECUTIVE OFFICERS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Executive Officers as of March 10, 2023, are:</w:t>
      </w:r>
    </w:p>
    <w:p>
      <w:pPr>
        <w:spacing w:after="0" w:line="209" w:lineRule="exact"/>
        <w:rPr>
          <w:sz w:val="20"/>
          <w:szCs w:val="20"/>
          <w:color w:val="auto"/>
        </w:rPr>
      </w:pPr>
    </w:p>
    <w:tbl>
      <w:tblPr>
        <w:tblLayout w:type="fixed"/>
        <w:tblInd w:w="320" w:type="dxa"/>
        <w:tblCellMar>
          <w:top w:w="0" w:type="dxa"/>
          <w:left w:w="0" w:type="dxa"/>
          <w:bottom w:w="0" w:type="dxa"/>
          <w:right w:w="0" w:type="dxa"/>
        </w:tblCellMar>
      </w:tblPr>
      <w:tr>
        <w:trPr>
          <w:trHeight w:val="300"/>
        </w:trPr>
        <w:tc>
          <w:tcPr>
            <w:tcW w:w="2140" w:type="dxa"/>
            <w:vAlign w:val="bottom"/>
            <w:tcBorders>
              <w:right w:val="single" w:sz="8" w:color="7F7F7F"/>
            </w:tcBorders>
          </w:tcPr>
          <w:p>
            <w:pPr>
              <w:ind w:left="60"/>
              <w:spacing w:after="0"/>
              <w:rPr>
                <w:sz w:val="20"/>
                <w:szCs w:val="20"/>
                <w:color w:val="auto"/>
              </w:rPr>
            </w:pPr>
            <w:r>
              <w:rPr>
                <w:rFonts w:ascii="Arial" w:cs="Arial" w:eastAsia="Arial" w:hAnsi="Arial"/>
                <w:sz w:val="14"/>
                <w:szCs w:val="14"/>
                <w:b w:val="1"/>
                <w:bCs w:val="1"/>
                <w:color w:val="02275B"/>
              </w:rPr>
              <w:t>NAME</w:t>
            </w:r>
          </w:p>
        </w:tc>
        <w:tc>
          <w:tcPr>
            <w:tcW w:w="860" w:type="dxa"/>
            <w:vAlign w:val="bottom"/>
            <w:tcBorders>
              <w:right w:val="single" w:sz="8" w:color="7F7F7F"/>
            </w:tcBorders>
          </w:tcPr>
          <w:p>
            <w:pPr>
              <w:jc w:val="center"/>
              <w:spacing w:after="0"/>
              <w:rPr>
                <w:sz w:val="20"/>
                <w:szCs w:val="20"/>
                <w:color w:val="auto"/>
              </w:rPr>
            </w:pPr>
            <w:r>
              <w:rPr>
                <w:rFonts w:ascii="Arial" w:cs="Arial" w:eastAsia="Arial" w:hAnsi="Arial"/>
                <w:sz w:val="14"/>
                <w:szCs w:val="14"/>
                <w:b w:val="1"/>
                <w:bCs w:val="1"/>
                <w:color w:val="02275B"/>
                <w:w w:val="98"/>
              </w:rPr>
              <w:t>AGE</w:t>
            </w:r>
          </w:p>
        </w:tc>
        <w:tc>
          <w:tcPr>
            <w:tcW w:w="7620" w:type="dxa"/>
            <w:vAlign w:val="bottom"/>
          </w:tcPr>
          <w:p>
            <w:pPr>
              <w:ind w:left="200"/>
              <w:spacing w:after="0"/>
              <w:rPr>
                <w:sz w:val="20"/>
                <w:szCs w:val="20"/>
                <w:color w:val="auto"/>
              </w:rPr>
            </w:pPr>
            <w:r>
              <w:rPr>
                <w:rFonts w:ascii="Arial" w:cs="Arial" w:eastAsia="Arial" w:hAnsi="Arial"/>
                <w:sz w:val="14"/>
                <w:szCs w:val="14"/>
                <w:b w:val="1"/>
                <w:bCs w:val="1"/>
                <w:color w:val="02275B"/>
              </w:rPr>
              <w:t>POSITION</w:t>
            </w:r>
          </w:p>
        </w:tc>
      </w:tr>
      <w:tr>
        <w:trPr>
          <w:trHeight w:val="116"/>
        </w:trPr>
        <w:tc>
          <w:tcPr>
            <w:tcW w:w="2140" w:type="dxa"/>
            <w:vAlign w:val="bottom"/>
            <w:tcBorders>
              <w:right w:val="single" w:sz="8" w:color="7F7F7F"/>
            </w:tcBorders>
          </w:tcPr>
          <w:p>
            <w:pPr>
              <w:spacing w:after="0"/>
              <w:rPr>
                <w:sz w:val="10"/>
                <w:szCs w:val="10"/>
                <w:color w:val="auto"/>
              </w:rPr>
            </w:pPr>
          </w:p>
        </w:tc>
        <w:tc>
          <w:tcPr>
            <w:tcW w:w="860" w:type="dxa"/>
            <w:vAlign w:val="bottom"/>
            <w:tcBorders>
              <w:right w:val="single" w:sz="8" w:color="7F7F7F"/>
            </w:tcBorders>
          </w:tcPr>
          <w:p>
            <w:pPr>
              <w:spacing w:after="0"/>
              <w:rPr>
                <w:sz w:val="10"/>
                <w:szCs w:val="10"/>
                <w:color w:val="auto"/>
              </w:rPr>
            </w:pPr>
          </w:p>
        </w:tc>
        <w:tc>
          <w:tcPr>
            <w:tcW w:w="7620" w:type="dxa"/>
            <w:vAlign w:val="bottom"/>
          </w:tcPr>
          <w:p>
            <w:pPr>
              <w:spacing w:after="0"/>
              <w:rPr>
                <w:sz w:val="10"/>
                <w:szCs w:val="10"/>
                <w:color w:val="auto"/>
              </w:rPr>
            </w:pPr>
          </w:p>
        </w:tc>
      </w:tr>
      <w:tr>
        <w:trPr>
          <w:trHeight w:val="300"/>
        </w:trPr>
        <w:tc>
          <w:tcPr>
            <w:tcW w:w="2140" w:type="dxa"/>
            <w:vAlign w:val="bottom"/>
            <w:tcBorders>
              <w:right w:val="single" w:sz="8" w:color="7F7F7F"/>
            </w:tcBorders>
            <w:shd w:val="clear" w:color="auto" w:fill="CCD3DE"/>
          </w:tcPr>
          <w:p>
            <w:pPr>
              <w:ind w:left="60"/>
              <w:spacing w:after="0"/>
              <w:rPr>
                <w:sz w:val="20"/>
                <w:szCs w:val="20"/>
                <w:color w:val="auto"/>
              </w:rPr>
            </w:pPr>
            <w:r>
              <w:rPr>
                <w:rFonts w:ascii="Arial" w:cs="Arial" w:eastAsia="Arial" w:hAnsi="Arial"/>
                <w:sz w:val="14"/>
                <w:szCs w:val="14"/>
                <w:color w:val="auto"/>
              </w:rPr>
              <w:t>Craig S. Billings</w:t>
            </w:r>
          </w:p>
        </w:tc>
        <w:tc>
          <w:tcPr>
            <w:tcW w:w="860" w:type="dxa"/>
            <w:vAlign w:val="bottom"/>
            <w:tcBorders>
              <w:right w:val="single" w:sz="8" w:color="7F7F7F"/>
            </w:tcBorders>
            <w:shd w:val="clear" w:color="auto" w:fill="CCD3DE"/>
          </w:tcPr>
          <w:p>
            <w:pPr>
              <w:jc w:val="center"/>
              <w:spacing w:after="0"/>
              <w:rPr>
                <w:sz w:val="20"/>
                <w:szCs w:val="20"/>
                <w:color w:val="auto"/>
              </w:rPr>
            </w:pPr>
            <w:r>
              <w:rPr>
                <w:rFonts w:ascii="Arial" w:cs="Arial" w:eastAsia="Arial" w:hAnsi="Arial"/>
                <w:sz w:val="14"/>
                <w:szCs w:val="14"/>
                <w:color w:val="auto"/>
              </w:rPr>
              <w:t>50</w:t>
            </w:r>
          </w:p>
        </w:tc>
        <w:tc>
          <w:tcPr>
            <w:tcW w:w="7620" w:type="dxa"/>
            <w:vAlign w:val="bottom"/>
            <w:shd w:val="clear" w:color="auto" w:fill="CCD3DE"/>
          </w:tcPr>
          <w:p>
            <w:pPr>
              <w:ind w:left="200"/>
              <w:spacing w:after="0"/>
              <w:rPr>
                <w:sz w:val="20"/>
                <w:szCs w:val="20"/>
                <w:color w:val="auto"/>
              </w:rPr>
            </w:pPr>
            <w:r>
              <w:rPr>
                <w:rFonts w:ascii="Arial" w:cs="Arial" w:eastAsia="Arial" w:hAnsi="Arial"/>
                <w:sz w:val="14"/>
                <w:szCs w:val="14"/>
                <w:color w:val="auto"/>
              </w:rPr>
              <w:t>Director and Chief Executive Officer</w:t>
            </w:r>
          </w:p>
        </w:tc>
      </w:tr>
      <w:tr>
        <w:trPr>
          <w:trHeight w:val="116"/>
        </w:trPr>
        <w:tc>
          <w:tcPr>
            <w:tcW w:w="2140" w:type="dxa"/>
            <w:vAlign w:val="bottom"/>
            <w:tcBorders>
              <w:right w:val="single" w:sz="8" w:color="7F7F7F"/>
            </w:tcBorders>
            <w:shd w:val="clear" w:color="auto" w:fill="CCD3DE"/>
          </w:tcPr>
          <w:p>
            <w:pPr>
              <w:spacing w:after="0"/>
              <w:rPr>
                <w:sz w:val="10"/>
                <w:szCs w:val="10"/>
                <w:color w:val="auto"/>
              </w:rPr>
            </w:pPr>
          </w:p>
        </w:tc>
        <w:tc>
          <w:tcPr>
            <w:tcW w:w="860" w:type="dxa"/>
            <w:vAlign w:val="bottom"/>
            <w:tcBorders>
              <w:right w:val="single" w:sz="8" w:color="7F7F7F"/>
            </w:tcBorders>
            <w:shd w:val="clear" w:color="auto" w:fill="CCD3DE"/>
          </w:tcPr>
          <w:p>
            <w:pPr>
              <w:spacing w:after="0"/>
              <w:rPr>
                <w:sz w:val="10"/>
                <w:szCs w:val="10"/>
                <w:color w:val="auto"/>
              </w:rPr>
            </w:pPr>
          </w:p>
        </w:tc>
        <w:tc>
          <w:tcPr>
            <w:tcW w:w="7620" w:type="dxa"/>
            <w:vAlign w:val="bottom"/>
            <w:shd w:val="clear" w:color="auto" w:fill="CCD3DE"/>
          </w:tcPr>
          <w:p>
            <w:pPr>
              <w:spacing w:after="0"/>
              <w:rPr>
                <w:sz w:val="10"/>
                <w:szCs w:val="10"/>
                <w:color w:val="auto"/>
              </w:rPr>
            </w:pPr>
          </w:p>
        </w:tc>
      </w:tr>
      <w:tr>
        <w:trPr>
          <w:trHeight w:val="300"/>
        </w:trPr>
        <w:tc>
          <w:tcPr>
            <w:tcW w:w="2140" w:type="dxa"/>
            <w:vAlign w:val="bottom"/>
            <w:tcBorders>
              <w:right w:val="single" w:sz="8" w:color="7F7F7F"/>
            </w:tcBorders>
          </w:tcPr>
          <w:p>
            <w:pPr>
              <w:ind w:left="60"/>
              <w:spacing w:after="0"/>
              <w:rPr>
                <w:sz w:val="20"/>
                <w:szCs w:val="20"/>
                <w:color w:val="auto"/>
              </w:rPr>
            </w:pPr>
            <w:r>
              <w:rPr>
                <w:rFonts w:ascii="Arial" w:cs="Arial" w:eastAsia="Arial" w:hAnsi="Arial"/>
                <w:sz w:val="14"/>
                <w:szCs w:val="14"/>
                <w:color w:val="auto"/>
              </w:rPr>
              <w:t>Julie Cameron-Doe</w:t>
            </w:r>
          </w:p>
        </w:tc>
        <w:tc>
          <w:tcPr>
            <w:tcW w:w="860" w:type="dxa"/>
            <w:vAlign w:val="bottom"/>
            <w:tcBorders>
              <w:right w:val="single" w:sz="8" w:color="7F7F7F"/>
            </w:tcBorders>
          </w:tcPr>
          <w:p>
            <w:pPr>
              <w:jc w:val="center"/>
              <w:spacing w:after="0"/>
              <w:rPr>
                <w:sz w:val="20"/>
                <w:szCs w:val="20"/>
                <w:color w:val="auto"/>
              </w:rPr>
            </w:pPr>
            <w:r>
              <w:rPr>
                <w:rFonts w:ascii="Arial" w:cs="Arial" w:eastAsia="Arial" w:hAnsi="Arial"/>
                <w:sz w:val="14"/>
                <w:szCs w:val="14"/>
                <w:color w:val="auto"/>
              </w:rPr>
              <w:t>53</w:t>
            </w:r>
          </w:p>
        </w:tc>
        <w:tc>
          <w:tcPr>
            <w:tcW w:w="7620" w:type="dxa"/>
            <w:vAlign w:val="bottom"/>
          </w:tcPr>
          <w:p>
            <w:pPr>
              <w:ind w:left="200"/>
              <w:spacing w:after="0"/>
              <w:rPr>
                <w:sz w:val="20"/>
                <w:szCs w:val="20"/>
                <w:color w:val="auto"/>
              </w:rPr>
            </w:pPr>
            <w:r>
              <w:rPr>
                <w:rFonts w:ascii="Arial" w:cs="Arial" w:eastAsia="Arial" w:hAnsi="Arial"/>
                <w:sz w:val="14"/>
                <w:szCs w:val="14"/>
                <w:color w:val="auto"/>
              </w:rPr>
              <w:t>Chief Financial Officer</w:t>
            </w:r>
          </w:p>
        </w:tc>
      </w:tr>
      <w:tr>
        <w:trPr>
          <w:trHeight w:val="116"/>
        </w:trPr>
        <w:tc>
          <w:tcPr>
            <w:tcW w:w="2140" w:type="dxa"/>
            <w:vAlign w:val="bottom"/>
            <w:tcBorders>
              <w:right w:val="single" w:sz="8" w:color="7F7F7F"/>
            </w:tcBorders>
          </w:tcPr>
          <w:p>
            <w:pPr>
              <w:spacing w:after="0"/>
              <w:rPr>
                <w:sz w:val="10"/>
                <w:szCs w:val="10"/>
                <w:color w:val="auto"/>
              </w:rPr>
            </w:pPr>
          </w:p>
        </w:tc>
        <w:tc>
          <w:tcPr>
            <w:tcW w:w="860" w:type="dxa"/>
            <w:vAlign w:val="bottom"/>
            <w:tcBorders>
              <w:right w:val="single" w:sz="8" w:color="7F7F7F"/>
            </w:tcBorders>
          </w:tcPr>
          <w:p>
            <w:pPr>
              <w:spacing w:after="0"/>
              <w:rPr>
                <w:sz w:val="10"/>
                <w:szCs w:val="10"/>
                <w:color w:val="auto"/>
              </w:rPr>
            </w:pPr>
          </w:p>
        </w:tc>
        <w:tc>
          <w:tcPr>
            <w:tcW w:w="7620" w:type="dxa"/>
            <w:vAlign w:val="bottom"/>
          </w:tcPr>
          <w:p>
            <w:pPr>
              <w:spacing w:after="0"/>
              <w:rPr>
                <w:sz w:val="10"/>
                <w:szCs w:val="10"/>
                <w:color w:val="auto"/>
              </w:rPr>
            </w:pPr>
          </w:p>
        </w:tc>
      </w:tr>
      <w:tr>
        <w:trPr>
          <w:trHeight w:val="300"/>
        </w:trPr>
        <w:tc>
          <w:tcPr>
            <w:tcW w:w="2140" w:type="dxa"/>
            <w:vAlign w:val="bottom"/>
            <w:tcBorders>
              <w:right w:val="single" w:sz="8" w:color="7F7F7F"/>
            </w:tcBorders>
            <w:shd w:val="clear" w:color="auto" w:fill="CCD3DE"/>
          </w:tcPr>
          <w:p>
            <w:pPr>
              <w:ind w:left="60"/>
              <w:spacing w:after="0"/>
              <w:rPr>
                <w:sz w:val="20"/>
                <w:szCs w:val="20"/>
                <w:color w:val="auto"/>
              </w:rPr>
            </w:pPr>
            <w:r>
              <w:rPr>
                <w:rFonts w:ascii="Arial" w:cs="Arial" w:eastAsia="Arial" w:hAnsi="Arial"/>
                <w:sz w:val="14"/>
                <w:szCs w:val="14"/>
                <w:color w:val="auto"/>
              </w:rPr>
              <w:t>Ellen F. Whittemore</w:t>
            </w:r>
          </w:p>
        </w:tc>
        <w:tc>
          <w:tcPr>
            <w:tcW w:w="860" w:type="dxa"/>
            <w:vAlign w:val="bottom"/>
            <w:tcBorders>
              <w:right w:val="single" w:sz="8" w:color="7F7F7F"/>
            </w:tcBorders>
            <w:shd w:val="clear" w:color="auto" w:fill="CCD3DE"/>
          </w:tcPr>
          <w:p>
            <w:pPr>
              <w:jc w:val="center"/>
              <w:spacing w:after="0"/>
              <w:rPr>
                <w:sz w:val="20"/>
                <w:szCs w:val="20"/>
                <w:color w:val="auto"/>
              </w:rPr>
            </w:pPr>
            <w:r>
              <w:rPr>
                <w:rFonts w:ascii="Arial" w:cs="Arial" w:eastAsia="Arial" w:hAnsi="Arial"/>
                <w:sz w:val="14"/>
                <w:szCs w:val="14"/>
                <w:color w:val="auto"/>
              </w:rPr>
              <w:t>66</w:t>
            </w:r>
          </w:p>
        </w:tc>
        <w:tc>
          <w:tcPr>
            <w:tcW w:w="7620" w:type="dxa"/>
            <w:vAlign w:val="bottom"/>
            <w:shd w:val="clear" w:color="auto" w:fill="CCD3DE"/>
          </w:tcPr>
          <w:p>
            <w:pPr>
              <w:ind w:left="200"/>
              <w:spacing w:after="0"/>
              <w:rPr>
                <w:sz w:val="20"/>
                <w:szCs w:val="20"/>
                <w:color w:val="auto"/>
              </w:rPr>
            </w:pPr>
            <w:r>
              <w:rPr>
                <w:rFonts w:ascii="Arial" w:cs="Arial" w:eastAsia="Arial" w:hAnsi="Arial"/>
                <w:sz w:val="14"/>
                <w:szCs w:val="14"/>
                <w:color w:val="auto"/>
              </w:rPr>
              <w:t>Executive Vice President, General Counsel and Secretary</w:t>
            </w:r>
          </w:p>
        </w:tc>
      </w:tr>
      <w:tr>
        <w:trPr>
          <w:trHeight w:val="116"/>
        </w:trPr>
        <w:tc>
          <w:tcPr>
            <w:tcW w:w="2140" w:type="dxa"/>
            <w:vAlign w:val="bottom"/>
            <w:tcBorders>
              <w:right w:val="single" w:sz="8" w:color="7F7F7F"/>
            </w:tcBorders>
            <w:shd w:val="clear" w:color="auto" w:fill="CCD3DE"/>
          </w:tcPr>
          <w:p>
            <w:pPr>
              <w:spacing w:after="0"/>
              <w:rPr>
                <w:sz w:val="10"/>
                <w:szCs w:val="10"/>
                <w:color w:val="auto"/>
              </w:rPr>
            </w:pPr>
          </w:p>
        </w:tc>
        <w:tc>
          <w:tcPr>
            <w:tcW w:w="860" w:type="dxa"/>
            <w:vAlign w:val="bottom"/>
            <w:tcBorders>
              <w:right w:val="single" w:sz="8" w:color="7F7F7F"/>
            </w:tcBorders>
            <w:shd w:val="clear" w:color="auto" w:fill="CCD3DE"/>
          </w:tcPr>
          <w:p>
            <w:pPr>
              <w:spacing w:after="0"/>
              <w:rPr>
                <w:sz w:val="10"/>
                <w:szCs w:val="10"/>
                <w:color w:val="auto"/>
              </w:rPr>
            </w:pPr>
          </w:p>
        </w:tc>
        <w:tc>
          <w:tcPr>
            <w:tcW w:w="7620" w:type="dxa"/>
            <w:vAlign w:val="bottom"/>
            <w:shd w:val="clear" w:color="auto" w:fill="CCD3DE"/>
          </w:tcPr>
          <w:p>
            <w:pPr>
              <w:spacing w:after="0"/>
              <w:rPr>
                <w:sz w:val="10"/>
                <w:szCs w:val="10"/>
                <w:color w:val="auto"/>
              </w:rPr>
            </w:pPr>
          </w:p>
        </w:tc>
      </w:tr>
    </w:tbl>
    <w:p>
      <w:pPr>
        <w:spacing w:after="0" w:line="15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02275B"/>
        </w:rPr>
        <w:t>NON-DIRECTOR EXECUTIVE OFFICERS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 xml:space="preserve">Julie Cameron-Doe </w:t>
      </w:r>
      <w:r>
        <w:rPr>
          <w:rFonts w:ascii="Arial" w:cs="Arial" w:eastAsia="Arial" w:hAnsi="Arial"/>
          <w:sz w:val="17"/>
          <w:szCs w:val="17"/>
          <w:i w:val="1"/>
          <w:iCs w:val="1"/>
          <w:color w:val="auto"/>
        </w:rPr>
        <w:t>Chief Financial Officer</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Ms. Cameron-Doe </w:t>
      </w:r>
      <w:r>
        <w:rPr>
          <w:rFonts w:ascii="Arial" w:cs="Arial" w:eastAsia="Arial" w:hAnsi="Arial"/>
          <w:sz w:val="14"/>
          <w:szCs w:val="14"/>
          <w:color w:val="auto"/>
        </w:rPr>
        <w:t>is the Company’s Chief Financial Officer, a position she has held since April 2022.</w:t>
      </w:r>
    </w:p>
    <w:p>
      <w:pPr>
        <w:spacing w:after="0" w:line="203"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02275B"/>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-94615</wp:posOffset>
            </wp:positionV>
            <wp:extent cx="1833880" cy="128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33880" cy="1288415"/>
                    </a:xfrm>
                    <a:prstGeom prst="rect">
                      <a:avLst/>
                    </a:prstGeom>
                    <a:noFill/>
                  </pic:spPr>
                </pic:pic>
              </a:graphicData>
            </a:graphic>
          </wp:anchor>
        </w:drawing>
      </w:r>
    </w:p>
    <w:p>
      <w:pPr>
        <w:ind w:left="3780" w:right="60" w:hanging="172"/>
        <w:spacing w:after="0" w:line="239" w:lineRule="auto"/>
        <w:rPr>
          <w:sz w:val="20"/>
          <w:szCs w:val="20"/>
          <w:color w:val="auto"/>
        </w:rPr>
      </w:pPr>
      <w:r>
        <w:rPr>
          <w:rFonts w:ascii="Arial" w:cs="Arial" w:eastAsia="Arial" w:hAnsi="Arial"/>
          <w:sz w:val="14"/>
          <w:szCs w:val="14"/>
          <w:color w:val="3D0A51"/>
        </w:rPr>
        <w:t>-</w:t>
      </w:r>
      <w:r>
        <w:rPr>
          <w:rFonts w:ascii="Arial" w:cs="Arial" w:eastAsia="Arial" w:hAnsi="Arial"/>
          <w:sz w:val="14"/>
          <w:szCs w:val="14"/>
          <w:color w:val="000000"/>
        </w:rPr>
        <w:t xml:space="preserve">    2018 to 2022: CFO of Aristocrat Leisure Ltd, the world’s leading gaming manufacturer, listed on the Australian Stock</w:t>
      </w:r>
      <w:r>
        <w:rPr>
          <w:rFonts w:ascii="Arial" w:cs="Arial" w:eastAsia="Arial" w:hAnsi="Arial"/>
          <w:sz w:val="14"/>
          <w:szCs w:val="14"/>
          <w:color w:val="3D0A51"/>
        </w:rPr>
        <w:t xml:space="preserve"> </w:t>
      </w:r>
      <w:r>
        <w:rPr>
          <w:rFonts w:ascii="Arial" w:cs="Arial" w:eastAsia="Arial" w:hAnsi="Arial"/>
          <w:sz w:val="14"/>
          <w:szCs w:val="14"/>
          <w:color w:val="000000"/>
        </w:rPr>
        <w:t>Exchange</w:t>
      </w:r>
    </w:p>
    <w:p>
      <w:pPr>
        <w:spacing w:after="0" w:line="70" w:lineRule="exact"/>
        <w:rPr>
          <w:sz w:val="20"/>
          <w:szCs w:val="20"/>
          <w:color w:val="auto"/>
        </w:rPr>
      </w:pPr>
    </w:p>
    <w:p>
      <w:pPr>
        <w:ind w:left="3780" w:right="100" w:hanging="172"/>
        <w:spacing w:after="0" w:line="239" w:lineRule="auto"/>
        <w:rPr>
          <w:sz w:val="20"/>
          <w:szCs w:val="20"/>
          <w:color w:val="auto"/>
        </w:rPr>
      </w:pPr>
      <w:r>
        <w:rPr>
          <w:rFonts w:ascii="Arial" w:cs="Arial" w:eastAsia="Arial" w:hAnsi="Arial"/>
          <w:sz w:val="14"/>
          <w:szCs w:val="14"/>
          <w:color w:val="3D0A51"/>
        </w:rPr>
        <w:t>-</w:t>
      </w:r>
      <w:r>
        <w:rPr>
          <w:rFonts w:ascii="Arial" w:cs="Arial" w:eastAsia="Arial" w:hAnsi="Arial"/>
          <w:sz w:val="14"/>
          <w:szCs w:val="14"/>
          <w:color w:val="000000"/>
        </w:rPr>
        <w:t xml:space="preserve">    2013-2018: Group General Manager—Finance at Aristocrat, where she was responsible for group finance including</w:t>
      </w:r>
      <w:r>
        <w:rPr>
          <w:rFonts w:ascii="Arial" w:cs="Arial" w:eastAsia="Arial" w:hAnsi="Arial"/>
          <w:sz w:val="14"/>
          <w:szCs w:val="14"/>
          <w:color w:val="3D0A51"/>
        </w:rPr>
        <w:t xml:space="preserve"> </w:t>
      </w:r>
      <w:r>
        <w:rPr>
          <w:rFonts w:ascii="Arial" w:cs="Arial" w:eastAsia="Arial" w:hAnsi="Arial"/>
          <w:sz w:val="14"/>
          <w:szCs w:val="14"/>
          <w:color w:val="000000"/>
        </w:rPr>
        <w:t>planning, reporting, financial control, tax, treasury, M&amp;A, risk &amp; internal audit</w:t>
      </w:r>
    </w:p>
    <w:p>
      <w:pPr>
        <w:spacing w:after="0" w:line="70" w:lineRule="exact"/>
        <w:rPr>
          <w:sz w:val="20"/>
          <w:szCs w:val="20"/>
          <w:color w:val="auto"/>
        </w:rPr>
      </w:pPr>
    </w:p>
    <w:p>
      <w:pPr>
        <w:ind w:left="3600"/>
        <w:spacing w:after="0"/>
        <w:rPr>
          <w:sz w:val="20"/>
          <w:szCs w:val="20"/>
          <w:color w:val="auto"/>
        </w:rPr>
      </w:pPr>
      <w:r>
        <w:rPr>
          <w:rFonts w:ascii="Arial" w:cs="Arial" w:eastAsia="Arial" w:hAnsi="Arial"/>
          <w:sz w:val="14"/>
          <w:szCs w:val="14"/>
          <w:color w:val="3D0A51"/>
        </w:rPr>
        <w:t>-</w:t>
      </w:r>
      <w:r>
        <w:rPr>
          <w:rFonts w:ascii="Arial" w:cs="Arial" w:eastAsia="Arial" w:hAnsi="Arial"/>
          <w:sz w:val="14"/>
          <w:szCs w:val="14"/>
          <w:color w:val="000000"/>
        </w:rPr>
        <w:t xml:space="preserve">    Previously senior finance lead for entertainment and ecommerce companies in the United Kingdom and Australia</w:t>
      </w:r>
    </w:p>
    <w:p>
      <w:pPr>
        <w:spacing w:after="0" w:line="252"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02275B"/>
        </w:rPr>
        <w:t>EDUCATION</w:t>
      </w:r>
    </w:p>
    <w:p>
      <w:pPr>
        <w:spacing w:after="0" w:line="11" w:lineRule="exact"/>
        <w:rPr>
          <w:sz w:val="20"/>
          <w:szCs w:val="20"/>
          <w:color w:val="auto"/>
        </w:rPr>
      </w:pPr>
    </w:p>
    <w:p>
      <w:pPr>
        <w:ind w:left="3600" w:right="160"/>
        <w:spacing w:after="0" w:line="239" w:lineRule="auto"/>
        <w:rPr>
          <w:sz w:val="20"/>
          <w:szCs w:val="20"/>
          <w:color w:val="auto"/>
        </w:rPr>
      </w:pPr>
      <w:r>
        <w:rPr>
          <w:rFonts w:ascii="Arial" w:cs="Arial" w:eastAsia="Arial" w:hAnsi="Arial"/>
          <w:sz w:val="14"/>
          <w:szCs w:val="14"/>
          <w:color w:val="auto"/>
        </w:rPr>
        <w:t>Ms. Cameron-Doe graduated with a B.A. (Economics) from the University of Durham in the United Kingdom. She is a Fellow Chartered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115570</wp:posOffset>
            </wp:positionV>
            <wp:extent cx="1833880" cy="5949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33880" cy="594995"/>
                    </a:xfrm>
                    <a:prstGeom prst="rect">
                      <a:avLst/>
                    </a:prstGeom>
                    <a:noFill/>
                  </pic:spPr>
                </pic:pic>
              </a:graphicData>
            </a:graphic>
          </wp:anchor>
        </w:drawing>
      </w:r>
    </w:p>
    <w:p>
      <w:pPr>
        <w:spacing w:after="0" w:line="351" w:lineRule="exact"/>
        <w:rPr>
          <w:sz w:val="20"/>
          <w:szCs w:val="20"/>
          <w:color w:val="auto"/>
        </w:rPr>
      </w:pPr>
    </w:p>
    <w:p>
      <w:pPr>
        <w:ind w:left="500"/>
        <w:spacing w:after="0"/>
        <w:tabs>
          <w:tab w:leader="none" w:pos="1960" w:val="left"/>
        </w:tabs>
        <w:rPr>
          <w:sz w:val="20"/>
          <w:szCs w:val="20"/>
          <w:color w:val="auto"/>
        </w:rPr>
      </w:pPr>
      <w:r>
        <w:rPr>
          <w:rFonts w:ascii="Arial" w:cs="Arial" w:eastAsia="Arial" w:hAnsi="Arial"/>
          <w:sz w:val="12"/>
          <w:szCs w:val="12"/>
          <w:color w:val="333D3F"/>
        </w:rPr>
        <w:t>Joined Wynn</w:t>
      </w:r>
      <w:r>
        <w:rPr>
          <w:sz w:val="20"/>
          <w:szCs w:val="20"/>
          <w:color w:val="auto"/>
        </w:rPr>
        <w:tab/>
      </w:r>
      <w:r>
        <w:rPr>
          <w:rFonts w:ascii="Arial" w:cs="Arial" w:eastAsia="Arial" w:hAnsi="Arial"/>
          <w:sz w:val="11"/>
          <w:szCs w:val="11"/>
          <w:color w:val="333D3F"/>
        </w:rPr>
        <w:t>April 2022</w:t>
      </w:r>
    </w:p>
    <w:p>
      <w:pPr>
        <w:spacing w:after="0" w:line="304" w:lineRule="exact"/>
        <w:rPr>
          <w:sz w:val="20"/>
          <w:szCs w:val="20"/>
          <w:color w:val="auto"/>
        </w:rPr>
      </w:pPr>
    </w:p>
    <w:p>
      <w:pPr>
        <w:ind w:left="500"/>
        <w:spacing w:after="0"/>
        <w:tabs>
          <w:tab w:leader="none" w:pos="1960" w:val="left"/>
        </w:tabs>
        <w:rPr>
          <w:sz w:val="20"/>
          <w:szCs w:val="20"/>
          <w:color w:val="auto"/>
        </w:rPr>
      </w:pPr>
      <w:r>
        <w:rPr>
          <w:rFonts w:ascii="Arial" w:cs="Arial" w:eastAsia="Arial" w:hAnsi="Arial"/>
          <w:sz w:val="12"/>
          <w:szCs w:val="12"/>
          <w:color w:val="333D3F"/>
        </w:rPr>
        <w:t>Age</w:t>
      </w:r>
      <w:r>
        <w:rPr>
          <w:sz w:val="20"/>
          <w:szCs w:val="20"/>
          <w:color w:val="auto"/>
        </w:rPr>
        <w:tab/>
      </w:r>
      <w:r>
        <w:rPr>
          <w:rFonts w:ascii="Arial" w:cs="Arial" w:eastAsia="Arial" w:hAnsi="Arial"/>
          <w:sz w:val="12"/>
          <w:szCs w:val="12"/>
          <w:color w:val="333D3F"/>
        </w:rPr>
        <w:t>53</w:t>
      </w:r>
    </w:p>
    <w:p>
      <w:pPr>
        <w:spacing w:after="0" w:line="302"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 xml:space="preserve">Ellen F. Whittemore </w:t>
      </w:r>
      <w:r>
        <w:rPr>
          <w:rFonts w:ascii="Arial" w:cs="Arial" w:eastAsia="Arial" w:hAnsi="Arial"/>
          <w:sz w:val="17"/>
          <w:szCs w:val="17"/>
          <w:i w:val="1"/>
          <w:iCs w:val="1"/>
          <w:color w:val="auto"/>
        </w:rPr>
        <w:t>Executive Vice President, General Counsel and Secretary</w:t>
      </w:r>
    </w:p>
    <w:p>
      <w:pPr>
        <w:spacing w:after="0" w:line="200" w:lineRule="exact"/>
        <w:rPr>
          <w:sz w:val="20"/>
          <w:szCs w:val="20"/>
          <w:color w:val="auto"/>
        </w:rPr>
      </w:pPr>
    </w:p>
    <w:p>
      <w:pPr>
        <w:ind w:left="320" w:right="160"/>
        <w:spacing w:after="0" w:line="263" w:lineRule="auto"/>
        <w:rPr>
          <w:sz w:val="20"/>
          <w:szCs w:val="20"/>
          <w:color w:val="auto"/>
        </w:rPr>
      </w:pPr>
      <w:r>
        <w:rPr>
          <w:rFonts w:ascii="Arial" w:cs="Arial" w:eastAsia="Arial" w:hAnsi="Arial"/>
          <w:sz w:val="14"/>
          <w:szCs w:val="14"/>
          <w:b w:val="1"/>
          <w:bCs w:val="1"/>
          <w:color w:val="auto"/>
        </w:rPr>
        <w:t xml:space="preserve">Ms. Whittemore </w:t>
      </w:r>
      <w:r>
        <w:rPr>
          <w:rFonts w:ascii="Arial" w:cs="Arial" w:eastAsia="Arial" w:hAnsi="Arial"/>
          <w:sz w:val="14"/>
          <w:szCs w:val="14"/>
          <w:color w:val="auto"/>
        </w:rPr>
        <w:t>is the Company’s Executive Vice President, General Counsel and Secretary, a position she has held since July 2018. In December 2022, Ms. Whittemore</w:t>
      </w:r>
      <w:r>
        <w:rPr>
          <w:rFonts w:ascii="Arial" w:cs="Arial" w:eastAsia="Arial" w:hAnsi="Arial"/>
          <w:sz w:val="14"/>
          <w:szCs w:val="14"/>
          <w:b w:val="1"/>
          <w:bCs w:val="1"/>
          <w:color w:val="auto"/>
        </w:rPr>
        <w:t xml:space="preserve"> </w:t>
      </w:r>
      <w:r>
        <w:rPr>
          <w:rFonts w:ascii="Arial" w:cs="Arial" w:eastAsia="Arial" w:hAnsi="Arial"/>
          <w:sz w:val="14"/>
          <w:szCs w:val="14"/>
          <w:color w:val="auto"/>
        </w:rPr>
        <w:t>was appointed as a Non-Executive Director of Wynn Macau, Limited, a majority owned subsidiary of the Company.</w:t>
      </w:r>
    </w:p>
    <w:p>
      <w:pPr>
        <w:spacing w:after="0" w:line="168"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02275B"/>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-94615</wp:posOffset>
            </wp:positionV>
            <wp:extent cx="1833880" cy="18916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33880" cy="1891665"/>
                    </a:xfrm>
                    <a:prstGeom prst="rect">
                      <a:avLst/>
                    </a:prstGeom>
                    <a:noFill/>
                  </pic:spPr>
                </pic:pic>
              </a:graphicData>
            </a:graphic>
          </wp:anchor>
        </w:drawing>
      </w:r>
    </w:p>
    <w:p>
      <w:pPr>
        <w:ind w:left="3540"/>
        <w:spacing w:after="0"/>
        <w:rPr>
          <w:sz w:val="20"/>
          <w:szCs w:val="20"/>
          <w:color w:val="auto"/>
        </w:rPr>
      </w:pPr>
      <w:r>
        <w:rPr>
          <w:rFonts w:ascii="Arial" w:cs="Arial" w:eastAsia="Arial" w:hAnsi="Arial"/>
          <w:sz w:val="14"/>
          <w:szCs w:val="14"/>
          <w:color w:val="3D0A51"/>
        </w:rPr>
        <w:t>-</w:t>
      </w:r>
      <w:r>
        <w:rPr>
          <w:rFonts w:ascii="Arial" w:cs="Arial" w:eastAsia="Arial" w:hAnsi="Arial"/>
          <w:sz w:val="14"/>
          <w:szCs w:val="14"/>
          <w:color w:val="000000"/>
        </w:rPr>
        <w:t xml:space="preserve">    2016 to 2018: Shareholder of Brownstein Hyatt Farber Schreck LLP</w:t>
      </w:r>
    </w:p>
    <w:p>
      <w:pPr>
        <w:spacing w:after="0" w:line="73" w:lineRule="exact"/>
        <w:rPr>
          <w:sz w:val="20"/>
          <w:szCs w:val="20"/>
          <w:color w:val="auto"/>
        </w:rPr>
      </w:pPr>
    </w:p>
    <w:p>
      <w:pPr>
        <w:ind w:left="3540"/>
        <w:spacing w:after="0"/>
        <w:rPr>
          <w:sz w:val="20"/>
          <w:szCs w:val="20"/>
          <w:color w:val="auto"/>
        </w:rPr>
      </w:pPr>
      <w:r>
        <w:rPr>
          <w:rFonts w:ascii="Arial" w:cs="Arial" w:eastAsia="Arial" w:hAnsi="Arial"/>
          <w:sz w:val="14"/>
          <w:szCs w:val="14"/>
          <w:color w:val="3D0A51"/>
        </w:rPr>
        <w:t>-</w:t>
      </w:r>
      <w:r>
        <w:rPr>
          <w:rFonts w:ascii="Arial" w:cs="Arial" w:eastAsia="Arial" w:hAnsi="Arial"/>
          <w:sz w:val="14"/>
          <w:szCs w:val="14"/>
          <w:color w:val="000000"/>
        </w:rPr>
        <w:t xml:space="preserve">    2014 to 2016: Sole manager of the Whittemore Gaming Group, LLC</w:t>
      </w:r>
    </w:p>
    <w:p>
      <w:pPr>
        <w:spacing w:after="0" w:line="73" w:lineRule="exact"/>
        <w:rPr>
          <w:sz w:val="20"/>
          <w:szCs w:val="20"/>
          <w:color w:val="auto"/>
        </w:rPr>
      </w:pPr>
    </w:p>
    <w:p>
      <w:pPr>
        <w:ind w:left="3720" w:right="320" w:hanging="172"/>
        <w:spacing w:after="0" w:line="239" w:lineRule="auto"/>
        <w:rPr>
          <w:sz w:val="20"/>
          <w:szCs w:val="20"/>
          <w:color w:val="auto"/>
        </w:rPr>
      </w:pPr>
      <w:r>
        <w:rPr>
          <w:rFonts w:ascii="Arial" w:cs="Arial" w:eastAsia="Arial" w:hAnsi="Arial"/>
          <w:sz w:val="14"/>
          <w:szCs w:val="14"/>
          <w:color w:val="3D0A51"/>
        </w:rPr>
        <w:t>-</w:t>
      </w:r>
      <w:r>
        <w:rPr>
          <w:rFonts w:ascii="Arial" w:cs="Arial" w:eastAsia="Arial" w:hAnsi="Arial"/>
          <w:sz w:val="14"/>
          <w:szCs w:val="14"/>
          <w:color w:val="000000"/>
        </w:rPr>
        <w:t xml:space="preserve">    Previously owner and President of Las Vegas Sports Consultants, a sports information service for Nevada sports</w:t>
      </w:r>
      <w:r>
        <w:rPr>
          <w:rFonts w:ascii="Arial" w:cs="Arial" w:eastAsia="Arial" w:hAnsi="Arial"/>
          <w:sz w:val="14"/>
          <w:szCs w:val="14"/>
          <w:color w:val="3D0A51"/>
        </w:rPr>
        <w:t xml:space="preserve"> </w:t>
      </w:r>
      <w:r>
        <w:rPr>
          <w:rFonts w:ascii="Arial" w:cs="Arial" w:eastAsia="Arial" w:hAnsi="Arial"/>
          <w:sz w:val="14"/>
          <w:szCs w:val="14"/>
          <w:color w:val="000000"/>
        </w:rPr>
        <w:t>pools</w:t>
      </w:r>
    </w:p>
    <w:p>
      <w:pPr>
        <w:spacing w:after="0" w:line="70" w:lineRule="exact"/>
        <w:rPr>
          <w:sz w:val="20"/>
          <w:szCs w:val="20"/>
          <w:color w:val="auto"/>
        </w:rPr>
      </w:pPr>
    </w:p>
    <w:p>
      <w:pPr>
        <w:ind w:left="3540"/>
        <w:spacing w:after="0"/>
        <w:rPr>
          <w:sz w:val="20"/>
          <w:szCs w:val="20"/>
          <w:color w:val="auto"/>
        </w:rPr>
      </w:pPr>
      <w:r>
        <w:rPr>
          <w:rFonts w:ascii="Arial" w:cs="Arial" w:eastAsia="Arial" w:hAnsi="Arial"/>
          <w:sz w:val="14"/>
          <w:szCs w:val="14"/>
          <w:color w:val="3D0A51"/>
        </w:rPr>
        <w:t>-</w:t>
      </w:r>
      <w:r>
        <w:rPr>
          <w:rFonts w:ascii="Arial" w:cs="Arial" w:eastAsia="Arial" w:hAnsi="Arial"/>
          <w:sz w:val="14"/>
          <w:szCs w:val="14"/>
          <w:color w:val="000000"/>
        </w:rPr>
        <w:t xml:space="preserve">    Previously with the law firm Lionel Sawyer &amp; Collins for more than 20 years</w:t>
      </w:r>
    </w:p>
    <w:p>
      <w:pPr>
        <w:spacing w:after="0" w:line="174"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02275B"/>
        </w:rPr>
        <w:t>EDUCATION</w:t>
      </w:r>
    </w:p>
    <w:p>
      <w:pPr>
        <w:spacing w:after="0" w:line="11" w:lineRule="exact"/>
        <w:rPr>
          <w:sz w:val="20"/>
          <w:szCs w:val="20"/>
          <w:color w:val="auto"/>
        </w:rPr>
      </w:pPr>
    </w:p>
    <w:p>
      <w:pPr>
        <w:ind w:left="3540" w:right="80"/>
        <w:spacing w:after="0" w:line="239" w:lineRule="auto"/>
        <w:rPr>
          <w:sz w:val="20"/>
          <w:szCs w:val="20"/>
          <w:color w:val="auto"/>
        </w:rPr>
      </w:pPr>
      <w:r>
        <w:rPr>
          <w:rFonts w:ascii="Arial" w:cs="Arial" w:eastAsia="Arial" w:hAnsi="Arial"/>
          <w:sz w:val="14"/>
          <w:szCs w:val="14"/>
          <w:color w:val="auto"/>
        </w:rPr>
        <w:t>Ms. Whittemore graduated with a B.A. from the University of Nevada, Reno and received her J.D. from the University of San Diego School of Law. She is admitted to practice before the United States Supreme Court.</w:t>
      </w:r>
    </w:p>
    <w:p>
      <w:pPr>
        <w:spacing w:after="0" w:line="384" w:lineRule="exact"/>
        <w:rPr>
          <w:sz w:val="20"/>
          <w:szCs w:val="20"/>
          <w:color w:val="auto"/>
        </w:rPr>
      </w:pPr>
    </w:p>
    <w:p>
      <w:pPr>
        <w:ind w:left="520"/>
        <w:spacing w:after="0"/>
        <w:tabs>
          <w:tab w:leader="none" w:pos="2020" w:val="left"/>
        </w:tabs>
        <w:rPr>
          <w:sz w:val="20"/>
          <w:szCs w:val="20"/>
          <w:color w:val="auto"/>
        </w:rPr>
      </w:pPr>
      <w:r>
        <w:rPr>
          <w:rFonts w:ascii="Arial" w:cs="Arial" w:eastAsia="Arial" w:hAnsi="Arial"/>
          <w:sz w:val="12"/>
          <w:szCs w:val="12"/>
          <w:color w:val="333D3F"/>
        </w:rPr>
        <w:t>Joined Wynn</w:t>
      </w:r>
      <w:r>
        <w:rPr>
          <w:sz w:val="20"/>
          <w:szCs w:val="20"/>
          <w:color w:val="auto"/>
        </w:rPr>
        <w:tab/>
      </w:r>
      <w:r>
        <w:rPr>
          <w:rFonts w:ascii="Arial" w:cs="Arial" w:eastAsia="Arial" w:hAnsi="Arial"/>
          <w:sz w:val="12"/>
          <w:szCs w:val="12"/>
          <w:color w:val="333D3F"/>
        </w:rPr>
        <w:t>July 2018</w:t>
      </w:r>
    </w:p>
    <w:p>
      <w:pPr>
        <w:spacing w:after="0" w:line="304" w:lineRule="exact"/>
        <w:rPr>
          <w:sz w:val="20"/>
          <w:szCs w:val="20"/>
          <w:color w:val="auto"/>
        </w:rPr>
      </w:pPr>
    </w:p>
    <w:p>
      <w:pPr>
        <w:ind w:left="520"/>
        <w:spacing w:after="0"/>
        <w:tabs>
          <w:tab w:leader="none" w:pos="2020" w:val="left"/>
        </w:tabs>
        <w:rPr>
          <w:sz w:val="20"/>
          <w:szCs w:val="20"/>
          <w:color w:val="auto"/>
        </w:rPr>
      </w:pPr>
      <w:r>
        <w:rPr>
          <w:rFonts w:ascii="Arial" w:cs="Arial" w:eastAsia="Arial" w:hAnsi="Arial"/>
          <w:sz w:val="12"/>
          <w:szCs w:val="12"/>
          <w:color w:val="333D3F"/>
        </w:rPr>
        <w:t>Age</w:t>
      </w:r>
      <w:r>
        <w:rPr>
          <w:sz w:val="20"/>
          <w:szCs w:val="20"/>
          <w:color w:val="auto"/>
        </w:rPr>
        <w:tab/>
      </w:r>
      <w:r>
        <w:rPr>
          <w:rFonts w:ascii="Arial" w:cs="Arial" w:eastAsia="Arial" w:hAnsi="Arial"/>
          <w:sz w:val="12"/>
          <w:szCs w:val="12"/>
          <w:color w:val="333D3F"/>
        </w:rPr>
        <w:t>66</w:t>
      </w:r>
    </w:p>
    <w:p>
      <w:pPr>
        <w:spacing w:after="0" w:line="31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 23 //</w:t>
      </w:r>
    </w:p>
    <w:p>
      <w:pPr>
        <w:sectPr>
          <w:pgSz w:w="11900" w:h="16838" w:orient="portrait"/>
          <w:cols w:equalWidth="0" w:num="1">
            <w:col w:w="10940"/>
          </w:cols>
          <w:pgMar w:left="320" w:top="473" w:right="63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224155</wp:posOffset>
            </wp:positionV>
            <wp:extent cx="6939280" cy="8921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39280" cy="8921750"/>
                    </a:xfrm>
                    <a:prstGeom prst="rect">
                      <a:avLst/>
                    </a:prstGeom>
                    <a:noFill/>
                  </pic:spPr>
                </pic:pic>
              </a:graphicData>
            </a:graphic>
          </wp:anchor>
        </w:drawing>
      </w:r>
    </w:p>
    <w:p>
      <w:pPr>
        <w:sectPr>
          <w:pgSz w:w="11900" w:h="16838" w:orient="portrait"/>
          <w:cols w:equalWidth="0" w:num="1">
            <w:col w:w="10139"/>
          </w:cols>
          <w:pgMar w:left="320" w:top="473" w:right="1440"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right="160"/>
        <w:spacing w:after="0" w:line="245" w:lineRule="auto"/>
        <w:rPr>
          <w:sz w:val="20"/>
          <w:szCs w:val="20"/>
          <w:color w:val="auto"/>
        </w:rPr>
      </w:pPr>
      <w:r>
        <w:rPr>
          <w:rFonts w:ascii="Arial" w:cs="Arial" w:eastAsia="Arial" w:hAnsi="Arial"/>
          <w:sz w:val="17"/>
          <w:szCs w:val="17"/>
          <w:color w:val="auto"/>
        </w:rPr>
        <w:t>We believe Wynn Resorts is the world’s preeminent designer, developer, and operator of integrated resorts. The Company’s business model integrates luxury hotel rooms, high-end retail, an array of dining and entertainment options, meeting space, and gaming, all supported by superior levels of customer service provided by our approximately 27,000 employees. Our operations in Las Vegas, Macau and Boston are designed to attract a wide range of domestic and international customers.</w:t>
      </w:r>
    </w:p>
    <w:p>
      <w:pPr>
        <w:spacing w:after="0" w:line="164" w:lineRule="exact"/>
        <w:rPr>
          <w:sz w:val="20"/>
          <w:szCs w:val="20"/>
          <w:color w:val="auto"/>
        </w:rPr>
      </w:pPr>
    </w:p>
    <w:p>
      <w:pPr>
        <w:ind w:left="320" w:right="300"/>
        <w:spacing w:after="0" w:line="243" w:lineRule="auto"/>
        <w:rPr>
          <w:sz w:val="20"/>
          <w:szCs w:val="20"/>
          <w:color w:val="auto"/>
        </w:rPr>
      </w:pPr>
      <w:r>
        <w:rPr>
          <w:rFonts w:ascii="Arial" w:cs="Arial" w:eastAsia="Arial" w:hAnsi="Arial"/>
          <w:sz w:val="17"/>
          <w:szCs w:val="17"/>
          <w:color w:val="auto"/>
        </w:rPr>
        <w:t>The Compensation Committee relies on practices that are designed to incentivize and reward executives and all employees for actions that create long-term shareholder value. As a result, our executive compensation practices promote accountability for performance and align incentives with long-term shareholder value. In addition, the Compensation Committee has designed our executive compensation program to attract and retain the best-in-class talent across our business. In this compensation discussion and analysis, or CD&amp;A, we describe our philosophy and approach to executive compensation.</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6A1834"/>
        </w:rPr>
        <w:t>FOR FISCAL 2022, OUR NEOs WERE:</w:t>
      </w:r>
    </w:p>
    <w:p>
      <w:pPr>
        <w:spacing w:after="0" w:line="241" w:lineRule="exact"/>
        <w:rPr>
          <w:sz w:val="20"/>
          <w:szCs w:val="20"/>
          <w:color w:val="auto"/>
        </w:rPr>
      </w:pPr>
    </w:p>
    <w:tbl>
      <w:tblPr>
        <w:tblLayout w:type="fixed"/>
        <w:tblInd w:w="320" w:type="dxa"/>
        <w:tblCellMar>
          <w:top w:w="0" w:type="dxa"/>
          <w:left w:w="0" w:type="dxa"/>
          <w:bottom w:w="0" w:type="dxa"/>
          <w:right w:w="0" w:type="dxa"/>
        </w:tblCellMar>
      </w:tblPr>
      <w:tr>
        <w:trPr>
          <w:trHeight w:val="202"/>
        </w:trPr>
        <w:tc>
          <w:tcPr>
            <w:tcW w:w="1820" w:type="dxa"/>
            <w:vAlign w:val="bottom"/>
            <w:tcBorders>
              <w:right w:val="single" w:sz="8" w:color="A8BCBF"/>
            </w:tcBorders>
          </w:tcPr>
          <w:p>
            <w:pPr>
              <w:ind w:left="120"/>
              <w:spacing w:after="0"/>
              <w:rPr>
                <w:sz w:val="20"/>
                <w:szCs w:val="20"/>
                <w:color w:val="auto"/>
              </w:rPr>
            </w:pPr>
            <w:r>
              <w:rPr>
                <w:rFonts w:ascii="Arial" w:cs="Arial" w:eastAsia="Arial" w:hAnsi="Arial"/>
                <w:sz w:val="14"/>
                <w:szCs w:val="14"/>
                <w:b w:val="1"/>
                <w:bCs w:val="1"/>
                <w:color w:val="6A1834"/>
              </w:rPr>
              <w:t>NAME</w:t>
            </w:r>
          </w:p>
        </w:tc>
        <w:tc>
          <w:tcPr>
            <w:tcW w:w="8800" w:type="dxa"/>
            <w:vAlign w:val="bottom"/>
          </w:tcPr>
          <w:p>
            <w:pPr>
              <w:ind w:left="200"/>
              <w:spacing w:after="0"/>
              <w:rPr>
                <w:sz w:val="20"/>
                <w:szCs w:val="20"/>
                <w:color w:val="auto"/>
              </w:rPr>
            </w:pPr>
            <w:r>
              <w:rPr>
                <w:rFonts w:ascii="Arial" w:cs="Arial" w:eastAsia="Arial" w:hAnsi="Arial"/>
                <w:sz w:val="14"/>
                <w:szCs w:val="14"/>
                <w:b w:val="1"/>
                <w:bCs w:val="1"/>
                <w:color w:val="6A1834"/>
              </w:rPr>
              <w:t>TITLE</w:t>
            </w:r>
          </w:p>
        </w:tc>
      </w:tr>
      <w:tr>
        <w:trPr>
          <w:trHeight w:val="111"/>
        </w:trPr>
        <w:tc>
          <w:tcPr>
            <w:tcW w:w="1820" w:type="dxa"/>
            <w:vAlign w:val="bottom"/>
            <w:tcBorders>
              <w:right w:val="single" w:sz="8" w:color="A8BCBF"/>
            </w:tcBorders>
          </w:tcPr>
          <w:p>
            <w:pPr>
              <w:spacing w:after="0"/>
              <w:rPr>
                <w:sz w:val="9"/>
                <w:szCs w:val="9"/>
                <w:color w:val="auto"/>
              </w:rPr>
            </w:pPr>
          </w:p>
        </w:tc>
        <w:tc>
          <w:tcPr>
            <w:tcW w:w="8800" w:type="dxa"/>
            <w:vAlign w:val="bottom"/>
          </w:tcPr>
          <w:p>
            <w:pPr>
              <w:spacing w:after="0"/>
              <w:rPr>
                <w:sz w:val="9"/>
                <w:szCs w:val="9"/>
                <w:color w:val="auto"/>
              </w:rPr>
            </w:pPr>
          </w:p>
        </w:tc>
      </w:tr>
      <w:tr>
        <w:trPr>
          <w:trHeight w:val="312"/>
        </w:trPr>
        <w:tc>
          <w:tcPr>
            <w:tcW w:w="1820" w:type="dxa"/>
            <w:vAlign w:val="bottom"/>
            <w:tcBorders>
              <w:right w:val="single" w:sz="8" w:color="A8BCBF"/>
            </w:tcBorders>
            <w:shd w:val="clear" w:color="auto" w:fill="E1D0D6"/>
          </w:tcPr>
          <w:p>
            <w:pPr>
              <w:ind w:left="100"/>
              <w:spacing w:after="0"/>
              <w:rPr>
                <w:sz w:val="20"/>
                <w:szCs w:val="20"/>
                <w:color w:val="auto"/>
              </w:rPr>
            </w:pPr>
            <w:r>
              <w:rPr>
                <w:rFonts w:ascii="Arial" w:cs="Arial" w:eastAsia="Arial" w:hAnsi="Arial"/>
                <w:sz w:val="17"/>
                <w:szCs w:val="17"/>
                <w:color w:val="auto"/>
              </w:rPr>
              <w:t>Craig S. Billings</w:t>
            </w:r>
          </w:p>
        </w:tc>
        <w:tc>
          <w:tcPr>
            <w:tcW w:w="8800" w:type="dxa"/>
            <w:vAlign w:val="bottom"/>
            <w:shd w:val="clear" w:color="auto" w:fill="E1D0D6"/>
          </w:tcPr>
          <w:p>
            <w:pPr>
              <w:ind w:left="200"/>
              <w:spacing w:after="0"/>
              <w:rPr>
                <w:sz w:val="20"/>
                <w:szCs w:val="20"/>
                <w:color w:val="auto"/>
              </w:rPr>
            </w:pPr>
            <w:r>
              <w:rPr>
                <w:rFonts w:ascii="Arial" w:cs="Arial" w:eastAsia="Arial" w:hAnsi="Arial"/>
                <w:sz w:val="17"/>
                <w:szCs w:val="17"/>
                <w:color w:val="auto"/>
              </w:rPr>
              <w:t>Chief Executive Officer</w:t>
            </w:r>
          </w:p>
        </w:tc>
      </w:tr>
      <w:tr>
        <w:trPr>
          <w:trHeight w:val="91"/>
        </w:trPr>
        <w:tc>
          <w:tcPr>
            <w:tcW w:w="1820" w:type="dxa"/>
            <w:vAlign w:val="bottom"/>
            <w:tcBorders>
              <w:right w:val="single" w:sz="8" w:color="A8BCBF"/>
            </w:tcBorders>
            <w:shd w:val="clear" w:color="auto" w:fill="E1D0D6"/>
          </w:tcPr>
          <w:p>
            <w:pPr>
              <w:spacing w:after="0"/>
              <w:rPr>
                <w:sz w:val="7"/>
                <w:szCs w:val="7"/>
                <w:color w:val="auto"/>
              </w:rPr>
            </w:pPr>
          </w:p>
        </w:tc>
        <w:tc>
          <w:tcPr>
            <w:tcW w:w="8800" w:type="dxa"/>
            <w:vAlign w:val="bottom"/>
            <w:shd w:val="clear" w:color="auto" w:fill="E1D0D6"/>
          </w:tcPr>
          <w:p>
            <w:pPr>
              <w:spacing w:after="0"/>
              <w:rPr>
                <w:sz w:val="7"/>
                <w:szCs w:val="7"/>
                <w:color w:val="auto"/>
              </w:rPr>
            </w:pPr>
          </w:p>
        </w:tc>
      </w:tr>
      <w:tr>
        <w:trPr>
          <w:trHeight w:val="312"/>
        </w:trPr>
        <w:tc>
          <w:tcPr>
            <w:tcW w:w="1820" w:type="dxa"/>
            <w:vAlign w:val="bottom"/>
            <w:tcBorders>
              <w:right w:val="single" w:sz="8" w:color="A8BCBF"/>
            </w:tcBorders>
          </w:tcPr>
          <w:p>
            <w:pPr>
              <w:ind w:left="100"/>
              <w:spacing w:after="0"/>
              <w:rPr>
                <w:sz w:val="20"/>
                <w:szCs w:val="20"/>
                <w:color w:val="auto"/>
              </w:rPr>
            </w:pPr>
            <w:r>
              <w:rPr>
                <w:rFonts w:ascii="Arial" w:cs="Arial" w:eastAsia="Arial" w:hAnsi="Arial"/>
                <w:sz w:val="17"/>
                <w:szCs w:val="17"/>
                <w:color w:val="auto"/>
              </w:rPr>
              <w:t>Julie Cameron-Doe</w:t>
            </w:r>
          </w:p>
        </w:tc>
        <w:tc>
          <w:tcPr>
            <w:tcW w:w="8800" w:type="dxa"/>
            <w:vAlign w:val="bottom"/>
          </w:tcPr>
          <w:p>
            <w:pPr>
              <w:ind w:left="200"/>
              <w:spacing w:after="0"/>
              <w:rPr>
                <w:sz w:val="20"/>
                <w:szCs w:val="20"/>
                <w:color w:val="auto"/>
              </w:rPr>
            </w:pPr>
            <w:r>
              <w:rPr>
                <w:rFonts w:ascii="Arial" w:cs="Arial" w:eastAsia="Arial" w:hAnsi="Arial"/>
                <w:sz w:val="17"/>
                <w:szCs w:val="17"/>
                <w:color w:val="auto"/>
              </w:rPr>
              <w:t>Chief Financial Officer</w:t>
            </w:r>
          </w:p>
        </w:tc>
      </w:tr>
      <w:tr>
        <w:trPr>
          <w:trHeight w:val="91"/>
        </w:trPr>
        <w:tc>
          <w:tcPr>
            <w:tcW w:w="1820" w:type="dxa"/>
            <w:vAlign w:val="bottom"/>
            <w:tcBorders>
              <w:right w:val="single" w:sz="8" w:color="A8BCBF"/>
            </w:tcBorders>
          </w:tcPr>
          <w:p>
            <w:pPr>
              <w:spacing w:after="0"/>
              <w:rPr>
                <w:sz w:val="7"/>
                <w:szCs w:val="7"/>
                <w:color w:val="auto"/>
              </w:rPr>
            </w:pPr>
          </w:p>
        </w:tc>
        <w:tc>
          <w:tcPr>
            <w:tcW w:w="8800" w:type="dxa"/>
            <w:vAlign w:val="bottom"/>
          </w:tcPr>
          <w:p>
            <w:pPr>
              <w:spacing w:after="0"/>
              <w:rPr>
                <w:sz w:val="7"/>
                <w:szCs w:val="7"/>
                <w:color w:val="auto"/>
              </w:rPr>
            </w:pPr>
          </w:p>
        </w:tc>
      </w:tr>
      <w:tr>
        <w:trPr>
          <w:trHeight w:val="312"/>
        </w:trPr>
        <w:tc>
          <w:tcPr>
            <w:tcW w:w="1820" w:type="dxa"/>
            <w:vAlign w:val="bottom"/>
            <w:tcBorders>
              <w:right w:val="single" w:sz="8" w:color="A8BCBF"/>
            </w:tcBorders>
            <w:shd w:val="clear" w:color="auto" w:fill="E1D0D6"/>
          </w:tcPr>
          <w:p>
            <w:pPr>
              <w:ind w:left="100"/>
              <w:spacing w:after="0"/>
              <w:rPr>
                <w:sz w:val="20"/>
                <w:szCs w:val="20"/>
                <w:color w:val="auto"/>
              </w:rPr>
            </w:pPr>
            <w:r>
              <w:rPr>
                <w:rFonts w:ascii="Arial" w:cs="Arial" w:eastAsia="Arial" w:hAnsi="Arial"/>
                <w:sz w:val="17"/>
                <w:szCs w:val="17"/>
                <w:color w:val="auto"/>
              </w:rPr>
              <w:t>Ellen F. Whittemore</w:t>
            </w:r>
          </w:p>
        </w:tc>
        <w:tc>
          <w:tcPr>
            <w:tcW w:w="8800" w:type="dxa"/>
            <w:vAlign w:val="bottom"/>
            <w:shd w:val="clear" w:color="auto" w:fill="E1D0D6"/>
          </w:tcPr>
          <w:p>
            <w:pPr>
              <w:ind w:left="200"/>
              <w:spacing w:after="0"/>
              <w:rPr>
                <w:sz w:val="20"/>
                <w:szCs w:val="20"/>
                <w:color w:val="auto"/>
              </w:rPr>
            </w:pPr>
            <w:r>
              <w:rPr>
                <w:rFonts w:ascii="Arial" w:cs="Arial" w:eastAsia="Arial" w:hAnsi="Arial"/>
                <w:sz w:val="17"/>
                <w:szCs w:val="17"/>
                <w:color w:val="auto"/>
              </w:rPr>
              <w:t>Executive Vice President, General Counsel and Secretary</w:t>
            </w:r>
          </w:p>
        </w:tc>
      </w:tr>
      <w:tr>
        <w:trPr>
          <w:trHeight w:val="91"/>
        </w:trPr>
        <w:tc>
          <w:tcPr>
            <w:tcW w:w="1820" w:type="dxa"/>
            <w:vAlign w:val="bottom"/>
            <w:tcBorders>
              <w:right w:val="single" w:sz="8" w:color="A8BCBF"/>
            </w:tcBorders>
            <w:shd w:val="clear" w:color="auto" w:fill="E1D0D6"/>
          </w:tcPr>
          <w:p>
            <w:pPr>
              <w:spacing w:after="0"/>
              <w:rPr>
                <w:sz w:val="7"/>
                <w:szCs w:val="7"/>
                <w:color w:val="auto"/>
              </w:rPr>
            </w:pPr>
          </w:p>
        </w:tc>
        <w:tc>
          <w:tcPr>
            <w:tcW w:w="8800" w:type="dxa"/>
            <w:vAlign w:val="bottom"/>
            <w:shd w:val="clear" w:color="auto" w:fill="E1D0D6"/>
          </w:tcPr>
          <w:p>
            <w:pPr>
              <w:spacing w:after="0"/>
              <w:rPr>
                <w:sz w:val="7"/>
                <w:szCs w:val="7"/>
                <w:color w:val="auto"/>
              </w:rPr>
            </w:pPr>
          </w:p>
        </w:tc>
      </w:tr>
      <w:tr>
        <w:trPr>
          <w:trHeight w:val="312"/>
        </w:trPr>
        <w:tc>
          <w:tcPr>
            <w:tcW w:w="1820" w:type="dxa"/>
            <w:vAlign w:val="bottom"/>
            <w:tcBorders>
              <w:right w:val="single" w:sz="8" w:color="A8BCBF"/>
            </w:tcBorders>
          </w:tcPr>
          <w:p>
            <w:pPr>
              <w:ind w:left="100"/>
              <w:spacing w:after="0"/>
              <w:rPr>
                <w:sz w:val="20"/>
                <w:szCs w:val="20"/>
                <w:color w:val="auto"/>
              </w:rPr>
            </w:pPr>
            <w:r>
              <w:rPr>
                <w:rFonts w:ascii="Arial" w:cs="Arial" w:eastAsia="Arial" w:hAnsi="Arial"/>
                <w:sz w:val="17"/>
                <w:szCs w:val="17"/>
                <w:color w:val="auto"/>
              </w:rPr>
              <w:t>Matt Maddox</w:t>
            </w:r>
          </w:p>
        </w:tc>
        <w:tc>
          <w:tcPr>
            <w:tcW w:w="8800" w:type="dxa"/>
            <w:vAlign w:val="bottom"/>
          </w:tcPr>
          <w:p>
            <w:pPr>
              <w:ind w:left="200"/>
              <w:spacing w:after="0"/>
              <w:rPr>
                <w:sz w:val="20"/>
                <w:szCs w:val="20"/>
                <w:color w:val="auto"/>
              </w:rPr>
            </w:pPr>
            <w:r>
              <w:rPr>
                <w:rFonts w:ascii="Arial" w:cs="Arial" w:eastAsia="Arial" w:hAnsi="Arial"/>
                <w:sz w:val="17"/>
                <w:szCs w:val="17"/>
                <w:color w:val="auto"/>
              </w:rPr>
              <w:t>Former Chief Executive Officer (through January 31, 2022)</w:t>
            </w:r>
          </w:p>
        </w:tc>
      </w:tr>
      <w:tr>
        <w:trPr>
          <w:trHeight w:val="91"/>
        </w:trPr>
        <w:tc>
          <w:tcPr>
            <w:tcW w:w="1820" w:type="dxa"/>
            <w:vAlign w:val="bottom"/>
            <w:tcBorders>
              <w:right w:val="single" w:sz="8" w:color="A8BCBF"/>
            </w:tcBorders>
          </w:tcPr>
          <w:p>
            <w:pPr>
              <w:spacing w:after="0"/>
              <w:rPr>
                <w:sz w:val="7"/>
                <w:szCs w:val="7"/>
                <w:color w:val="auto"/>
              </w:rPr>
            </w:pPr>
          </w:p>
        </w:tc>
        <w:tc>
          <w:tcPr>
            <w:tcW w:w="8800" w:type="dxa"/>
            <w:vAlign w:val="bottom"/>
          </w:tcPr>
          <w:p>
            <w:pPr>
              <w:spacing w:after="0"/>
              <w:rPr>
                <w:sz w:val="7"/>
                <w:szCs w:val="7"/>
                <w:color w:val="auto"/>
              </w:rPr>
            </w:pPr>
          </w:p>
        </w:tc>
      </w:tr>
    </w:tbl>
    <w:p>
      <w:pPr>
        <w:spacing w:after="0" w:line="30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6A1834"/>
        </w:rPr>
        <w:t>SHAREHOLDER ENGAGEMENT &amp; RESPONSE TO THE 2022 SAY-ON-PAY VOTE</w:t>
      </w:r>
    </w:p>
    <w:p>
      <w:pPr>
        <w:spacing w:after="0" w:line="110" w:lineRule="exact"/>
        <w:rPr>
          <w:sz w:val="20"/>
          <w:szCs w:val="20"/>
          <w:color w:val="auto"/>
        </w:rPr>
      </w:pPr>
    </w:p>
    <w:p>
      <w:pPr>
        <w:ind w:left="320" w:right="40"/>
        <w:spacing w:after="0" w:line="256" w:lineRule="auto"/>
        <w:rPr>
          <w:sz w:val="20"/>
          <w:szCs w:val="20"/>
          <w:color w:val="auto"/>
        </w:rPr>
      </w:pPr>
      <w:r>
        <w:rPr>
          <w:rFonts w:ascii="Arial" w:cs="Arial" w:eastAsia="Arial" w:hAnsi="Arial"/>
          <w:sz w:val="17"/>
          <w:szCs w:val="17"/>
          <w:color w:val="auto"/>
        </w:rPr>
        <w:t>We recognize that the results of our last two advisory votes on our NEOs’ compensation (“Say-on-Pay” votes) are reflective of not meeting our investors’ expectations as far as our level of engagement and responsiveness to their feedback.</w:t>
      </w:r>
    </w:p>
    <w:p>
      <w:pPr>
        <w:spacing w:after="0" w:line="142" w:lineRule="exact"/>
        <w:rPr>
          <w:sz w:val="20"/>
          <w:szCs w:val="20"/>
          <w:color w:val="auto"/>
        </w:rPr>
      </w:pPr>
    </w:p>
    <w:p>
      <w:pPr>
        <w:ind w:left="320" w:right="200"/>
        <w:spacing w:after="0" w:line="256" w:lineRule="auto"/>
        <w:rPr>
          <w:sz w:val="20"/>
          <w:szCs w:val="20"/>
          <w:color w:val="auto"/>
        </w:rPr>
      </w:pPr>
      <w:r>
        <w:rPr>
          <w:rFonts w:ascii="Arial" w:cs="Arial" w:eastAsia="Arial" w:hAnsi="Arial"/>
          <w:sz w:val="17"/>
          <w:szCs w:val="17"/>
          <w:color w:val="auto"/>
        </w:rPr>
        <w:t>The years for which these Say-on-Pay votes took place (2021 and 2022) represented an unprecedent time for the company, as we dealt with the extended impact of COVID-19 on our operations in Macau, all while managing a CEO and CFO transition.</w:t>
      </w:r>
    </w:p>
    <w:p>
      <w:pPr>
        <w:spacing w:after="0" w:line="142" w:lineRule="exact"/>
        <w:rPr>
          <w:sz w:val="20"/>
          <w:szCs w:val="20"/>
          <w:color w:val="auto"/>
        </w:rPr>
      </w:pPr>
    </w:p>
    <w:p>
      <w:pPr>
        <w:ind w:left="320" w:right="340"/>
        <w:spacing w:after="0" w:line="245" w:lineRule="auto"/>
        <w:rPr>
          <w:sz w:val="20"/>
          <w:szCs w:val="20"/>
          <w:color w:val="auto"/>
        </w:rPr>
      </w:pPr>
      <w:r>
        <w:rPr>
          <w:rFonts w:ascii="Arial" w:cs="Arial" w:eastAsia="Arial" w:hAnsi="Arial"/>
          <w:sz w:val="17"/>
          <w:szCs w:val="17"/>
          <w:color w:val="auto"/>
        </w:rPr>
        <w:t>We are committed to set and meet a best-practice standard for engagement with our investors. We value our investors’ views and fully intend to respond to their feedback when making future decisions about the philosophy, design and components of our executive compensation program. We believe the changes we made, as further described in the table “What We Heard—How We Responded” below demonstrate this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121285</wp:posOffset>
            </wp:positionV>
            <wp:extent cx="5419090" cy="17430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19090" cy="1743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 25 //</w:t>
      </w:r>
    </w:p>
    <w:p>
      <w:pPr>
        <w:sectPr>
          <w:pgSz w:w="11900" w:h="16838" w:orient="portrait"/>
          <w:cols w:equalWidth="0" w:num="1">
            <w:col w:w="10940"/>
          </w:cols>
          <w:pgMar w:left="320" w:top="473" w:right="6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6A1834"/>
        </w:rPr>
        <w:t>ROBUST OUTREACH AND ENGAGEMENT</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value the perspective of our shareholders and believe that shareholder engagement leads to enhanced governance practices.</w:t>
      </w:r>
    </w:p>
    <w:p>
      <w:pPr>
        <w:spacing w:after="0" w:line="169" w:lineRule="exact"/>
        <w:rPr>
          <w:sz w:val="20"/>
          <w:szCs w:val="20"/>
          <w:color w:val="auto"/>
        </w:rPr>
      </w:pPr>
    </w:p>
    <w:p>
      <w:pPr>
        <w:jc w:val="both"/>
        <w:ind w:left="320" w:right="60"/>
        <w:spacing w:after="0" w:line="247" w:lineRule="auto"/>
        <w:rPr>
          <w:sz w:val="20"/>
          <w:szCs w:val="20"/>
          <w:color w:val="auto"/>
        </w:rPr>
      </w:pPr>
      <w:r>
        <w:rPr>
          <w:rFonts w:ascii="Arial" w:cs="Arial" w:eastAsia="Arial" w:hAnsi="Arial"/>
          <w:sz w:val="17"/>
          <w:szCs w:val="17"/>
          <w:color w:val="auto"/>
        </w:rPr>
        <w:t>This past year we undertook a significant outreach program in response to our 2022 Say-on-Pay vote. Following the vote we reached out to shareholders that held approximately 52% of outstanding shares (“O/S”) and engaged with shareholders that held 49% of O/S. We also engaged with both of the leading proxy advisory firms.</w:t>
      </w:r>
    </w:p>
    <w:p>
      <w:pPr>
        <w:spacing w:after="0" w:line="151" w:lineRule="exact"/>
        <w:rPr>
          <w:sz w:val="20"/>
          <w:szCs w:val="20"/>
          <w:color w:val="auto"/>
        </w:rPr>
      </w:pPr>
    </w:p>
    <w:p>
      <w:pPr>
        <w:ind w:left="320" w:right="380"/>
        <w:spacing w:after="0" w:line="256" w:lineRule="auto"/>
        <w:rPr>
          <w:sz w:val="20"/>
          <w:szCs w:val="20"/>
          <w:color w:val="auto"/>
        </w:rPr>
      </w:pPr>
      <w:r>
        <w:rPr>
          <w:rFonts w:ascii="Arial" w:cs="Arial" w:eastAsia="Arial" w:hAnsi="Arial"/>
          <w:sz w:val="17"/>
          <w:szCs w:val="17"/>
          <w:color w:val="auto"/>
        </w:rPr>
        <w:t>Participating in this effort on behalf of the Company was our CFO along with an independent Board director and member of our Compensation Committee. The feedback received was then shared and discussed with the Compensation Committee and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115570</wp:posOffset>
            </wp:positionV>
            <wp:extent cx="5419090" cy="36182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19090" cy="361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0"/>
        <w:spacing w:after="0" w:line="242" w:lineRule="auto"/>
        <w:rPr>
          <w:sz w:val="20"/>
          <w:szCs w:val="20"/>
          <w:color w:val="auto"/>
        </w:rPr>
      </w:pPr>
      <w:r>
        <w:rPr>
          <w:rFonts w:ascii="Arial" w:cs="Arial" w:eastAsia="Arial" w:hAnsi="Arial"/>
          <w:sz w:val="17"/>
          <w:szCs w:val="17"/>
          <w:color w:val="auto"/>
        </w:rPr>
        <w:t>During these discussions we invited shareholders to share any feedback as well as ask questions on areas of focus from their perspective. We shared an overview of our business, performance and the impact of the pandemic, particularly with respect to Macau which is heavily dependent on visitation from China. We also reviewed our compensation program and compensation decisions leading up to the 2022 Annual General Meeting which included a leadership transition, with the departure of Matt Maddox as CEO on January 31, 2022, the promotion of the then CFO Craig Billings to CEO and the appointment of Julie Cameron-Doe as CFO. These discussions touched on a broad set of topics including executive compensation; culture; Diversity, Equity and Inclusion; talent and retention; other ESG topics; corporate governance matters and the pandemic.</w:t>
      </w: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26 //</w:t>
      </w:r>
    </w:p>
    <w:p>
      <w:pPr>
        <w:sectPr>
          <w:pgSz w:w="11900" w:h="16838" w:orient="portrait"/>
          <w:cols w:equalWidth="0" w:num="1">
            <w:col w:w="10920"/>
          </w:cols>
          <w:pgMar w:left="320" w:top="473" w:right="65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right="240"/>
        <w:spacing w:after="0" w:line="256" w:lineRule="auto"/>
        <w:rPr>
          <w:sz w:val="20"/>
          <w:szCs w:val="20"/>
          <w:color w:val="auto"/>
        </w:rPr>
      </w:pPr>
      <w:r>
        <w:rPr>
          <w:rFonts w:ascii="Arial" w:cs="Arial" w:eastAsia="Arial" w:hAnsi="Arial"/>
          <w:sz w:val="17"/>
          <w:szCs w:val="17"/>
          <w:color w:val="auto"/>
        </w:rPr>
        <w:t>The Board conducted an in-depth review of the shareholder feedback to develop an appropriate response to the 2022 Say-on-Pay vote, evaluating actions both in terms of potential changes to compensation practices and disclosure, as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132080</wp:posOffset>
            </wp:positionV>
            <wp:extent cx="3436620" cy="59061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36620" cy="5906135"/>
                    </a:xfrm>
                    <a:prstGeom prst="rect">
                      <a:avLst/>
                    </a:prstGeom>
                    <a:noFill/>
                  </pic:spPr>
                </pic:pic>
              </a:graphicData>
            </a:graphic>
          </wp:anchor>
        </w:drawing>
      </w:r>
    </w:p>
    <w:p>
      <w:pPr>
        <w:sectPr>
          <w:pgSz w:w="11900" w:h="16838" w:orient="portrait"/>
          <w:cols w:equalWidth="0" w:num="1">
            <w:col w:w="10940"/>
          </w:cols>
          <w:pgMar w:left="320" w:top="473" w:right="639" w:bottom="1440" w:gutter="0" w:footer="0" w:header="0"/>
        </w:sectPr>
      </w:pPr>
    </w:p>
    <w:p>
      <w:pPr>
        <w:spacing w:after="0" w:line="249"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6A1834"/>
        </w:rPr>
        <w:t>WHAT WE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37465</wp:posOffset>
            </wp:positionV>
            <wp:extent cx="3304540" cy="1404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04540" cy="1404620"/>
                    </a:xfrm>
                    <a:prstGeom prst="rect">
                      <a:avLst/>
                    </a:prstGeom>
                    <a:noFill/>
                  </pic:spPr>
                </pic:pic>
              </a:graphicData>
            </a:graphic>
          </wp:anchor>
        </w:drawing>
      </w:r>
    </w:p>
    <w:p>
      <w:pPr>
        <w:spacing w:after="0" w:line="103" w:lineRule="exact"/>
        <w:rPr>
          <w:sz w:val="20"/>
          <w:szCs w:val="20"/>
          <w:color w:val="auto"/>
        </w:rPr>
      </w:pPr>
    </w:p>
    <w:p>
      <w:pPr>
        <w:ind w:left="480" w:right="60"/>
        <w:spacing w:after="0" w:line="256" w:lineRule="auto"/>
        <w:rPr>
          <w:sz w:val="20"/>
          <w:szCs w:val="20"/>
          <w:color w:val="auto"/>
        </w:rPr>
      </w:pPr>
      <w:r>
        <w:rPr>
          <w:rFonts w:ascii="Arial" w:cs="Arial" w:eastAsia="Arial" w:hAnsi="Arial"/>
          <w:sz w:val="17"/>
          <w:szCs w:val="17"/>
          <w:color w:val="auto"/>
        </w:rPr>
        <w:t>A desire for more—and more detailed—responsiveness to Say-on-Pay 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LTI metrics should be 50%+ performance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165735</wp:posOffset>
            </wp:positionV>
            <wp:extent cx="3304540" cy="3302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04540" cy="330200"/>
                    </a:xfrm>
                    <a:prstGeom prst="rect">
                      <a:avLst/>
                    </a:prstGeom>
                    <a:noFill/>
                  </pic:spPr>
                </pic:pic>
              </a:graphicData>
            </a:graphic>
          </wp:anchor>
        </w:drawing>
      </w:r>
    </w:p>
    <w:p>
      <w:pPr>
        <w:spacing w:after="0" w:line="30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Add TSR metric to align LTI awards with shareholder returns</w:t>
      </w:r>
    </w:p>
    <w:p>
      <w:pPr>
        <w:spacing w:after="0" w:line="325" w:lineRule="exact"/>
        <w:rPr>
          <w:sz w:val="20"/>
          <w:szCs w:val="20"/>
          <w:color w:val="auto"/>
        </w:rPr>
      </w:pPr>
    </w:p>
    <w:p>
      <w:pPr>
        <w:ind w:left="480" w:right="500"/>
        <w:spacing w:after="0" w:line="256" w:lineRule="auto"/>
        <w:rPr>
          <w:sz w:val="20"/>
          <w:szCs w:val="20"/>
          <w:color w:val="auto"/>
        </w:rPr>
      </w:pPr>
      <w:r>
        <w:rPr>
          <w:rFonts w:ascii="Arial" w:cs="Arial" w:eastAsia="Arial" w:hAnsi="Arial"/>
          <w:sz w:val="17"/>
          <w:szCs w:val="17"/>
          <w:color w:val="auto"/>
        </w:rPr>
        <w:t>Concern that 1, 2 and 3 year LTI performance periods are overlapping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24765</wp:posOffset>
            </wp:positionV>
            <wp:extent cx="3304540" cy="3302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04540" cy="330200"/>
                    </a:xfrm>
                    <a:prstGeom prst="rect">
                      <a:avLst/>
                    </a:prstGeom>
                    <a:noFill/>
                  </pic:spPr>
                </pic:pic>
              </a:graphicData>
            </a:graphic>
          </wp:anchor>
        </w:drawing>
      </w:r>
    </w:p>
    <w:p>
      <w:pPr>
        <w:spacing w:after="0" w:line="8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Retain a relative measure in LTI awards</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41910</wp:posOffset>
            </wp:positionV>
            <wp:extent cx="3304540" cy="4540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04540" cy="454025"/>
                    </a:xfrm>
                    <a:prstGeom prst="rect">
                      <a:avLst/>
                    </a:prstGeom>
                    <a:noFill/>
                  </pic:spPr>
                </pic:pic>
              </a:graphicData>
            </a:graphic>
          </wp:anchor>
        </w:drawing>
      </w:r>
    </w:p>
    <w:p>
      <w:pPr>
        <w:spacing w:after="0" w:line="110" w:lineRule="exact"/>
        <w:rPr>
          <w:sz w:val="20"/>
          <w:szCs w:val="20"/>
          <w:color w:val="auto"/>
        </w:rPr>
      </w:pPr>
    </w:p>
    <w:p>
      <w:pPr>
        <w:ind w:left="480"/>
        <w:spacing w:after="0" w:line="256" w:lineRule="auto"/>
        <w:rPr>
          <w:sz w:val="20"/>
          <w:szCs w:val="20"/>
          <w:color w:val="auto"/>
        </w:rPr>
      </w:pPr>
      <w:r>
        <w:rPr>
          <w:rFonts w:ascii="Arial" w:cs="Arial" w:eastAsia="Arial" w:hAnsi="Arial"/>
          <w:sz w:val="17"/>
          <w:szCs w:val="17"/>
          <w:color w:val="auto"/>
        </w:rPr>
        <w:t>New CEO’s signing grant lacked performance hurdles, base pay higher than some peers</w:t>
      </w:r>
    </w:p>
    <w:p>
      <w:pPr>
        <w:spacing w:after="0" w:line="298" w:lineRule="exact"/>
        <w:rPr>
          <w:sz w:val="20"/>
          <w:szCs w:val="20"/>
          <w:color w:val="auto"/>
        </w:rPr>
      </w:pPr>
    </w:p>
    <w:p>
      <w:pPr>
        <w:ind w:left="480" w:right="160"/>
        <w:spacing w:after="0" w:line="256" w:lineRule="auto"/>
        <w:rPr>
          <w:sz w:val="20"/>
          <w:szCs w:val="20"/>
          <w:color w:val="auto"/>
        </w:rPr>
      </w:pPr>
      <w:r>
        <w:rPr>
          <w:rFonts w:ascii="Arial" w:cs="Arial" w:eastAsia="Arial" w:hAnsi="Arial"/>
          <w:sz w:val="17"/>
          <w:szCs w:val="17"/>
          <w:color w:val="auto"/>
        </w:rPr>
        <w:t>Related vocabulary for STI and LTI metrics raises questions of double dipping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24765</wp:posOffset>
            </wp:positionV>
            <wp:extent cx="3304540" cy="3302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04540" cy="330200"/>
                    </a:xfrm>
                    <a:prstGeom prst="rect">
                      <a:avLst/>
                    </a:prstGeom>
                    <a:noFill/>
                  </pic:spPr>
                </pic:pic>
              </a:graphicData>
            </a:graphic>
          </wp:anchor>
        </w:drawing>
      </w:r>
    </w:p>
    <w:p>
      <w:pPr>
        <w:spacing w:after="0" w:line="83" w:lineRule="exact"/>
        <w:rPr>
          <w:sz w:val="20"/>
          <w:szCs w:val="20"/>
          <w:color w:val="auto"/>
        </w:rPr>
      </w:pPr>
    </w:p>
    <w:p>
      <w:pPr>
        <w:ind w:left="480" w:right="560"/>
        <w:spacing w:after="0" w:line="256" w:lineRule="auto"/>
        <w:rPr>
          <w:sz w:val="20"/>
          <w:szCs w:val="20"/>
          <w:color w:val="auto"/>
        </w:rPr>
      </w:pPr>
      <w:r>
        <w:rPr>
          <w:rFonts w:ascii="Arial" w:cs="Arial" w:eastAsia="Arial" w:hAnsi="Arial"/>
          <w:sz w:val="17"/>
          <w:szCs w:val="17"/>
          <w:color w:val="auto"/>
        </w:rPr>
        <w:t>More clarity on STI metrics and annual performance goal selections</w:t>
      </w:r>
    </w:p>
    <w:p>
      <w:pPr>
        <w:spacing w:after="0" w:line="10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Explain any inconsistencies in goals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165735</wp:posOffset>
            </wp:positionV>
            <wp:extent cx="3304540" cy="3302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04540" cy="330200"/>
                    </a:xfrm>
                    <a:prstGeom prst="rect">
                      <a:avLst/>
                    </a:prstGeom>
                    <a:noFill/>
                  </pic:spPr>
                </pic:pic>
              </a:graphicData>
            </a:graphic>
          </wp:anchor>
        </w:drawing>
      </w:r>
    </w:p>
    <w:p>
      <w:pPr>
        <w:spacing w:after="0" w:line="305" w:lineRule="exact"/>
        <w:rPr>
          <w:sz w:val="20"/>
          <w:szCs w:val="20"/>
          <w:color w:val="auto"/>
        </w:rPr>
      </w:pPr>
    </w:p>
    <w:p>
      <w:pPr>
        <w:ind w:left="480" w:right="100"/>
        <w:spacing w:after="0" w:line="256" w:lineRule="auto"/>
        <w:rPr>
          <w:sz w:val="20"/>
          <w:szCs w:val="20"/>
          <w:color w:val="auto"/>
        </w:rPr>
      </w:pPr>
      <w:r>
        <w:rPr>
          <w:rFonts w:ascii="Arial" w:cs="Arial" w:eastAsia="Arial" w:hAnsi="Arial"/>
          <w:sz w:val="17"/>
          <w:szCs w:val="17"/>
          <w:color w:val="auto"/>
        </w:rPr>
        <w:t>More clarity on how achievement level of individual STI metrics contributes to overall STI award</w:t>
      </w:r>
    </w:p>
    <w:p>
      <w:pPr>
        <w:spacing w:after="0" w:line="103" w:lineRule="exact"/>
        <w:rPr>
          <w:sz w:val="20"/>
          <w:szCs w:val="20"/>
          <w:color w:val="auto"/>
        </w:rPr>
      </w:pPr>
    </w:p>
    <w:p>
      <w:pPr>
        <w:ind w:left="480" w:right="60"/>
        <w:spacing w:after="0" w:line="256" w:lineRule="auto"/>
        <w:rPr>
          <w:sz w:val="20"/>
          <w:szCs w:val="20"/>
          <w:color w:val="auto"/>
        </w:rPr>
      </w:pPr>
      <w:r>
        <w:rPr>
          <w:rFonts w:ascii="Arial" w:cs="Arial" w:eastAsia="Arial" w:hAnsi="Arial"/>
          <w:sz w:val="17"/>
          <w:szCs w:val="17"/>
          <w:color w:val="auto"/>
        </w:rPr>
        <w:t>Provide detailed disclosure in new Say-on-Pay table; conflicting views offered on whether detailed footnotes are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24765</wp:posOffset>
            </wp:positionV>
            <wp:extent cx="3304540" cy="7023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04540" cy="702310"/>
                    </a:xfrm>
                    <a:prstGeom prst="rect">
                      <a:avLst/>
                    </a:prstGeom>
                    <a:noFill/>
                  </pic:spPr>
                </pic:pic>
              </a:graphicData>
            </a:graphic>
          </wp:anchor>
        </w:drawing>
      </w:r>
    </w:p>
    <w:p>
      <w:pPr>
        <w:spacing w:after="0" w:line="83" w:lineRule="exact"/>
        <w:rPr>
          <w:sz w:val="20"/>
          <w:szCs w:val="20"/>
          <w:color w:val="auto"/>
        </w:rPr>
      </w:pPr>
    </w:p>
    <w:p>
      <w:pPr>
        <w:ind w:left="480" w:right="280"/>
        <w:spacing w:after="0" w:line="256" w:lineRule="auto"/>
        <w:rPr>
          <w:sz w:val="20"/>
          <w:szCs w:val="20"/>
          <w:color w:val="auto"/>
        </w:rPr>
      </w:pPr>
      <w:r>
        <w:rPr>
          <w:rFonts w:ascii="Arial" w:cs="Arial" w:eastAsia="Arial" w:hAnsi="Arial"/>
          <w:sz w:val="17"/>
          <w:szCs w:val="17"/>
          <w:color w:val="auto"/>
        </w:rPr>
        <w:t>Lack of disclosure surrounding transition payments to former CEO</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6A1834"/>
        </w:rPr>
        <w:t>HOW WE RESPONDED</w:t>
      </w:r>
    </w:p>
    <w:p>
      <w:pPr>
        <w:spacing w:after="0" w:line="12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Offered engagements to shareholders representing 52% of shares outstanding</w:t>
      </w:r>
    </w:p>
    <w:p>
      <w:pPr>
        <w:spacing w:after="0" w:line="5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Engaged on two continents with shareholders representing 49% of shares outstanding</w:t>
      </w:r>
    </w:p>
    <w:p>
      <w:pPr>
        <w:spacing w:after="0" w:line="51" w:lineRule="exact"/>
        <w:rPr>
          <w:sz w:val="20"/>
          <w:szCs w:val="20"/>
          <w:color w:val="auto"/>
        </w:rPr>
      </w:pPr>
    </w:p>
    <w:p>
      <w:pPr>
        <w:ind w:right="880"/>
        <w:spacing w:after="0" w:line="256" w:lineRule="auto"/>
        <w:rPr>
          <w:sz w:val="20"/>
          <w:szCs w:val="20"/>
          <w:color w:val="auto"/>
        </w:rPr>
      </w:pPr>
      <w:r>
        <w:rPr>
          <w:rFonts w:ascii="Arial" w:cs="Arial" w:eastAsia="Arial" w:hAnsi="Arial"/>
          <w:sz w:val="17"/>
          <w:szCs w:val="17"/>
          <w:color w:val="auto"/>
        </w:rPr>
        <w:t>At least one Board member attended the meetings with shareholders representing ~35% of shares outstanding</w:t>
      </w:r>
    </w:p>
    <w:p>
      <w:pPr>
        <w:spacing w:after="0" w:line="51" w:lineRule="exact"/>
        <w:rPr>
          <w:sz w:val="20"/>
          <w:szCs w:val="20"/>
          <w:color w:val="auto"/>
        </w:rPr>
      </w:pPr>
    </w:p>
    <w:p>
      <w:pPr>
        <w:ind w:right="300"/>
        <w:spacing w:after="0" w:line="256" w:lineRule="auto"/>
        <w:rPr>
          <w:sz w:val="20"/>
          <w:szCs w:val="20"/>
          <w:color w:val="auto"/>
        </w:rPr>
      </w:pPr>
      <w:r>
        <w:rPr>
          <w:rFonts w:ascii="Arial" w:cs="Arial" w:eastAsia="Arial" w:hAnsi="Arial"/>
          <w:sz w:val="17"/>
          <w:szCs w:val="17"/>
          <w:color w:val="auto"/>
        </w:rPr>
        <w:t>60% of the engagements including a Board member were held in-person</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We also engaged with both of the leading proxy advisory firms</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55% of our January 2023 LTI grants are performance based, 45% time based</w:t>
      </w:r>
    </w:p>
    <w:p>
      <w:pPr>
        <w:spacing w:after="0" w:line="103"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Added an absolute TSR metric to 2023 LTI performance-based awards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Added 3-yr cliff vesting to 2023 LTI awards</w:t>
      </w:r>
    </w:p>
    <w:p>
      <w:pPr>
        <w:spacing w:after="0" w:line="325" w:lineRule="exact"/>
        <w:rPr>
          <w:sz w:val="20"/>
          <w:szCs w:val="20"/>
          <w:color w:val="auto"/>
        </w:rPr>
      </w:pPr>
    </w:p>
    <w:p>
      <w:pPr>
        <w:ind w:right="520"/>
        <w:spacing w:after="0" w:line="256" w:lineRule="auto"/>
        <w:rPr>
          <w:sz w:val="20"/>
          <w:szCs w:val="20"/>
          <w:color w:val="auto"/>
        </w:rPr>
      </w:pPr>
      <w:r>
        <w:rPr>
          <w:rFonts w:ascii="Arial" w:cs="Arial" w:eastAsia="Arial" w:hAnsi="Arial"/>
          <w:sz w:val="17"/>
          <w:szCs w:val="17"/>
          <w:color w:val="auto"/>
        </w:rPr>
        <w:t>Retained Las Vegas relative Fair Share metrics for 2023 LTI awards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Clawback policy adopted ahead of NASDAQ rule being issued</w:t>
      </w:r>
    </w:p>
    <w:p>
      <w:pPr>
        <w:spacing w:after="0" w:line="130" w:lineRule="exact"/>
        <w:rPr>
          <w:sz w:val="20"/>
          <w:szCs w:val="20"/>
          <w:color w:val="auto"/>
        </w:rPr>
      </w:pPr>
    </w:p>
    <w:p>
      <w:pPr>
        <w:jc w:val="both"/>
        <w:ind w:right="160"/>
        <w:spacing w:after="0" w:line="247" w:lineRule="auto"/>
        <w:rPr>
          <w:sz w:val="20"/>
          <w:szCs w:val="20"/>
          <w:color w:val="auto"/>
        </w:rPr>
      </w:pPr>
      <w:r>
        <w:rPr>
          <w:rFonts w:ascii="Arial" w:cs="Arial" w:eastAsia="Arial" w:hAnsi="Arial"/>
          <w:sz w:val="17"/>
          <w:szCs w:val="17"/>
          <w:color w:val="auto"/>
        </w:rPr>
        <w:t>Internal promotion of CEO a best practice; signing grant aligned pay with external comps particularly for a sought-after executive; CEO total pay below the 25th percentile of peer group</w:t>
      </w:r>
    </w:p>
    <w:p>
      <w:pPr>
        <w:spacing w:after="0" w:line="11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Enhanced disclosure showing STI and LTI metrics are distinct and don’t overlap</w:t>
      </w:r>
    </w:p>
    <w:p>
      <w:pPr>
        <w:spacing w:after="0" w:line="103" w:lineRule="exact"/>
        <w:rPr>
          <w:sz w:val="20"/>
          <w:szCs w:val="20"/>
          <w:color w:val="auto"/>
        </w:rPr>
      </w:pPr>
    </w:p>
    <w:p>
      <w:pPr>
        <w:ind w:right="360"/>
        <w:spacing w:after="0" w:line="256" w:lineRule="auto"/>
        <w:rPr>
          <w:sz w:val="20"/>
          <w:szCs w:val="20"/>
          <w:color w:val="auto"/>
        </w:rPr>
      </w:pPr>
      <w:r>
        <w:rPr>
          <w:rFonts w:ascii="Arial" w:cs="Arial" w:eastAsia="Arial" w:hAnsi="Arial"/>
          <w:sz w:val="17"/>
          <w:szCs w:val="17"/>
          <w:color w:val="auto"/>
        </w:rPr>
        <w:t>More clarity provided. Refer to “Compensation discussion and analysis” — “2022 Compensation design &amp; decisions”</w:t>
      </w:r>
    </w:p>
    <w:p>
      <w:pPr>
        <w:spacing w:after="0" w:line="103"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Improved disclosure on need for temporary adjustments due to pandemic’s exceptional impact, especially in Macau</w:t>
      </w:r>
    </w:p>
    <w:p>
      <w:pPr>
        <w:spacing w:after="0" w:line="103" w:lineRule="exact"/>
        <w:rPr>
          <w:sz w:val="20"/>
          <w:szCs w:val="20"/>
          <w:color w:val="auto"/>
        </w:rPr>
      </w:pPr>
    </w:p>
    <w:p>
      <w:pPr>
        <w:ind w:right="360"/>
        <w:spacing w:after="0" w:line="256" w:lineRule="auto"/>
        <w:rPr>
          <w:sz w:val="20"/>
          <w:szCs w:val="20"/>
          <w:color w:val="auto"/>
        </w:rPr>
      </w:pPr>
      <w:r>
        <w:rPr>
          <w:rFonts w:ascii="Arial" w:cs="Arial" w:eastAsia="Arial" w:hAnsi="Arial"/>
          <w:sz w:val="17"/>
          <w:szCs w:val="17"/>
          <w:color w:val="auto"/>
        </w:rPr>
        <w:t>More clarity provided. Refer to “Compensation discussion and analysis” — “2022 Annual incentive payout”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New table in its own section; footnotes provided</w:t>
      </w:r>
    </w:p>
    <w:p>
      <w:pPr>
        <w:spacing w:after="0" w:line="325"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Filed a DEFA14A on April 25, 2022 clarifying that to ensure a successful CEO transition, the Company entered into a transition agreement with the outgoing CEO which did not include any incremental benefits or compensation, nor vesting of equity, beyond the separation terms in his employment agreement</w:t>
      </w:r>
    </w:p>
    <w:p>
      <w:pPr>
        <w:spacing w:after="0" w:line="200" w:lineRule="exact"/>
        <w:rPr>
          <w:sz w:val="20"/>
          <w:szCs w:val="20"/>
          <w:color w:val="auto"/>
        </w:rPr>
      </w:pPr>
    </w:p>
    <w:p>
      <w:pPr>
        <w:sectPr>
          <w:pgSz w:w="11900" w:h="16838" w:orient="portrait"/>
          <w:cols w:equalWidth="0" w:num="2">
            <w:col w:w="5420" w:space="420"/>
            <w:col w:w="5100"/>
          </w:cols>
          <w:pgMar w:left="320" w:top="473" w:right="639" w:bottom="1440" w:gutter="0" w:footer="0" w:header="0"/>
          <w:type w:val="continuous"/>
        </w:sectPr>
      </w:pPr>
    </w:p>
    <w:p>
      <w:pPr>
        <w:ind w:left="5520"/>
        <w:spacing w:after="0"/>
        <w:rPr>
          <w:sz w:val="20"/>
          <w:szCs w:val="20"/>
          <w:color w:val="auto"/>
        </w:rPr>
      </w:pPr>
      <w:r>
        <w:rPr>
          <w:rFonts w:ascii="Arial" w:cs="Arial" w:eastAsia="Arial" w:hAnsi="Arial"/>
          <w:sz w:val="14"/>
          <w:szCs w:val="14"/>
          <w:color w:val="auto"/>
        </w:rPr>
        <w:t>// 27 //</w:t>
      </w:r>
    </w:p>
    <w:p>
      <w:pPr>
        <w:sectPr>
          <w:pgSz w:w="11900" w:h="16838" w:orient="portrait"/>
          <w:cols w:equalWidth="0" w:num="1">
            <w:col w:w="10940"/>
          </w:cols>
          <w:pgMar w:left="320" w:top="473" w:right="6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Overview of our executive compensation program</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6A1834"/>
        </w:rPr>
        <w:t>RIGOROUS DESIGN, ACCOUNTABILITY AND ALIGNMENT</w:t>
      </w:r>
    </w:p>
    <w:p>
      <w:pPr>
        <w:spacing w:after="0" w:line="21" w:lineRule="exact"/>
        <w:rPr>
          <w:sz w:val="20"/>
          <w:szCs w:val="20"/>
          <w:color w:val="auto"/>
        </w:rPr>
      </w:pPr>
    </w:p>
    <w:p>
      <w:pPr>
        <w:ind w:left="520" w:hanging="204"/>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Annual and long-term incentive compensation remains aligned with long-term shareholder value creation</w:t>
      </w:r>
    </w:p>
    <w:p>
      <w:pPr>
        <w:ind w:left="520" w:right="120" w:hanging="204"/>
        <w:spacing w:after="0" w:line="239"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Compensation Committee set rigorous metrics for 2022 annual incentives with Adjusted Property EBITDAR records at both Wynn Las Vegas and Encore Boston Harbor needing to be achieved to pay out at target among other short-term performance goals</w:t>
      </w:r>
    </w:p>
    <w:p>
      <w:pPr>
        <w:ind w:left="520" w:hanging="204"/>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annual incentive, based on pre-set goals, is paid out 50% in equity (subject to NEO holding requirements)</w:t>
      </w:r>
    </w:p>
    <w:p>
      <w:pPr>
        <w:ind w:left="520" w:hanging="204"/>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Board adopted a clawback policy in anticipation of final NASDAQ rules prescribing such policy</w:t>
      </w:r>
    </w:p>
    <w:p>
      <w:pPr>
        <w:ind w:left="520" w:right="220" w:hanging="204"/>
        <w:spacing w:after="0" w:line="239"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line with our focus on performance-based pay, 86% of 2022 NEO compensation remained at-risk with over half of incentives being focused on long-term performance</w:t>
      </w:r>
    </w:p>
    <w:p>
      <w:pPr>
        <w:ind w:left="520" w:right="280" w:hanging="204"/>
        <w:spacing w:after="0" w:line="239"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increased the proportion of our LTI awards subject to performance conditions from 33% in 2022, which was lower than historic levels due to the heightened uncertainty in Macau at the time of setting goals, to 55% in 2023, including 25% subject to a three-year absolute total shareholder return hurdle rate for CEO and CFO</w:t>
      </w:r>
    </w:p>
    <w:p>
      <w:pPr>
        <w:spacing w:after="0" w:line="1" w:lineRule="exact"/>
        <w:rPr>
          <w:rFonts w:ascii="Arial" w:cs="Arial" w:eastAsia="Arial" w:hAnsi="Arial"/>
          <w:sz w:val="17"/>
          <w:szCs w:val="17"/>
          <w:color w:val="auto"/>
        </w:rPr>
      </w:pPr>
    </w:p>
    <w:p>
      <w:pPr>
        <w:ind w:left="520" w:right="20" w:hanging="204"/>
        <w:spacing w:after="0" w:line="256"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CEO pay is below the 25th percentile based on publicly reported executive compensation information disclosed in 2022 peer group proxy statements as of March 10, 2023</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6A1834"/>
        </w:rPr>
        <w:t>CONTINUED RESPONSIVENESS TO EFFECTS OF COVID-19</w:t>
      </w:r>
    </w:p>
    <w:p>
      <w:pPr>
        <w:spacing w:after="0" w:line="22" w:lineRule="exact"/>
        <w:rPr>
          <w:sz w:val="20"/>
          <w:szCs w:val="20"/>
          <w:color w:val="auto"/>
        </w:rPr>
      </w:pPr>
    </w:p>
    <w:p>
      <w:pPr>
        <w:ind w:left="520" w:right="420" w:hanging="204"/>
        <w:spacing w:after="0" w:line="239"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a result of pandemic-driven travel restrictions for Macau, which reduced that property’s liquidity, our NEOs voluntarily agreed to exchange either 33% or 35% of their cash salary for a grant of stock options</w:t>
      </w:r>
    </w:p>
    <w:p>
      <w:pPr>
        <w:ind w:left="520" w:right="20" w:hanging="204"/>
        <w:spacing w:after="0" w:line="256"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salary reductions in 2022 were in addition to the cash salary reductions ranging from 20% to 100% that the Company implemented for NEOs beginning in 2020 at the outset of the pandemic</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6A1834"/>
        </w:rPr>
        <w:t>KEY LEADERSHIP TRANSITION</w:t>
      </w:r>
    </w:p>
    <w:p>
      <w:pPr>
        <w:spacing w:after="0" w:line="22" w:lineRule="exact"/>
        <w:rPr>
          <w:sz w:val="20"/>
          <w:szCs w:val="20"/>
          <w:color w:val="auto"/>
        </w:rPr>
      </w:pPr>
    </w:p>
    <w:p>
      <w:pPr>
        <w:ind w:left="520" w:hanging="204"/>
        <w:spacing w:after="0" w:line="239"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Effective January 31, 2022, the Board, after full consideration of alternatives, promoted then CFO Craig Billings to replace Matt Maddox as the Company’s CEO. Effective April 18, 2022, the Board recruited Julie Cameron-Doe as CFO</w:t>
      </w:r>
    </w:p>
    <w:p>
      <w:pPr>
        <w:ind w:left="520" w:right="400" w:hanging="204"/>
        <w:spacing w:after="0" w:line="248"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Ms. Cameron-Doe received a one-time $2.5 million partial make-whole grant payment intended to replace a portion of the forfeited restricted stock awards Ms. Cameron-Doe would have received if she had stayed with her previous employer</w:t>
      </w: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28 //</w:t>
      </w:r>
    </w:p>
    <w:p>
      <w:pPr>
        <w:sectPr>
          <w:pgSz w:w="11900" w:h="16838" w:orient="portrait"/>
          <w:cols w:equalWidth="0" w:num="1">
            <w:col w:w="10900"/>
          </w:cols>
          <w:pgMar w:left="320" w:top="473" w:right="67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How we approach executive compensation</w:t>
      </w:r>
    </w:p>
    <w:p>
      <w:pPr>
        <w:spacing w:after="0" w:line="33" w:lineRule="exact"/>
        <w:rPr>
          <w:sz w:val="20"/>
          <w:szCs w:val="20"/>
          <w:color w:val="auto"/>
        </w:rPr>
      </w:pPr>
    </w:p>
    <w:p>
      <w:pPr>
        <w:ind w:left="320" w:right="120"/>
        <w:spacing w:after="0" w:line="256" w:lineRule="auto"/>
        <w:rPr>
          <w:sz w:val="20"/>
          <w:szCs w:val="20"/>
          <w:color w:val="auto"/>
        </w:rPr>
      </w:pPr>
      <w:r>
        <w:rPr>
          <w:rFonts w:ascii="Arial" w:cs="Arial" w:eastAsia="Arial" w:hAnsi="Arial"/>
          <w:sz w:val="17"/>
          <w:szCs w:val="17"/>
          <w:color w:val="auto"/>
        </w:rPr>
        <w:t>Our executive compensation philosophy is to align the interests of executives with those of shareholders by designing incentives that are directly tied to actions which create sustainable long-term shareholder value.</w:t>
      </w:r>
    </w:p>
    <w:p>
      <w:pPr>
        <w:spacing w:after="0" w:line="155" w:lineRule="exact"/>
        <w:rPr>
          <w:sz w:val="20"/>
          <w:szCs w:val="20"/>
          <w:color w:val="auto"/>
        </w:rPr>
      </w:pPr>
    </w:p>
    <w:p>
      <w:pPr>
        <w:ind w:left="320" w:right="360"/>
        <w:spacing w:after="0" w:line="256" w:lineRule="auto"/>
        <w:rPr>
          <w:sz w:val="20"/>
          <w:szCs w:val="20"/>
          <w:color w:val="auto"/>
        </w:rPr>
      </w:pPr>
      <w:r>
        <w:rPr>
          <w:rFonts w:ascii="Arial" w:cs="Arial" w:eastAsia="Arial" w:hAnsi="Arial"/>
          <w:sz w:val="17"/>
          <w:szCs w:val="17"/>
          <w:color w:val="auto"/>
        </w:rPr>
        <w:t>We, the Compensation Committee, believe that our ability to oversee the delivery of operational excellence and sustainable long-term returns to shareholders is inexorably linked to attracting and retaining a high-performing management team.</w:t>
      </w:r>
    </w:p>
    <w:p>
      <w:pPr>
        <w:spacing w:after="0" w:line="142" w:lineRule="exact"/>
        <w:rPr>
          <w:sz w:val="20"/>
          <w:szCs w:val="20"/>
          <w:color w:val="auto"/>
        </w:rPr>
      </w:pPr>
    </w:p>
    <w:p>
      <w:pPr>
        <w:ind w:left="320" w:right="40"/>
        <w:spacing w:after="0" w:line="239" w:lineRule="auto"/>
        <w:rPr>
          <w:sz w:val="20"/>
          <w:szCs w:val="20"/>
          <w:color w:val="auto"/>
        </w:rPr>
      </w:pPr>
      <w:r>
        <w:rPr>
          <w:rFonts w:ascii="Arial" w:cs="Arial" w:eastAsia="Arial" w:hAnsi="Arial"/>
          <w:sz w:val="17"/>
          <w:szCs w:val="17"/>
          <w:color w:val="auto"/>
        </w:rPr>
        <w:t>Hence, the executive compensation program must be designed to attract, reward, and retain executive officers who create continual near-and long-term shareholder value by achieving the Company’s strategic goals, as established by the Compensation Committee. We</w:t>
      </w:r>
    </w:p>
    <w:p>
      <w:pPr>
        <w:spacing w:after="0" w:line="1" w:lineRule="exact"/>
        <w:rPr>
          <w:sz w:val="20"/>
          <w:szCs w:val="20"/>
          <w:color w:val="auto"/>
        </w:rPr>
      </w:pPr>
    </w:p>
    <w:p>
      <w:pPr>
        <w:ind w:left="320" w:right="680"/>
        <w:spacing w:after="0" w:line="256" w:lineRule="auto"/>
        <w:rPr>
          <w:sz w:val="20"/>
          <w:szCs w:val="20"/>
          <w:color w:val="auto"/>
        </w:rPr>
      </w:pPr>
      <w:r>
        <w:rPr>
          <w:rFonts w:ascii="Arial" w:cs="Arial" w:eastAsia="Arial" w:hAnsi="Arial"/>
          <w:sz w:val="17"/>
          <w:szCs w:val="17"/>
          <w:color w:val="auto"/>
        </w:rPr>
        <w:t>also believe that stability at the executive level is key to the strength of the Company, particularly given the relatively small pool of executives with gaming experience for whom we compete.</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 achieve this, we rely on the following principles:</w:t>
      </w:r>
    </w:p>
    <w:p>
      <w:pPr>
        <w:spacing w:after="0" w:line="182" w:lineRule="exact"/>
        <w:rPr>
          <w:sz w:val="20"/>
          <w:szCs w:val="20"/>
          <w:color w:val="auto"/>
        </w:rPr>
      </w:pPr>
    </w:p>
    <w:p>
      <w:pPr>
        <w:ind w:left="320" w:right="100"/>
        <w:spacing w:after="0" w:line="243" w:lineRule="auto"/>
        <w:rPr>
          <w:sz w:val="20"/>
          <w:szCs w:val="20"/>
          <w:color w:val="auto"/>
        </w:rPr>
      </w:pPr>
      <w:r>
        <w:rPr>
          <w:rFonts w:ascii="Arial" w:cs="Arial" w:eastAsia="Arial" w:hAnsi="Arial"/>
          <w:sz w:val="17"/>
          <w:szCs w:val="17"/>
          <w:color w:val="6A1834"/>
        </w:rPr>
        <w:t xml:space="preserve">PAY-FOR-SUSTAINABLE PERFORMANCE: </w:t>
      </w:r>
      <w:r>
        <w:rPr>
          <w:rFonts w:ascii="Arial" w:cs="Arial" w:eastAsia="Arial" w:hAnsi="Arial"/>
          <w:sz w:val="17"/>
          <w:szCs w:val="17"/>
          <w:color w:val="000000"/>
        </w:rPr>
        <w:t>The majority of our executives’ total compensation is tied to achieving annual and long-term</w:t>
      </w:r>
      <w:r>
        <w:rPr>
          <w:rFonts w:ascii="Arial" w:cs="Arial" w:eastAsia="Arial" w:hAnsi="Arial"/>
          <w:sz w:val="17"/>
          <w:szCs w:val="17"/>
          <w:color w:val="6A1834"/>
        </w:rPr>
        <w:t xml:space="preserve"> </w:t>
      </w:r>
      <w:r>
        <w:rPr>
          <w:rFonts w:ascii="Arial" w:cs="Arial" w:eastAsia="Arial" w:hAnsi="Arial"/>
          <w:sz w:val="17"/>
          <w:szCs w:val="17"/>
          <w:color w:val="000000"/>
        </w:rPr>
        <w:t>goals that enhance the value of our reputation and brand, sustain the performance and attractiveness of our resorts and drive long-term shareholder value. The Compensation Committee retains discretion to reduce amounts earned and payable when doing so will further these goals. Further, 50% of annual incentive is paid in equity (rather than all cash), and equity is subject to our robust holding requirements.</w:t>
      </w:r>
    </w:p>
    <w:p>
      <w:pPr>
        <w:spacing w:after="0" w:line="155" w:lineRule="exact"/>
        <w:rPr>
          <w:sz w:val="20"/>
          <w:szCs w:val="20"/>
          <w:color w:val="auto"/>
        </w:rPr>
      </w:pPr>
    </w:p>
    <w:p>
      <w:pPr>
        <w:ind w:left="320"/>
        <w:spacing w:after="0" w:line="243" w:lineRule="auto"/>
        <w:rPr>
          <w:sz w:val="20"/>
          <w:szCs w:val="20"/>
          <w:color w:val="auto"/>
        </w:rPr>
      </w:pPr>
      <w:r>
        <w:rPr>
          <w:rFonts w:ascii="Arial" w:cs="Arial" w:eastAsia="Arial" w:hAnsi="Arial"/>
          <w:sz w:val="17"/>
          <w:szCs w:val="17"/>
          <w:color w:val="6A1834"/>
        </w:rPr>
        <w:t xml:space="preserve">SHAREHOLDER ALIGNMENT: </w:t>
      </w:r>
      <w:r>
        <w:rPr>
          <w:rFonts w:ascii="Arial" w:cs="Arial" w:eastAsia="Arial" w:hAnsi="Arial"/>
          <w:sz w:val="17"/>
          <w:szCs w:val="17"/>
          <w:color w:val="000000"/>
        </w:rPr>
        <w:t>Our long-term equity incentives align executives’ interests with those of shareholders and other</w:t>
      </w:r>
      <w:r>
        <w:rPr>
          <w:rFonts w:ascii="Arial" w:cs="Arial" w:eastAsia="Arial" w:hAnsi="Arial"/>
          <w:sz w:val="17"/>
          <w:szCs w:val="17"/>
          <w:color w:val="6A1834"/>
        </w:rPr>
        <w:t xml:space="preserve"> </w:t>
      </w:r>
      <w:r>
        <w:rPr>
          <w:rFonts w:ascii="Arial" w:cs="Arial" w:eastAsia="Arial" w:hAnsi="Arial"/>
          <w:sz w:val="17"/>
          <w:szCs w:val="17"/>
          <w:color w:val="000000"/>
        </w:rPr>
        <w:t>stakeholders. Our executive compensation focuses on key metrics that are critical drivers for realizing our strategic objectives and achieving long-term results. By focusing on regular equity grants that vest over three years and on performance-based awards, we believe that the alignment of interest is strengthened, especially when coupled with stock holding requirements for executives (6x base salary for our CEO and 3x base salary for our other NEOs).</w:t>
      </w:r>
    </w:p>
    <w:p>
      <w:pPr>
        <w:spacing w:after="0" w:line="194" w:lineRule="exact"/>
        <w:rPr>
          <w:sz w:val="20"/>
          <w:szCs w:val="20"/>
          <w:color w:val="auto"/>
        </w:rPr>
      </w:pPr>
    </w:p>
    <w:p>
      <w:pPr>
        <w:ind w:left="320" w:right="100"/>
        <w:spacing w:after="0" w:line="256" w:lineRule="auto"/>
        <w:rPr>
          <w:sz w:val="20"/>
          <w:szCs w:val="20"/>
          <w:color w:val="auto"/>
        </w:rPr>
      </w:pPr>
      <w:r>
        <w:rPr>
          <w:rFonts w:ascii="Arial" w:cs="Arial" w:eastAsia="Arial" w:hAnsi="Arial"/>
          <w:sz w:val="17"/>
          <w:szCs w:val="17"/>
          <w:color w:val="6A1834"/>
        </w:rPr>
        <w:t xml:space="preserve">SIMPLICITY AND CLARITY: </w:t>
      </w:r>
      <w:r>
        <w:rPr>
          <w:rFonts w:ascii="Arial" w:cs="Arial" w:eastAsia="Arial" w:hAnsi="Arial"/>
          <w:sz w:val="17"/>
          <w:szCs w:val="17"/>
          <w:color w:val="000000"/>
        </w:rPr>
        <w:t>We value pay structures that are simple and clear. We believe pay simplicity promotes transparency, avoids</w:t>
      </w:r>
      <w:r>
        <w:rPr>
          <w:rFonts w:ascii="Arial" w:cs="Arial" w:eastAsia="Arial" w:hAnsi="Arial"/>
          <w:sz w:val="17"/>
          <w:szCs w:val="17"/>
          <w:color w:val="6A1834"/>
        </w:rPr>
        <w:t xml:space="preserve"> </w:t>
      </w:r>
      <w:r>
        <w:rPr>
          <w:rFonts w:ascii="Arial" w:cs="Arial" w:eastAsia="Arial" w:hAnsi="Arial"/>
          <w:sz w:val="17"/>
          <w:szCs w:val="17"/>
          <w:color w:val="000000"/>
        </w:rPr>
        <w:t>incentivizing pay goals at the expense of ongoing excellence and performance, and promotes teamwork.</w:t>
      </w:r>
    </w:p>
    <w:p>
      <w:pPr>
        <w:spacing w:after="0" w:line="181" w:lineRule="exact"/>
        <w:rPr>
          <w:sz w:val="20"/>
          <w:szCs w:val="20"/>
          <w:color w:val="auto"/>
        </w:rPr>
      </w:pPr>
    </w:p>
    <w:p>
      <w:pPr>
        <w:ind w:left="320" w:right="80"/>
        <w:spacing w:after="0" w:line="245" w:lineRule="auto"/>
        <w:rPr>
          <w:sz w:val="20"/>
          <w:szCs w:val="20"/>
          <w:color w:val="auto"/>
        </w:rPr>
      </w:pPr>
      <w:r>
        <w:rPr>
          <w:rFonts w:ascii="Arial" w:cs="Arial" w:eastAsia="Arial" w:hAnsi="Arial"/>
          <w:sz w:val="17"/>
          <w:szCs w:val="17"/>
          <w:color w:val="6A1834"/>
        </w:rPr>
        <w:t xml:space="preserve">ATTRACT AND RETAIN TOP TALENT: </w:t>
      </w:r>
      <w:r>
        <w:rPr>
          <w:rFonts w:ascii="Arial" w:cs="Arial" w:eastAsia="Arial" w:hAnsi="Arial"/>
          <w:sz w:val="17"/>
          <w:szCs w:val="17"/>
          <w:color w:val="000000"/>
        </w:rPr>
        <w:t>Our business spans continents, can be subject to meaningful volatility, requires tight coordination</w:t>
      </w:r>
      <w:r>
        <w:rPr>
          <w:rFonts w:ascii="Arial" w:cs="Arial" w:eastAsia="Arial" w:hAnsi="Arial"/>
          <w:sz w:val="17"/>
          <w:szCs w:val="17"/>
          <w:color w:val="6A1834"/>
        </w:rPr>
        <w:t xml:space="preserve"> </w:t>
      </w:r>
      <w:r>
        <w:rPr>
          <w:rFonts w:ascii="Arial" w:cs="Arial" w:eastAsia="Arial" w:hAnsi="Arial"/>
          <w:sz w:val="17"/>
          <w:szCs w:val="17"/>
          <w:color w:val="000000"/>
        </w:rPr>
        <w:t>with regulators, depends on knowledge of numerous types of complex operations, requires diligent investment over many years and across business cycles, and is highly dependent on a reputation for excellence and integrity, so finding and retaining top talent is a critical element of our compensation.</w:t>
      </w:r>
    </w:p>
    <w:p>
      <w:pPr>
        <w:spacing w:after="0" w:line="131"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 29 //</w:t>
      </w:r>
    </w:p>
    <w:p>
      <w:pPr>
        <w:sectPr>
          <w:pgSz w:w="11900" w:h="16838" w:orient="portrait"/>
          <w:cols w:equalWidth="0" w:num="1">
            <w:col w:w="10900"/>
          </w:cols>
          <w:pgMar w:left="320" w:top="473" w:right="67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25"/>
          <w:szCs w:val="25"/>
          <w:b w:val="1"/>
          <w:bCs w:val="1"/>
          <w:color w:val="auto"/>
        </w:rPr>
        <w:t>Executive compensation components</w:t>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6A1834"/>
        </w:rPr>
        <w:t>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131445</wp:posOffset>
            </wp:positionV>
            <wp:extent cx="1007745" cy="941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07745" cy="941705"/>
                    </a:xfrm>
                    <a:prstGeom prst="rect">
                      <a:avLst/>
                    </a:prstGeom>
                    <a:noFill/>
                  </pic:spPr>
                </pic:pic>
              </a:graphicData>
            </a:graphic>
          </wp:anchor>
        </w:drawing>
      </w:r>
    </w:p>
    <w:p>
      <w:pPr>
        <w:spacing w:after="0" w:line="25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Annual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745490</wp:posOffset>
            </wp:positionV>
            <wp:extent cx="1007745" cy="5041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07745" cy="50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80"/>
        <w:spacing w:after="0" w:line="237" w:lineRule="auto"/>
        <w:rPr>
          <w:sz w:val="20"/>
          <w:szCs w:val="20"/>
          <w:color w:val="auto"/>
        </w:rPr>
      </w:pPr>
      <w:r>
        <w:rPr>
          <w:rFonts w:ascii="Arial" w:cs="Arial" w:eastAsia="Arial" w:hAnsi="Arial"/>
          <w:sz w:val="14"/>
          <w:szCs w:val="14"/>
          <w:color w:val="auto"/>
        </w:rPr>
        <w:t>Long-term incentives: Performance-based restricted stock (1)</w:t>
      </w:r>
    </w:p>
    <w:p>
      <w:pPr>
        <w:spacing w:after="0" w:line="317" w:lineRule="exact"/>
        <w:rPr>
          <w:sz w:val="20"/>
          <w:szCs w:val="20"/>
          <w:color w:val="auto"/>
        </w:rPr>
      </w:pPr>
    </w:p>
    <w:p>
      <w:pPr>
        <w:jc w:val="both"/>
        <w:ind w:left="380"/>
        <w:spacing w:after="0" w:line="237" w:lineRule="auto"/>
        <w:rPr>
          <w:sz w:val="20"/>
          <w:szCs w:val="20"/>
          <w:color w:val="auto"/>
        </w:rPr>
      </w:pPr>
      <w:r>
        <w:rPr>
          <w:rFonts w:ascii="Arial" w:cs="Arial" w:eastAsia="Arial" w:hAnsi="Arial"/>
          <w:sz w:val="14"/>
          <w:szCs w:val="14"/>
          <w:color w:val="auto"/>
        </w:rPr>
        <w:t>Long-term incentives: Time-based restricted stock</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2"/>
        </w:trPr>
        <w:tc>
          <w:tcPr>
            <w:tcW w:w="1620" w:type="dxa"/>
            <w:vAlign w:val="bottom"/>
            <w:tcBorders>
              <w:left w:val="single" w:sz="8" w:color="E2EDED"/>
              <w:right w:val="single" w:sz="8" w:color="E2EDED"/>
            </w:tcBorders>
          </w:tcPr>
          <w:p>
            <w:pPr>
              <w:jc w:val="center"/>
              <w:spacing w:after="0"/>
              <w:rPr>
                <w:sz w:val="20"/>
                <w:szCs w:val="20"/>
                <w:color w:val="auto"/>
              </w:rPr>
            </w:pPr>
            <w:r>
              <w:rPr>
                <w:rFonts w:ascii="Arial" w:cs="Arial" w:eastAsia="Arial" w:hAnsi="Arial"/>
                <w:sz w:val="12"/>
                <w:szCs w:val="12"/>
                <w:b w:val="1"/>
                <w:bCs w:val="1"/>
                <w:color w:val="6A1834"/>
                <w:w w:val="97"/>
              </w:rPr>
              <w:t>% OF TOTAL</w:t>
            </w:r>
          </w:p>
        </w:tc>
        <w:tc>
          <w:tcPr>
            <w:tcW w:w="840" w:type="dxa"/>
            <w:vAlign w:val="bottom"/>
            <w:tcBorders>
              <w:right w:val="single" w:sz="8" w:color="E2EDED"/>
            </w:tcBorders>
            <w:vMerge w:val="restart"/>
          </w:tcPr>
          <w:p>
            <w:pPr>
              <w:jc w:val="center"/>
              <w:spacing w:after="0"/>
              <w:rPr>
                <w:sz w:val="20"/>
                <w:szCs w:val="20"/>
                <w:color w:val="auto"/>
              </w:rPr>
            </w:pPr>
            <w:r>
              <w:rPr>
                <w:rFonts w:ascii="Arial" w:cs="Arial" w:eastAsia="Arial" w:hAnsi="Arial"/>
                <w:sz w:val="12"/>
                <w:szCs w:val="12"/>
                <w:b w:val="1"/>
                <w:bCs w:val="1"/>
                <w:color w:val="6A1834"/>
                <w:w w:val="89"/>
              </w:rPr>
              <w:t>AT-</w:t>
            </w:r>
          </w:p>
        </w:tc>
        <w:tc>
          <w:tcPr>
            <w:tcW w:w="3340" w:type="dxa"/>
            <w:vAlign w:val="bottom"/>
            <w:tcBorders>
              <w:right w:val="single" w:sz="8" w:color="E2EDED"/>
            </w:tcBorders>
          </w:tcPr>
          <w:p>
            <w:pPr>
              <w:spacing w:after="0"/>
              <w:rPr>
                <w:sz w:val="14"/>
                <w:szCs w:val="14"/>
                <w:color w:val="auto"/>
              </w:rPr>
            </w:pP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1620" w:type="dxa"/>
            <w:vAlign w:val="bottom"/>
            <w:tcBorders>
              <w:left w:val="single" w:sz="8" w:color="E2EDED"/>
              <w:right w:val="single" w:sz="8" w:color="E2EDED"/>
            </w:tcBorders>
            <w:vMerge w:val="restart"/>
          </w:tcPr>
          <w:p>
            <w:pPr>
              <w:jc w:val="center"/>
              <w:spacing w:after="0" w:line="130" w:lineRule="exact"/>
              <w:rPr>
                <w:sz w:val="20"/>
                <w:szCs w:val="20"/>
                <w:color w:val="auto"/>
              </w:rPr>
            </w:pPr>
            <w:r>
              <w:rPr>
                <w:rFonts w:ascii="Arial" w:cs="Arial" w:eastAsia="Arial" w:hAnsi="Arial"/>
                <w:sz w:val="12"/>
                <w:szCs w:val="12"/>
                <w:b w:val="1"/>
                <w:bCs w:val="1"/>
                <w:color w:val="6A1834"/>
              </w:rPr>
              <w:t>ANNUAL</w:t>
            </w:r>
          </w:p>
        </w:tc>
        <w:tc>
          <w:tcPr>
            <w:tcW w:w="840" w:type="dxa"/>
            <w:vAlign w:val="bottom"/>
            <w:tcBorders>
              <w:right w:val="single" w:sz="8" w:color="E2EDED"/>
            </w:tcBorders>
            <w:vMerge w:val="continue"/>
          </w:tcPr>
          <w:p>
            <w:pPr>
              <w:spacing w:after="0"/>
              <w:rPr>
                <w:sz w:val="5"/>
                <w:szCs w:val="5"/>
                <w:color w:val="auto"/>
              </w:rPr>
            </w:pPr>
          </w:p>
        </w:tc>
        <w:tc>
          <w:tcPr>
            <w:tcW w:w="3340" w:type="dxa"/>
            <w:vAlign w:val="bottom"/>
            <w:tcBorders>
              <w:right w:val="single" w:sz="8" w:color="E2EDED"/>
            </w:tcBorders>
            <w:vMerge w:val="restart"/>
          </w:tcPr>
          <w:p>
            <w:pPr>
              <w:ind w:left="1360"/>
              <w:spacing w:after="0" w:line="130" w:lineRule="exact"/>
              <w:rPr>
                <w:sz w:val="20"/>
                <w:szCs w:val="20"/>
                <w:color w:val="auto"/>
              </w:rPr>
            </w:pPr>
            <w:r>
              <w:rPr>
                <w:rFonts w:ascii="Arial" w:cs="Arial" w:eastAsia="Arial" w:hAnsi="Arial"/>
                <w:sz w:val="12"/>
                <w:szCs w:val="12"/>
                <w:b w:val="1"/>
                <w:bCs w:val="1"/>
                <w:color w:val="6A1834"/>
              </w:rPr>
              <w:t>FEATURES</w:t>
            </w:r>
          </w:p>
        </w:tc>
        <w:tc>
          <w:tcPr>
            <w:tcW w:w="3240" w:type="dxa"/>
            <w:vAlign w:val="bottom"/>
            <w:vMerge w:val="restart"/>
          </w:tcPr>
          <w:p>
            <w:pPr>
              <w:ind w:left="1220"/>
              <w:spacing w:after="0" w:line="130" w:lineRule="exact"/>
              <w:rPr>
                <w:sz w:val="20"/>
                <w:szCs w:val="20"/>
                <w:color w:val="auto"/>
              </w:rPr>
            </w:pPr>
            <w:r>
              <w:rPr>
                <w:rFonts w:ascii="Arial" w:cs="Arial" w:eastAsia="Arial" w:hAnsi="Arial"/>
                <w:sz w:val="12"/>
                <w:szCs w:val="12"/>
                <w:b w:val="1"/>
                <w:bCs w:val="1"/>
                <w:color w:val="6A1834"/>
              </w:rPr>
              <w:t>2022 RESULTS</w:t>
            </w:r>
          </w:p>
        </w:tc>
        <w:tc>
          <w:tcPr>
            <w:tcW w:w="0" w:type="dxa"/>
            <w:vAlign w:val="bottom"/>
          </w:tcPr>
          <w:p>
            <w:pPr>
              <w:spacing w:after="0"/>
              <w:rPr>
                <w:sz w:val="1"/>
                <w:szCs w:val="1"/>
                <w:color w:val="auto"/>
              </w:rPr>
            </w:pPr>
          </w:p>
        </w:tc>
      </w:tr>
      <w:tr>
        <w:trPr>
          <w:trHeight w:val="65"/>
        </w:trPr>
        <w:tc>
          <w:tcPr>
            <w:tcW w:w="1620" w:type="dxa"/>
            <w:vAlign w:val="bottom"/>
            <w:tcBorders>
              <w:left w:val="single" w:sz="8" w:color="E2EDED"/>
              <w:right w:val="single" w:sz="8" w:color="E2EDED"/>
            </w:tcBorders>
            <w:vMerge w:val="continue"/>
          </w:tcPr>
          <w:p>
            <w:pPr>
              <w:spacing w:after="0"/>
              <w:rPr>
                <w:sz w:val="5"/>
                <w:szCs w:val="5"/>
                <w:color w:val="auto"/>
              </w:rPr>
            </w:pPr>
          </w:p>
        </w:tc>
        <w:tc>
          <w:tcPr>
            <w:tcW w:w="840" w:type="dxa"/>
            <w:vAlign w:val="bottom"/>
            <w:tcBorders>
              <w:right w:val="single" w:sz="8" w:color="E2EDED"/>
            </w:tcBorders>
            <w:vMerge w:val="restart"/>
          </w:tcPr>
          <w:p>
            <w:pPr>
              <w:jc w:val="center"/>
              <w:spacing w:after="0"/>
              <w:rPr>
                <w:sz w:val="20"/>
                <w:szCs w:val="20"/>
                <w:color w:val="auto"/>
              </w:rPr>
            </w:pPr>
            <w:r>
              <w:rPr>
                <w:rFonts w:ascii="Arial" w:cs="Arial" w:eastAsia="Arial" w:hAnsi="Arial"/>
                <w:sz w:val="12"/>
                <w:szCs w:val="12"/>
                <w:b w:val="1"/>
                <w:bCs w:val="1"/>
                <w:color w:val="6A1834"/>
                <w:w w:val="99"/>
              </w:rPr>
              <w:t>RISK?</w:t>
            </w:r>
          </w:p>
        </w:tc>
        <w:tc>
          <w:tcPr>
            <w:tcW w:w="3340" w:type="dxa"/>
            <w:vAlign w:val="bottom"/>
            <w:tcBorders>
              <w:right w:val="single" w:sz="8" w:color="E2EDED"/>
            </w:tcBorders>
            <w:vMerge w:val="continue"/>
          </w:tcPr>
          <w:p>
            <w:pPr>
              <w:spacing w:after="0"/>
              <w:rPr>
                <w:sz w:val="5"/>
                <w:szCs w:val="5"/>
                <w:color w:val="auto"/>
              </w:rPr>
            </w:pPr>
          </w:p>
        </w:tc>
        <w:tc>
          <w:tcPr>
            <w:tcW w:w="3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620" w:type="dxa"/>
            <w:vAlign w:val="bottom"/>
            <w:tcBorders>
              <w:left w:val="single" w:sz="8" w:color="E2EDED"/>
              <w:right w:val="single" w:sz="8" w:color="E2EDED"/>
            </w:tcBorders>
            <w:vMerge w:val="restart"/>
          </w:tcPr>
          <w:p>
            <w:pPr>
              <w:jc w:val="center"/>
              <w:spacing w:after="0"/>
              <w:rPr>
                <w:sz w:val="20"/>
                <w:szCs w:val="20"/>
                <w:color w:val="auto"/>
              </w:rPr>
            </w:pPr>
            <w:r>
              <w:rPr>
                <w:rFonts w:ascii="Arial" w:cs="Arial" w:eastAsia="Arial" w:hAnsi="Arial"/>
                <w:sz w:val="12"/>
                <w:szCs w:val="12"/>
                <w:b w:val="1"/>
                <w:bCs w:val="1"/>
                <w:color w:val="6A1834"/>
              </w:rPr>
              <w:t>COMPENSATION</w:t>
            </w:r>
          </w:p>
        </w:tc>
        <w:tc>
          <w:tcPr>
            <w:tcW w:w="840" w:type="dxa"/>
            <w:vAlign w:val="bottom"/>
            <w:tcBorders>
              <w:right w:val="single" w:sz="8" w:color="E2EDED"/>
            </w:tcBorders>
            <w:vMerge w:val="continue"/>
          </w:tcPr>
          <w:p>
            <w:pPr>
              <w:spacing w:after="0"/>
              <w:rPr>
                <w:sz w:val="8"/>
                <w:szCs w:val="8"/>
                <w:color w:val="auto"/>
              </w:rPr>
            </w:pPr>
          </w:p>
        </w:tc>
        <w:tc>
          <w:tcPr>
            <w:tcW w:w="3340" w:type="dxa"/>
            <w:vAlign w:val="bottom"/>
            <w:tcBorders>
              <w:right w:val="single" w:sz="8" w:color="E2EDED"/>
            </w:tcBorders>
          </w:tcPr>
          <w:p>
            <w:pPr>
              <w:spacing w:after="0"/>
              <w:rPr>
                <w:sz w:val="8"/>
                <w:szCs w:val="8"/>
                <w:color w:val="auto"/>
              </w:rPr>
            </w:pPr>
          </w:p>
        </w:tc>
        <w:tc>
          <w:tcPr>
            <w:tcW w:w="3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620" w:type="dxa"/>
            <w:vAlign w:val="bottom"/>
            <w:tcBorders>
              <w:left w:val="single" w:sz="8" w:color="E2EDED"/>
              <w:right w:val="single" w:sz="8" w:color="E2EDED"/>
            </w:tcBorders>
            <w:vMerge w:val="continue"/>
          </w:tcPr>
          <w:p>
            <w:pPr>
              <w:spacing w:after="0"/>
              <w:rPr>
                <w:sz w:val="5"/>
                <w:szCs w:val="5"/>
                <w:color w:val="auto"/>
              </w:rPr>
            </w:pPr>
          </w:p>
        </w:tc>
        <w:tc>
          <w:tcPr>
            <w:tcW w:w="840" w:type="dxa"/>
            <w:vAlign w:val="bottom"/>
            <w:tcBorders>
              <w:right w:val="single" w:sz="8" w:color="E2EDED"/>
            </w:tcBorders>
          </w:tcPr>
          <w:p>
            <w:pPr>
              <w:spacing w:after="0"/>
              <w:rPr>
                <w:sz w:val="5"/>
                <w:szCs w:val="5"/>
                <w:color w:val="auto"/>
              </w:rPr>
            </w:pPr>
          </w:p>
        </w:tc>
        <w:tc>
          <w:tcPr>
            <w:tcW w:w="3340" w:type="dxa"/>
            <w:vAlign w:val="bottom"/>
            <w:tcBorders>
              <w:right w:val="single" w:sz="8" w:color="E2EDED"/>
            </w:tcBorders>
          </w:tcPr>
          <w:p>
            <w:pPr>
              <w:spacing w:after="0"/>
              <w:rPr>
                <w:sz w:val="5"/>
                <w:szCs w:val="5"/>
                <w:color w:val="auto"/>
              </w:rPr>
            </w:pPr>
          </w:p>
        </w:tc>
        <w:tc>
          <w:tcPr>
            <w:tcW w:w="3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620" w:type="dxa"/>
            <w:vAlign w:val="bottom"/>
            <w:tcBorders>
              <w:left w:val="single" w:sz="8" w:color="E2EDED"/>
              <w:right w:val="single" w:sz="8" w:color="E2EDED"/>
            </w:tcBorders>
          </w:tcPr>
          <w:p>
            <w:pPr>
              <w:spacing w:after="0"/>
              <w:rPr>
                <w:sz w:val="4"/>
                <w:szCs w:val="4"/>
                <w:color w:val="auto"/>
              </w:rPr>
            </w:pPr>
          </w:p>
        </w:tc>
        <w:tc>
          <w:tcPr>
            <w:tcW w:w="840" w:type="dxa"/>
            <w:vAlign w:val="bottom"/>
            <w:tcBorders>
              <w:right w:val="single" w:sz="8" w:color="E2EDED"/>
            </w:tcBorders>
          </w:tcPr>
          <w:p>
            <w:pPr>
              <w:spacing w:after="0"/>
              <w:rPr>
                <w:sz w:val="4"/>
                <w:szCs w:val="4"/>
                <w:color w:val="auto"/>
              </w:rPr>
            </w:pPr>
          </w:p>
        </w:tc>
        <w:tc>
          <w:tcPr>
            <w:tcW w:w="3340" w:type="dxa"/>
            <w:vAlign w:val="bottom"/>
            <w:tcBorders>
              <w:right w:val="single" w:sz="8" w:color="E2EDED"/>
            </w:tcBorders>
          </w:tcPr>
          <w:p>
            <w:pPr>
              <w:spacing w:after="0"/>
              <w:rPr>
                <w:sz w:val="4"/>
                <w:szCs w:val="4"/>
                <w:color w:val="auto"/>
              </w:rPr>
            </w:pPr>
          </w:p>
        </w:tc>
        <w:tc>
          <w:tcPr>
            <w:tcW w:w="3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620" w:type="dxa"/>
            <w:vAlign w:val="bottom"/>
            <w:tcBorders>
              <w:left w:val="single" w:sz="8" w:color="E2EDED"/>
              <w:right w:val="single" w:sz="8" w:color="E2EDED"/>
            </w:tcBorders>
            <w:shd w:val="clear" w:color="auto" w:fill="E1D0D6"/>
          </w:tcPr>
          <w:p>
            <w:pPr>
              <w:jc w:val="center"/>
              <w:spacing w:after="0"/>
              <w:rPr>
                <w:sz w:val="20"/>
                <w:szCs w:val="20"/>
                <w:color w:val="auto"/>
              </w:rPr>
            </w:pPr>
            <w:r>
              <w:rPr>
                <w:rFonts w:ascii="Arial" w:cs="Arial" w:eastAsia="Arial" w:hAnsi="Arial"/>
                <w:sz w:val="14"/>
                <w:szCs w:val="14"/>
                <w:color w:val="auto"/>
                <w:w w:val="92"/>
              </w:rPr>
              <w:t>14%</w:t>
            </w:r>
          </w:p>
        </w:tc>
        <w:tc>
          <w:tcPr>
            <w:tcW w:w="840" w:type="dxa"/>
            <w:vAlign w:val="bottom"/>
            <w:tcBorders>
              <w:right w:val="single" w:sz="8" w:color="E2EDED"/>
            </w:tcBorders>
            <w:shd w:val="clear" w:color="auto" w:fill="E1D0D6"/>
          </w:tcPr>
          <w:p>
            <w:pPr>
              <w:jc w:val="center"/>
              <w:spacing w:after="0"/>
              <w:rPr>
                <w:sz w:val="20"/>
                <w:szCs w:val="20"/>
                <w:color w:val="auto"/>
              </w:rPr>
            </w:pPr>
            <w:r>
              <w:rPr>
                <w:rFonts w:ascii="Arial" w:cs="Arial" w:eastAsia="Arial" w:hAnsi="Arial"/>
                <w:sz w:val="14"/>
                <w:szCs w:val="14"/>
                <w:color w:val="auto"/>
              </w:rPr>
              <w:t>No</w:t>
            </w:r>
          </w:p>
        </w:tc>
        <w:tc>
          <w:tcPr>
            <w:tcW w:w="3340" w:type="dxa"/>
            <w:vAlign w:val="bottom"/>
            <w:tcBorders>
              <w:right w:val="single" w:sz="8" w:color="E2EDED"/>
            </w:tcBorders>
            <w:shd w:val="clear" w:color="auto" w:fill="E1D0D6"/>
          </w:tcPr>
          <w:p>
            <w:pPr>
              <w:ind w:left="100"/>
              <w:spacing w:after="0"/>
              <w:rPr>
                <w:sz w:val="20"/>
                <w:szCs w:val="20"/>
                <w:color w:val="auto"/>
              </w:rPr>
            </w:pPr>
            <w:r>
              <w:rPr>
                <w:rFonts w:ascii="Arial" w:cs="Arial" w:eastAsia="Arial" w:hAnsi="Arial"/>
                <w:sz w:val="14"/>
                <w:szCs w:val="14"/>
                <w:color w:val="auto"/>
              </w:rPr>
              <w:t>Attract and retain top employees and recognize</w:t>
            </w:r>
          </w:p>
        </w:tc>
        <w:tc>
          <w:tcPr>
            <w:tcW w:w="3240" w:type="dxa"/>
            <w:vAlign w:val="bottom"/>
            <w:shd w:val="clear" w:color="auto" w:fill="E1D0D6"/>
          </w:tcPr>
          <w:p>
            <w:pPr>
              <w:ind w:left="120"/>
              <w:spacing w:after="0"/>
              <w:rPr>
                <w:sz w:val="20"/>
                <w:szCs w:val="20"/>
                <w:color w:val="auto"/>
              </w:rPr>
            </w:pPr>
            <w:r>
              <w:rPr>
                <w:rFonts w:ascii="Arial" w:cs="Arial" w:eastAsia="Arial" w:hAnsi="Arial"/>
                <w:sz w:val="14"/>
                <w:szCs w:val="14"/>
                <w:color w:val="auto"/>
              </w:rPr>
              <w:t>2022 base pay reflects the successful transition of</w:t>
            </w:r>
          </w:p>
        </w:tc>
        <w:tc>
          <w:tcPr>
            <w:tcW w:w="0" w:type="dxa"/>
            <w:vAlign w:val="bottom"/>
          </w:tcPr>
          <w:p>
            <w:pPr>
              <w:spacing w:after="0"/>
              <w:rPr>
                <w:sz w:val="1"/>
                <w:szCs w:val="1"/>
                <w:color w:val="auto"/>
              </w:rPr>
            </w:pPr>
          </w:p>
        </w:tc>
      </w:tr>
      <w:tr>
        <w:trPr>
          <w:trHeight w:val="156"/>
        </w:trPr>
        <w:tc>
          <w:tcPr>
            <w:tcW w:w="1620" w:type="dxa"/>
            <w:vAlign w:val="bottom"/>
            <w:tcBorders>
              <w:left w:val="single" w:sz="8" w:color="E2EDED"/>
              <w:right w:val="single" w:sz="8" w:color="E2EDED"/>
            </w:tcBorders>
            <w:shd w:val="clear" w:color="auto" w:fill="E1D0D6"/>
          </w:tcPr>
          <w:p>
            <w:pPr>
              <w:spacing w:after="0"/>
              <w:rPr>
                <w:sz w:val="13"/>
                <w:szCs w:val="13"/>
                <w:color w:val="auto"/>
              </w:rPr>
            </w:pPr>
          </w:p>
        </w:tc>
        <w:tc>
          <w:tcPr>
            <w:tcW w:w="840" w:type="dxa"/>
            <w:vAlign w:val="bottom"/>
            <w:tcBorders>
              <w:right w:val="single" w:sz="8" w:color="E2EDED"/>
            </w:tcBorders>
            <w:shd w:val="clear" w:color="auto" w:fill="E1D0D6"/>
          </w:tcPr>
          <w:p>
            <w:pPr>
              <w:spacing w:after="0"/>
              <w:rPr>
                <w:sz w:val="13"/>
                <w:szCs w:val="13"/>
                <w:color w:val="auto"/>
              </w:rPr>
            </w:pPr>
          </w:p>
        </w:tc>
        <w:tc>
          <w:tcPr>
            <w:tcW w:w="3340" w:type="dxa"/>
            <w:vAlign w:val="bottom"/>
            <w:tcBorders>
              <w:right w:val="single" w:sz="8" w:color="E2EDED"/>
            </w:tcBorders>
            <w:shd w:val="clear" w:color="auto" w:fill="E1D0D6"/>
          </w:tcPr>
          <w:p>
            <w:pPr>
              <w:ind w:left="100"/>
              <w:spacing w:after="0" w:line="156" w:lineRule="exact"/>
              <w:rPr>
                <w:sz w:val="20"/>
                <w:szCs w:val="20"/>
                <w:color w:val="auto"/>
              </w:rPr>
            </w:pPr>
            <w:r>
              <w:rPr>
                <w:rFonts w:ascii="Arial" w:cs="Arial" w:eastAsia="Arial" w:hAnsi="Arial"/>
                <w:sz w:val="14"/>
                <w:szCs w:val="14"/>
                <w:color w:val="auto"/>
              </w:rPr>
              <w:t>sustained performance, job scope and experience</w:t>
            </w:r>
          </w:p>
        </w:tc>
        <w:tc>
          <w:tcPr>
            <w:tcW w:w="3240" w:type="dxa"/>
            <w:vAlign w:val="bottom"/>
            <w:shd w:val="clear" w:color="auto" w:fill="E1D0D6"/>
          </w:tcPr>
          <w:p>
            <w:pPr>
              <w:ind w:left="120"/>
              <w:spacing w:after="0" w:line="156" w:lineRule="exact"/>
              <w:rPr>
                <w:sz w:val="20"/>
                <w:szCs w:val="20"/>
                <w:color w:val="auto"/>
              </w:rPr>
            </w:pPr>
            <w:r>
              <w:rPr>
                <w:rFonts w:ascii="Arial" w:cs="Arial" w:eastAsia="Arial" w:hAnsi="Arial"/>
                <w:sz w:val="14"/>
                <w:szCs w:val="14"/>
                <w:color w:val="auto"/>
              </w:rPr>
              <w:t>Craig Billings to CEO, the appointment of Julie</w:t>
            </w:r>
          </w:p>
        </w:tc>
        <w:tc>
          <w:tcPr>
            <w:tcW w:w="0" w:type="dxa"/>
            <w:vAlign w:val="bottom"/>
          </w:tcPr>
          <w:p>
            <w:pPr>
              <w:spacing w:after="0"/>
              <w:rPr>
                <w:sz w:val="1"/>
                <w:szCs w:val="1"/>
                <w:color w:val="auto"/>
              </w:rPr>
            </w:pPr>
          </w:p>
        </w:tc>
      </w:tr>
      <w:tr>
        <w:trPr>
          <w:trHeight w:val="156"/>
        </w:trPr>
        <w:tc>
          <w:tcPr>
            <w:tcW w:w="1620" w:type="dxa"/>
            <w:vAlign w:val="bottom"/>
            <w:tcBorders>
              <w:left w:val="single" w:sz="8" w:color="E2EDED"/>
              <w:right w:val="single" w:sz="8" w:color="E2EDED"/>
            </w:tcBorders>
            <w:shd w:val="clear" w:color="auto" w:fill="E1D0D6"/>
          </w:tcPr>
          <w:p>
            <w:pPr>
              <w:spacing w:after="0"/>
              <w:rPr>
                <w:sz w:val="13"/>
                <w:szCs w:val="13"/>
                <w:color w:val="auto"/>
              </w:rPr>
            </w:pPr>
          </w:p>
        </w:tc>
        <w:tc>
          <w:tcPr>
            <w:tcW w:w="840" w:type="dxa"/>
            <w:vAlign w:val="bottom"/>
            <w:tcBorders>
              <w:right w:val="single" w:sz="8" w:color="E2EDED"/>
            </w:tcBorders>
            <w:shd w:val="clear" w:color="auto" w:fill="E1D0D6"/>
          </w:tcPr>
          <w:p>
            <w:pPr>
              <w:spacing w:after="0"/>
              <w:rPr>
                <w:sz w:val="13"/>
                <w:szCs w:val="13"/>
                <w:color w:val="auto"/>
              </w:rPr>
            </w:pPr>
          </w:p>
        </w:tc>
        <w:tc>
          <w:tcPr>
            <w:tcW w:w="3340" w:type="dxa"/>
            <w:vAlign w:val="bottom"/>
            <w:tcBorders>
              <w:right w:val="single" w:sz="8" w:color="E2EDED"/>
            </w:tcBorders>
            <w:shd w:val="clear" w:color="auto" w:fill="E1D0D6"/>
          </w:tcPr>
          <w:p>
            <w:pPr>
              <w:spacing w:after="0"/>
              <w:rPr>
                <w:sz w:val="13"/>
                <w:szCs w:val="13"/>
                <w:color w:val="auto"/>
              </w:rPr>
            </w:pPr>
          </w:p>
        </w:tc>
        <w:tc>
          <w:tcPr>
            <w:tcW w:w="3240" w:type="dxa"/>
            <w:vAlign w:val="bottom"/>
            <w:shd w:val="clear" w:color="auto" w:fill="E1D0D6"/>
          </w:tcPr>
          <w:p>
            <w:pPr>
              <w:ind w:left="120"/>
              <w:spacing w:after="0" w:line="156" w:lineRule="exact"/>
              <w:rPr>
                <w:sz w:val="20"/>
                <w:szCs w:val="20"/>
                <w:color w:val="auto"/>
              </w:rPr>
            </w:pPr>
            <w:r>
              <w:rPr>
                <w:rFonts w:ascii="Arial" w:cs="Arial" w:eastAsia="Arial" w:hAnsi="Arial"/>
                <w:sz w:val="14"/>
                <w:szCs w:val="14"/>
                <w:color w:val="auto"/>
              </w:rPr>
              <w:t>Cameron-Doe as CFO, and the retention of Ellen</w:t>
            </w:r>
          </w:p>
        </w:tc>
        <w:tc>
          <w:tcPr>
            <w:tcW w:w="0" w:type="dxa"/>
            <w:vAlign w:val="bottom"/>
          </w:tcPr>
          <w:p>
            <w:pPr>
              <w:spacing w:after="0"/>
              <w:rPr>
                <w:sz w:val="1"/>
                <w:szCs w:val="1"/>
                <w:color w:val="auto"/>
              </w:rPr>
            </w:pPr>
          </w:p>
        </w:tc>
      </w:tr>
      <w:tr>
        <w:trPr>
          <w:trHeight w:val="166"/>
        </w:trPr>
        <w:tc>
          <w:tcPr>
            <w:tcW w:w="1620" w:type="dxa"/>
            <w:vAlign w:val="bottom"/>
            <w:tcBorders>
              <w:left w:val="single" w:sz="8" w:color="E2EDED"/>
              <w:right w:val="single" w:sz="8" w:color="E2EDED"/>
            </w:tcBorders>
            <w:shd w:val="clear" w:color="auto" w:fill="E1D0D6"/>
          </w:tcPr>
          <w:p>
            <w:pPr>
              <w:spacing w:after="0"/>
              <w:rPr>
                <w:sz w:val="14"/>
                <w:szCs w:val="14"/>
                <w:color w:val="auto"/>
              </w:rPr>
            </w:pPr>
          </w:p>
        </w:tc>
        <w:tc>
          <w:tcPr>
            <w:tcW w:w="840" w:type="dxa"/>
            <w:vAlign w:val="bottom"/>
            <w:tcBorders>
              <w:right w:val="single" w:sz="8" w:color="E2EDED"/>
            </w:tcBorders>
            <w:shd w:val="clear" w:color="auto" w:fill="E1D0D6"/>
          </w:tcPr>
          <w:p>
            <w:pPr>
              <w:spacing w:after="0"/>
              <w:rPr>
                <w:sz w:val="14"/>
                <w:szCs w:val="14"/>
                <w:color w:val="auto"/>
              </w:rPr>
            </w:pPr>
          </w:p>
        </w:tc>
        <w:tc>
          <w:tcPr>
            <w:tcW w:w="3340" w:type="dxa"/>
            <w:vAlign w:val="bottom"/>
            <w:tcBorders>
              <w:right w:val="single" w:sz="8" w:color="E2EDED"/>
            </w:tcBorders>
            <w:shd w:val="clear" w:color="auto" w:fill="E1D0D6"/>
          </w:tcPr>
          <w:p>
            <w:pPr>
              <w:spacing w:after="0"/>
              <w:rPr>
                <w:sz w:val="14"/>
                <w:szCs w:val="14"/>
                <w:color w:val="auto"/>
              </w:rPr>
            </w:pPr>
          </w:p>
        </w:tc>
        <w:tc>
          <w:tcPr>
            <w:tcW w:w="3240" w:type="dxa"/>
            <w:vAlign w:val="bottom"/>
            <w:shd w:val="clear" w:color="auto" w:fill="E1D0D6"/>
          </w:tcPr>
          <w:p>
            <w:pPr>
              <w:ind w:left="120"/>
              <w:spacing w:after="0"/>
              <w:rPr>
                <w:sz w:val="20"/>
                <w:szCs w:val="20"/>
                <w:color w:val="auto"/>
              </w:rPr>
            </w:pPr>
            <w:r>
              <w:rPr>
                <w:rFonts w:ascii="Arial" w:cs="Arial" w:eastAsia="Arial" w:hAnsi="Arial"/>
                <w:sz w:val="14"/>
                <w:szCs w:val="14"/>
                <w:color w:val="auto"/>
              </w:rPr>
              <w:t>Whittemore as General Counsel</w:t>
            </w:r>
          </w:p>
        </w:tc>
        <w:tc>
          <w:tcPr>
            <w:tcW w:w="0" w:type="dxa"/>
            <w:vAlign w:val="bottom"/>
          </w:tcPr>
          <w:p>
            <w:pPr>
              <w:spacing w:after="0"/>
              <w:rPr>
                <w:sz w:val="1"/>
                <w:szCs w:val="1"/>
                <w:color w:val="auto"/>
              </w:rPr>
            </w:pPr>
          </w:p>
        </w:tc>
      </w:tr>
      <w:tr>
        <w:trPr>
          <w:trHeight w:val="225"/>
        </w:trPr>
        <w:tc>
          <w:tcPr>
            <w:tcW w:w="1620" w:type="dxa"/>
            <w:vAlign w:val="bottom"/>
            <w:tcBorders>
              <w:left w:val="single" w:sz="8" w:color="E2EDED"/>
              <w:right w:val="single" w:sz="8" w:color="E2EDED"/>
            </w:tcBorders>
            <w:shd w:val="clear" w:color="auto" w:fill="E1D0D6"/>
          </w:tcPr>
          <w:p>
            <w:pPr>
              <w:spacing w:after="0"/>
              <w:rPr>
                <w:sz w:val="19"/>
                <w:szCs w:val="19"/>
                <w:color w:val="auto"/>
              </w:rPr>
            </w:pPr>
          </w:p>
        </w:tc>
        <w:tc>
          <w:tcPr>
            <w:tcW w:w="840" w:type="dxa"/>
            <w:vAlign w:val="bottom"/>
            <w:tcBorders>
              <w:right w:val="single" w:sz="8" w:color="E2EDED"/>
            </w:tcBorders>
            <w:shd w:val="clear" w:color="auto" w:fill="E1D0D6"/>
          </w:tcPr>
          <w:p>
            <w:pPr>
              <w:spacing w:after="0"/>
              <w:rPr>
                <w:sz w:val="19"/>
                <w:szCs w:val="19"/>
                <w:color w:val="auto"/>
              </w:rPr>
            </w:pPr>
          </w:p>
        </w:tc>
        <w:tc>
          <w:tcPr>
            <w:tcW w:w="3340" w:type="dxa"/>
            <w:vAlign w:val="bottom"/>
            <w:tcBorders>
              <w:right w:val="single" w:sz="8" w:color="E2EDED"/>
            </w:tcBorders>
            <w:shd w:val="clear" w:color="auto" w:fill="E1D0D6"/>
          </w:tcPr>
          <w:p>
            <w:pPr>
              <w:spacing w:after="0"/>
              <w:rPr>
                <w:sz w:val="19"/>
                <w:szCs w:val="19"/>
                <w:color w:val="auto"/>
              </w:rPr>
            </w:pPr>
          </w:p>
        </w:tc>
        <w:tc>
          <w:tcPr>
            <w:tcW w:w="3240" w:type="dxa"/>
            <w:vAlign w:val="bottom"/>
            <w:shd w:val="clear" w:color="auto" w:fill="E1D0D6"/>
          </w:tcPr>
          <w:p>
            <w:pPr>
              <w:ind w:left="120"/>
              <w:spacing w:after="0"/>
              <w:rPr>
                <w:sz w:val="20"/>
                <w:szCs w:val="20"/>
                <w:color w:val="auto"/>
              </w:rPr>
            </w:pPr>
            <w:r>
              <w:rPr>
                <w:rFonts w:ascii="Arial" w:cs="Arial" w:eastAsia="Arial" w:hAnsi="Arial"/>
                <w:sz w:val="14"/>
                <w:szCs w:val="14"/>
                <w:color w:val="auto"/>
              </w:rPr>
              <w:t>In 2022, the NEOs exchanged a portion of their</w:t>
            </w:r>
          </w:p>
        </w:tc>
        <w:tc>
          <w:tcPr>
            <w:tcW w:w="0" w:type="dxa"/>
            <w:vAlign w:val="bottom"/>
          </w:tcPr>
          <w:p>
            <w:pPr>
              <w:spacing w:after="0"/>
              <w:rPr>
                <w:sz w:val="1"/>
                <w:szCs w:val="1"/>
                <w:color w:val="auto"/>
              </w:rPr>
            </w:pPr>
          </w:p>
        </w:tc>
      </w:tr>
      <w:tr>
        <w:trPr>
          <w:trHeight w:val="156"/>
        </w:trPr>
        <w:tc>
          <w:tcPr>
            <w:tcW w:w="1620" w:type="dxa"/>
            <w:vAlign w:val="bottom"/>
            <w:tcBorders>
              <w:left w:val="single" w:sz="8" w:color="E2EDED"/>
              <w:right w:val="single" w:sz="8" w:color="E2EDED"/>
            </w:tcBorders>
            <w:shd w:val="clear" w:color="auto" w:fill="E1D0D6"/>
          </w:tcPr>
          <w:p>
            <w:pPr>
              <w:spacing w:after="0"/>
              <w:rPr>
                <w:sz w:val="13"/>
                <w:szCs w:val="13"/>
                <w:color w:val="auto"/>
              </w:rPr>
            </w:pPr>
          </w:p>
        </w:tc>
        <w:tc>
          <w:tcPr>
            <w:tcW w:w="840" w:type="dxa"/>
            <w:vAlign w:val="bottom"/>
            <w:tcBorders>
              <w:right w:val="single" w:sz="8" w:color="E2EDED"/>
            </w:tcBorders>
            <w:shd w:val="clear" w:color="auto" w:fill="E1D0D6"/>
          </w:tcPr>
          <w:p>
            <w:pPr>
              <w:spacing w:after="0"/>
              <w:rPr>
                <w:sz w:val="13"/>
                <w:szCs w:val="13"/>
                <w:color w:val="auto"/>
              </w:rPr>
            </w:pPr>
          </w:p>
        </w:tc>
        <w:tc>
          <w:tcPr>
            <w:tcW w:w="3340" w:type="dxa"/>
            <w:vAlign w:val="bottom"/>
            <w:tcBorders>
              <w:right w:val="single" w:sz="8" w:color="E2EDED"/>
            </w:tcBorders>
            <w:shd w:val="clear" w:color="auto" w:fill="E1D0D6"/>
          </w:tcPr>
          <w:p>
            <w:pPr>
              <w:spacing w:after="0"/>
              <w:rPr>
                <w:sz w:val="13"/>
                <w:szCs w:val="13"/>
                <w:color w:val="auto"/>
              </w:rPr>
            </w:pPr>
          </w:p>
        </w:tc>
        <w:tc>
          <w:tcPr>
            <w:tcW w:w="3240" w:type="dxa"/>
            <w:vAlign w:val="bottom"/>
            <w:shd w:val="clear" w:color="auto" w:fill="E1D0D6"/>
          </w:tcPr>
          <w:p>
            <w:pPr>
              <w:ind w:left="120"/>
              <w:spacing w:after="0" w:line="156" w:lineRule="exact"/>
              <w:rPr>
                <w:sz w:val="20"/>
                <w:szCs w:val="20"/>
                <w:color w:val="auto"/>
              </w:rPr>
            </w:pPr>
            <w:r>
              <w:rPr>
                <w:rFonts w:ascii="Arial" w:cs="Arial" w:eastAsia="Arial" w:hAnsi="Arial"/>
                <w:sz w:val="14"/>
                <w:szCs w:val="14"/>
                <w:color w:val="auto"/>
              </w:rPr>
              <w:t>base salary for a grant of stock options in order to</w:t>
            </w:r>
          </w:p>
        </w:tc>
        <w:tc>
          <w:tcPr>
            <w:tcW w:w="0" w:type="dxa"/>
            <w:vAlign w:val="bottom"/>
          </w:tcPr>
          <w:p>
            <w:pPr>
              <w:spacing w:after="0"/>
              <w:rPr>
                <w:sz w:val="1"/>
                <w:szCs w:val="1"/>
                <w:color w:val="auto"/>
              </w:rPr>
            </w:pPr>
          </w:p>
        </w:tc>
      </w:tr>
      <w:tr>
        <w:trPr>
          <w:trHeight w:val="156"/>
        </w:trPr>
        <w:tc>
          <w:tcPr>
            <w:tcW w:w="1620" w:type="dxa"/>
            <w:vAlign w:val="bottom"/>
            <w:tcBorders>
              <w:left w:val="single" w:sz="8" w:color="E2EDED"/>
              <w:right w:val="single" w:sz="8" w:color="E2EDED"/>
            </w:tcBorders>
            <w:shd w:val="clear" w:color="auto" w:fill="E1D0D6"/>
          </w:tcPr>
          <w:p>
            <w:pPr>
              <w:spacing w:after="0"/>
              <w:rPr>
                <w:sz w:val="13"/>
                <w:szCs w:val="13"/>
                <w:color w:val="auto"/>
              </w:rPr>
            </w:pPr>
          </w:p>
        </w:tc>
        <w:tc>
          <w:tcPr>
            <w:tcW w:w="840" w:type="dxa"/>
            <w:vAlign w:val="bottom"/>
            <w:tcBorders>
              <w:right w:val="single" w:sz="8" w:color="E2EDED"/>
            </w:tcBorders>
            <w:shd w:val="clear" w:color="auto" w:fill="E1D0D6"/>
          </w:tcPr>
          <w:p>
            <w:pPr>
              <w:spacing w:after="0"/>
              <w:rPr>
                <w:sz w:val="13"/>
                <w:szCs w:val="13"/>
                <w:color w:val="auto"/>
              </w:rPr>
            </w:pPr>
          </w:p>
        </w:tc>
        <w:tc>
          <w:tcPr>
            <w:tcW w:w="3340" w:type="dxa"/>
            <w:vAlign w:val="bottom"/>
            <w:tcBorders>
              <w:right w:val="single" w:sz="8" w:color="E2EDED"/>
            </w:tcBorders>
            <w:shd w:val="clear" w:color="auto" w:fill="E1D0D6"/>
          </w:tcPr>
          <w:p>
            <w:pPr>
              <w:spacing w:after="0"/>
              <w:rPr>
                <w:sz w:val="13"/>
                <w:szCs w:val="13"/>
                <w:color w:val="auto"/>
              </w:rPr>
            </w:pPr>
          </w:p>
        </w:tc>
        <w:tc>
          <w:tcPr>
            <w:tcW w:w="3240" w:type="dxa"/>
            <w:vAlign w:val="bottom"/>
            <w:shd w:val="clear" w:color="auto" w:fill="E1D0D6"/>
          </w:tcPr>
          <w:p>
            <w:pPr>
              <w:ind w:left="120"/>
              <w:spacing w:after="0" w:line="156" w:lineRule="exact"/>
              <w:rPr>
                <w:sz w:val="20"/>
                <w:szCs w:val="20"/>
                <w:color w:val="auto"/>
              </w:rPr>
            </w:pPr>
            <w:r>
              <w:rPr>
                <w:rFonts w:ascii="Arial" w:cs="Arial" w:eastAsia="Arial" w:hAnsi="Arial"/>
                <w:sz w:val="14"/>
                <w:szCs w:val="14"/>
                <w:color w:val="auto"/>
              </w:rPr>
              <w:t>preserve liquidity given the ongoing financial</w:t>
            </w:r>
          </w:p>
        </w:tc>
        <w:tc>
          <w:tcPr>
            <w:tcW w:w="0" w:type="dxa"/>
            <w:vAlign w:val="bottom"/>
          </w:tcPr>
          <w:p>
            <w:pPr>
              <w:spacing w:after="0"/>
              <w:rPr>
                <w:sz w:val="1"/>
                <w:szCs w:val="1"/>
                <w:color w:val="auto"/>
              </w:rPr>
            </w:pPr>
          </w:p>
        </w:tc>
      </w:tr>
      <w:tr>
        <w:trPr>
          <w:trHeight w:val="166"/>
        </w:trPr>
        <w:tc>
          <w:tcPr>
            <w:tcW w:w="1620" w:type="dxa"/>
            <w:vAlign w:val="bottom"/>
            <w:tcBorders>
              <w:left w:val="single" w:sz="8" w:color="E2EDED"/>
              <w:right w:val="single" w:sz="8" w:color="E2EDED"/>
            </w:tcBorders>
            <w:shd w:val="clear" w:color="auto" w:fill="E1D0D6"/>
          </w:tcPr>
          <w:p>
            <w:pPr>
              <w:spacing w:after="0"/>
              <w:rPr>
                <w:sz w:val="14"/>
                <w:szCs w:val="14"/>
                <w:color w:val="auto"/>
              </w:rPr>
            </w:pPr>
          </w:p>
        </w:tc>
        <w:tc>
          <w:tcPr>
            <w:tcW w:w="840" w:type="dxa"/>
            <w:vAlign w:val="bottom"/>
            <w:tcBorders>
              <w:right w:val="single" w:sz="8" w:color="E2EDED"/>
            </w:tcBorders>
            <w:shd w:val="clear" w:color="auto" w:fill="E1D0D6"/>
          </w:tcPr>
          <w:p>
            <w:pPr>
              <w:spacing w:after="0"/>
              <w:rPr>
                <w:sz w:val="14"/>
                <w:szCs w:val="14"/>
                <w:color w:val="auto"/>
              </w:rPr>
            </w:pPr>
          </w:p>
        </w:tc>
        <w:tc>
          <w:tcPr>
            <w:tcW w:w="3340" w:type="dxa"/>
            <w:vAlign w:val="bottom"/>
            <w:tcBorders>
              <w:right w:val="single" w:sz="8" w:color="E2EDED"/>
            </w:tcBorders>
            <w:shd w:val="clear" w:color="auto" w:fill="E1D0D6"/>
          </w:tcPr>
          <w:p>
            <w:pPr>
              <w:spacing w:after="0"/>
              <w:rPr>
                <w:sz w:val="14"/>
                <w:szCs w:val="14"/>
                <w:color w:val="auto"/>
              </w:rPr>
            </w:pPr>
          </w:p>
        </w:tc>
        <w:tc>
          <w:tcPr>
            <w:tcW w:w="3240" w:type="dxa"/>
            <w:vAlign w:val="bottom"/>
            <w:shd w:val="clear" w:color="auto" w:fill="E1D0D6"/>
          </w:tcPr>
          <w:p>
            <w:pPr>
              <w:ind w:left="120"/>
              <w:spacing w:after="0"/>
              <w:rPr>
                <w:sz w:val="20"/>
                <w:szCs w:val="20"/>
                <w:color w:val="auto"/>
              </w:rPr>
            </w:pPr>
            <w:r>
              <w:rPr>
                <w:rFonts w:ascii="Arial" w:cs="Arial" w:eastAsia="Arial" w:hAnsi="Arial"/>
                <w:sz w:val="14"/>
                <w:szCs w:val="14"/>
                <w:color w:val="auto"/>
              </w:rPr>
              <w:t>effects of the pandemic in Macau</w:t>
            </w:r>
          </w:p>
        </w:tc>
        <w:tc>
          <w:tcPr>
            <w:tcW w:w="0" w:type="dxa"/>
            <w:vAlign w:val="bottom"/>
          </w:tcPr>
          <w:p>
            <w:pPr>
              <w:spacing w:after="0"/>
              <w:rPr>
                <w:sz w:val="1"/>
                <w:szCs w:val="1"/>
                <w:color w:val="auto"/>
              </w:rPr>
            </w:pPr>
          </w:p>
        </w:tc>
      </w:tr>
      <w:tr>
        <w:trPr>
          <w:trHeight w:val="77"/>
        </w:trPr>
        <w:tc>
          <w:tcPr>
            <w:tcW w:w="1620" w:type="dxa"/>
            <w:vAlign w:val="bottom"/>
            <w:tcBorders>
              <w:left w:val="single" w:sz="8" w:color="E2EDED"/>
              <w:right w:val="single" w:sz="8" w:color="E2EDED"/>
            </w:tcBorders>
            <w:shd w:val="clear" w:color="auto" w:fill="E1D0D6"/>
          </w:tcPr>
          <w:p>
            <w:pPr>
              <w:spacing w:after="0"/>
              <w:rPr>
                <w:sz w:val="6"/>
                <w:szCs w:val="6"/>
                <w:color w:val="auto"/>
              </w:rPr>
            </w:pPr>
          </w:p>
        </w:tc>
        <w:tc>
          <w:tcPr>
            <w:tcW w:w="840" w:type="dxa"/>
            <w:vAlign w:val="bottom"/>
            <w:tcBorders>
              <w:right w:val="single" w:sz="8" w:color="E2EDED"/>
            </w:tcBorders>
            <w:shd w:val="clear" w:color="auto" w:fill="E1D0D6"/>
          </w:tcPr>
          <w:p>
            <w:pPr>
              <w:spacing w:after="0"/>
              <w:rPr>
                <w:sz w:val="6"/>
                <w:szCs w:val="6"/>
                <w:color w:val="auto"/>
              </w:rPr>
            </w:pPr>
          </w:p>
        </w:tc>
        <w:tc>
          <w:tcPr>
            <w:tcW w:w="3340" w:type="dxa"/>
            <w:vAlign w:val="bottom"/>
            <w:tcBorders>
              <w:right w:val="single" w:sz="8" w:color="E2EDED"/>
            </w:tcBorders>
            <w:shd w:val="clear" w:color="auto" w:fill="E1D0D6"/>
          </w:tcPr>
          <w:p>
            <w:pPr>
              <w:spacing w:after="0"/>
              <w:rPr>
                <w:sz w:val="6"/>
                <w:szCs w:val="6"/>
                <w:color w:val="auto"/>
              </w:rPr>
            </w:pPr>
          </w:p>
        </w:tc>
        <w:tc>
          <w:tcPr>
            <w:tcW w:w="3240" w:type="dxa"/>
            <w:vAlign w:val="bottom"/>
            <w:shd w:val="clear" w:color="auto" w:fill="E1D0D6"/>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1620" w:type="dxa"/>
            <w:vAlign w:val="bottom"/>
            <w:tcBorders>
              <w:left w:val="single" w:sz="8" w:color="E2EDED"/>
              <w:right w:val="single" w:sz="8" w:color="E2EDED"/>
            </w:tcBorders>
          </w:tcPr>
          <w:p>
            <w:pPr>
              <w:jc w:val="center"/>
              <w:spacing w:after="0"/>
              <w:rPr>
                <w:sz w:val="20"/>
                <w:szCs w:val="20"/>
                <w:color w:val="auto"/>
              </w:rPr>
            </w:pPr>
            <w:r>
              <w:rPr>
                <w:rFonts w:ascii="Arial" w:cs="Arial" w:eastAsia="Arial" w:hAnsi="Arial"/>
                <w:sz w:val="14"/>
                <w:szCs w:val="14"/>
                <w:color w:val="auto"/>
                <w:w w:val="92"/>
              </w:rPr>
              <w:t>32%</w:t>
            </w:r>
          </w:p>
        </w:tc>
        <w:tc>
          <w:tcPr>
            <w:tcW w:w="840" w:type="dxa"/>
            <w:vAlign w:val="bottom"/>
            <w:tcBorders>
              <w:right w:val="single" w:sz="8" w:color="E2EDED"/>
            </w:tcBorders>
          </w:tcPr>
          <w:p>
            <w:pPr>
              <w:jc w:val="center"/>
              <w:spacing w:after="0"/>
              <w:rPr>
                <w:sz w:val="20"/>
                <w:szCs w:val="20"/>
                <w:color w:val="auto"/>
              </w:rPr>
            </w:pPr>
            <w:r>
              <w:rPr>
                <w:rFonts w:ascii="Arial" w:cs="Arial" w:eastAsia="Arial" w:hAnsi="Arial"/>
                <w:sz w:val="14"/>
                <w:szCs w:val="14"/>
                <w:color w:val="auto"/>
                <w:w w:val="90"/>
              </w:rPr>
              <w:t>Yes</w:t>
            </w:r>
          </w:p>
        </w:tc>
        <w:tc>
          <w:tcPr>
            <w:tcW w:w="3340" w:type="dxa"/>
            <w:vAlign w:val="bottom"/>
            <w:tcBorders>
              <w:right w:val="single" w:sz="8" w:color="E2EDED"/>
            </w:tcBorders>
          </w:tcPr>
          <w:p>
            <w:pPr>
              <w:ind w:left="100"/>
              <w:spacing w:after="0"/>
              <w:rPr>
                <w:sz w:val="20"/>
                <w:szCs w:val="20"/>
                <w:color w:val="auto"/>
              </w:rPr>
            </w:pPr>
            <w:r>
              <w:rPr>
                <w:rFonts w:ascii="Arial" w:cs="Arial" w:eastAsia="Arial" w:hAnsi="Arial"/>
                <w:sz w:val="14"/>
                <w:szCs w:val="14"/>
                <w:color w:val="auto"/>
              </w:rPr>
              <w:t>Utilize multiple metrics with pre-set goals</w:t>
            </w:r>
          </w:p>
        </w:tc>
        <w:tc>
          <w:tcPr>
            <w:tcW w:w="3240" w:type="dxa"/>
            <w:vAlign w:val="bottom"/>
          </w:tcPr>
          <w:p>
            <w:pPr>
              <w:ind w:left="120"/>
              <w:spacing w:after="0"/>
              <w:rPr>
                <w:sz w:val="20"/>
                <w:szCs w:val="20"/>
                <w:color w:val="auto"/>
              </w:rPr>
            </w:pPr>
            <w:r>
              <w:rPr>
                <w:rFonts w:ascii="Arial" w:cs="Arial" w:eastAsia="Arial" w:hAnsi="Arial"/>
                <w:sz w:val="14"/>
                <w:szCs w:val="14"/>
                <w:color w:val="auto"/>
              </w:rPr>
              <w:t>Payout based on pre-set robust Financial and</w:t>
            </w:r>
          </w:p>
        </w:tc>
        <w:tc>
          <w:tcPr>
            <w:tcW w:w="0" w:type="dxa"/>
            <w:vAlign w:val="bottom"/>
          </w:tcPr>
          <w:p>
            <w:pPr>
              <w:spacing w:after="0"/>
              <w:rPr>
                <w:sz w:val="1"/>
                <w:szCs w:val="1"/>
                <w:color w:val="auto"/>
              </w:rPr>
            </w:pPr>
          </w:p>
        </w:tc>
      </w:tr>
      <w:tr>
        <w:trPr>
          <w:trHeight w:val="156"/>
        </w:trPr>
        <w:tc>
          <w:tcPr>
            <w:tcW w:w="1620" w:type="dxa"/>
            <w:vAlign w:val="bottom"/>
            <w:tcBorders>
              <w:left w:val="single" w:sz="8" w:color="E2EDED"/>
              <w:right w:val="single" w:sz="8" w:color="E2EDED"/>
            </w:tcBorders>
          </w:tcPr>
          <w:p>
            <w:pPr>
              <w:spacing w:after="0"/>
              <w:rPr>
                <w:sz w:val="13"/>
                <w:szCs w:val="13"/>
                <w:color w:val="auto"/>
              </w:rPr>
            </w:pPr>
          </w:p>
        </w:tc>
        <w:tc>
          <w:tcPr>
            <w:tcW w:w="840" w:type="dxa"/>
            <w:vAlign w:val="bottom"/>
            <w:tcBorders>
              <w:right w:val="single" w:sz="8" w:color="E2EDED"/>
            </w:tcBorders>
          </w:tcPr>
          <w:p>
            <w:pPr>
              <w:spacing w:after="0"/>
              <w:rPr>
                <w:sz w:val="13"/>
                <w:szCs w:val="13"/>
                <w:color w:val="auto"/>
              </w:rPr>
            </w:pPr>
          </w:p>
        </w:tc>
        <w:tc>
          <w:tcPr>
            <w:tcW w:w="3340" w:type="dxa"/>
            <w:vAlign w:val="bottom"/>
            <w:tcBorders>
              <w:right w:val="single" w:sz="8" w:color="E2EDED"/>
            </w:tcBorders>
            <w:vMerge w:val="restart"/>
          </w:tcPr>
          <w:p>
            <w:pPr>
              <w:ind w:left="100"/>
              <w:spacing w:after="0"/>
              <w:rPr>
                <w:sz w:val="20"/>
                <w:szCs w:val="20"/>
                <w:color w:val="auto"/>
              </w:rPr>
            </w:pPr>
            <w:r>
              <w:rPr>
                <w:rFonts w:ascii="Arial" w:cs="Arial" w:eastAsia="Arial" w:hAnsi="Arial"/>
                <w:sz w:val="14"/>
                <w:szCs w:val="14"/>
                <w:color w:val="auto"/>
              </w:rPr>
              <w:t>Incentivize executives, enforce accountability and</w:t>
            </w:r>
          </w:p>
        </w:tc>
        <w:tc>
          <w:tcPr>
            <w:tcW w:w="3240" w:type="dxa"/>
            <w:vAlign w:val="bottom"/>
          </w:tcPr>
          <w:p>
            <w:pPr>
              <w:ind w:left="120"/>
              <w:spacing w:after="0" w:line="156" w:lineRule="exact"/>
              <w:rPr>
                <w:sz w:val="20"/>
                <w:szCs w:val="20"/>
                <w:color w:val="auto"/>
              </w:rPr>
            </w:pPr>
            <w:r>
              <w:rPr>
                <w:rFonts w:ascii="Arial" w:cs="Arial" w:eastAsia="Arial" w:hAnsi="Arial"/>
                <w:sz w:val="14"/>
                <w:szCs w:val="14"/>
                <w:color w:val="auto"/>
              </w:rPr>
              <w:t>Operational objectives as discussed under “2022</w:t>
            </w:r>
          </w:p>
        </w:tc>
        <w:tc>
          <w:tcPr>
            <w:tcW w:w="0" w:type="dxa"/>
            <w:vAlign w:val="bottom"/>
          </w:tcPr>
          <w:p>
            <w:pPr>
              <w:spacing w:after="0"/>
              <w:rPr>
                <w:sz w:val="1"/>
                <w:szCs w:val="1"/>
                <w:color w:val="auto"/>
              </w:rPr>
            </w:pPr>
          </w:p>
        </w:tc>
      </w:tr>
      <w:tr>
        <w:trPr>
          <w:trHeight w:val="78"/>
        </w:trPr>
        <w:tc>
          <w:tcPr>
            <w:tcW w:w="1620" w:type="dxa"/>
            <w:vAlign w:val="bottom"/>
            <w:tcBorders>
              <w:left w:val="single" w:sz="8" w:color="E2EDED"/>
              <w:right w:val="single" w:sz="8" w:color="E2EDED"/>
            </w:tcBorders>
          </w:tcPr>
          <w:p>
            <w:pPr>
              <w:spacing w:after="0"/>
              <w:rPr>
                <w:sz w:val="6"/>
                <w:szCs w:val="6"/>
                <w:color w:val="auto"/>
              </w:rPr>
            </w:pPr>
          </w:p>
        </w:tc>
        <w:tc>
          <w:tcPr>
            <w:tcW w:w="840" w:type="dxa"/>
            <w:vAlign w:val="bottom"/>
            <w:tcBorders>
              <w:right w:val="single" w:sz="8" w:color="E2EDED"/>
            </w:tcBorders>
          </w:tcPr>
          <w:p>
            <w:pPr>
              <w:spacing w:after="0"/>
              <w:rPr>
                <w:sz w:val="6"/>
                <w:szCs w:val="6"/>
                <w:color w:val="auto"/>
              </w:rPr>
            </w:pPr>
          </w:p>
        </w:tc>
        <w:tc>
          <w:tcPr>
            <w:tcW w:w="3340" w:type="dxa"/>
            <w:vAlign w:val="bottom"/>
            <w:tcBorders>
              <w:right w:val="single" w:sz="8" w:color="E2EDED"/>
            </w:tcBorders>
            <w:vMerge w:val="continue"/>
          </w:tcPr>
          <w:p>
            <w:pPr>
              <w:spacing w:after="0"/>
              <w:rPr>
                <w:sz w:val="6"/>
                <w:szCs w:val="6"/>
                <w:color w:val="auto"/>
              </w:rPr>
            </w:pPr>
          </w:p>
        </w:tc>
        <w:tc>
          <w:tcPr>
            <w:tcW w:w="3240" w:type="dxa"/>
            <w:vAlign w:val="bottom"/>
            <w:vMerge w:val="restart"/>
          </w:tcPr>
          <w:p>
            <w:pPr>
              <w:ind w:left="120"/>
              <w:spacing w:after="0"/>
              <w:rPr>
                <w:sz w:val="20"/>
                <w:szCs w:val="20"/>
                <w:color w:val="auto"/>
              </w:rPr>
            </w:pPr>
            <w:r>
              <w:rPr>
                <w:rFonts w:ascii="Arial" w:cs="Arial" w:eastAsia="Arial" w:hAnsi="Arial"/>
                <w:sz w:val="14"/>
                <w:szCs w:val="14"/>
                <w:color w:val="auto"/>
              </w:rPr>
              <w:t>Compensation design &amp; decisions”</w:t>
            </w:r>
          </w:p>
        </w:tc>
        <w:tc>
          <w:tcPr>
            <w:tcW w:w="0" w:type="dxa"/>
            <w:vAlign w:val="bottom"/>
          </w:tcPr>
          <w:p>
            <w:pPr>
              <w:spacing w:after="0"/>
              <w:rPr>
                <w:sz w:val="1"/>
                <w:szCs w:val="1"/>
                <w:color w:val="auto"/>
              </w:rPr>
            </w:pPr>
          </w:p>
        </w:tc>
      </w:tr>
      <w:tr>
        <w:trPr>
          <w:trHeight w:val="87"/>
        </w:trPr>
        <w:tc>
          <w:tcPr>
            <w:tcW w:w="1620" w:type="dxa"/>
            <w:vAlign w:val="bottom"/>
            <w:tcBorders>
              <w:left w:val="single" w:sz="8" w:color="E2EDED"/>
              <w:right w:val="single" w:sz="8" w:color="E2EDED"/>
            </w:tcBorders>
          </w:tcPr>
          <w:p>
            <w:pPr>
              <w:spacing w:after="0"/>
              <w:rPr>
                <w:sz w:val="7"/>
                <w:szCs w:val="7"/>
                <w:color w:val="auto"/>
              </w:rPr>
            </w:pPr>
          </w:p>
        </w:tc>
        <w:tc>
          <w:tcPr>
            <w:tcW w:w="840" w:type="dxa"/>
            <w:vAlign w:val="bottom"/>
            <w:tcBorders>
              <w:right w:val="single" w:sz="8" w:color="E2EDED"/>
            </w:tcBorders>
          </w:tcPr>
          <w:p>
            <w:pPr>
              <w:spacing w:after="0"/>
              <w:rPr>
                <w:sz w:val="7"/>
                <w:szCs w:val="7"/>
                <w:color w:val="auto"/>
              </w:rPr>
            </w:pPr>
          </w:p>
        </w:tc>
        <w:tc>
          <w:tcPr>
            <w:tcW w:w="3340" w:type="dxa"/>
            <w:vAlign w:val="bottom"/>
            <w:tcBorders>
              <w:right w:val="single" w:sz="8" w:color="E2EDED"/>
            </w:tcBorders>
            <w:vMerge w:val="restart"/>
          </w:tcPr>
          <w:p>
            <w:pPr>
              <w:ind w:left="100"/>
              <w:spacing w:after="0"/>
              <w:rPr>
                <w:sz w:val="20"/>
                <w:szCs w:val="20"/>
                <w:color w:val="auto"/>
              </w:rPr>
            </w:pPr>
            <w:r>
              <w:rPr>
                <w:rFonts w:ascii="Arial" w:cs="Arial" w:eastAsia="Arial" w:hAnsi="Arial"/>
                <w:sz w:val="14"/>
                <w:szCs w:val="14"/>
                <w:color w:val="auto"/>
              </w:rPr>
              <w:t>motivate and reward achievement of annual goals</w:t>
            </w:r>
          </w:p>
        </w:tc>
        <w:tc>
          <w:tcPr>
            <w:tcW w:w="3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620" w:type="dxa"/>
            <w:vAlign w:val="bottom"/>
            <w:tcBorders>
              <w:left w:val="single" w:sz="8" w:color="E2EDED"/>
              <w:right w:val="single" w:sz="8" w:color="E2EDED"/>
            </w:tcBorders>
          </w:tcPr>
          <w:p>
            <w:pPr>
              <w:spacing w:after="0"/>
              <w:rPr>
                <w:sz w:val="6"/>
                <w:szCs w:val="6"/>
                <w:color w:val="auto"/>
              </w:rPr>
            </w:pPr>
          </w:p>
        </w:tc>
        <w:tc>
          <w:tcPr>
            <w:tcW w:w="840" w:type="dxa"/>
            <w:vAlign w:val="bottom"/>
            <w:tcBorders>
              <w:right w:val="single" w:sz="8" w:color="E2EDED"/>
            </w:tcBorders>
          </w:tcPr>
          <w:p>
            <w:pPr>
              <w:spacing w:after="0"/>
              <w:rPr>
                <w:sz w:val="6"/>
                <w:szCs w:val="6"/>
                <w:color w:val="auto"/>
              </w:rPr>
            </w:pPr>
          </w:p>
        </w:tc>
        <w:tc>
          <w:tcPr>
            <w:tcW w:w="3340" w:type="dxa"/>
            <w:vAlign w:val="bottom"/>
            <w:tcBorders>
              <w:right w:val="single" w:sz="8" w:color="E2EDED"/>
            </w:tcBorders>
            <w:vMerge w:val="continue"/>
          </w:tcPr>
          <w:p>
            <w:pPr>
              <w:spacing w:after="0"/>
              <w:rPr>
                <w:sz w:val="6"/>
                <w:szCs w:val="6"/>
                <w:color w:val="auto"/>
              </w:rPr>
            </w:pPr>
          </w:p>
        </w:tc>
        <w:tc>
          <w:tcPr>
            <w:tcW w:w="3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1620" w:type="dxa"/>
            <w:vAlign w:val="bottom"/>
            <w:tcBorders>
              <w:left w:val="single" w:sz="8" w:color="E2EDED"/>
              <w:right w:val="single" w:sz="8" w:color="E2EDED"/>
            </w:tcBorders>
          </w:tcPr>
          <w:p>
            <w:pPr>
              <w:spacing w:after="0"/>
              <w:rPr>
                <w:sz w:val="19"/>
                <w:szCs w:val="19"/>
                <w:color w:val="auto"/>
              </w:rPr>
            </w:pPr>
          </w:p>
        </w:tc>
        <w:tc>
          <w:tcPr>
            <w:tcW w:w="840" w:type="dxa"/>
            <w:vAlign w:val="bottom"/>
            <w:tcBorders>
              <w:right w:val="single" w:sz="8" w:color="E2EDED"/>
            </w:tcBorders>
          </w:tcPr>
          <w:p>
            <w:pPr>
              <w:spacing w:after="0"/>
              <w:rPr>
                <w:sz w:val="19"/>
                <w:szCs w:val="19"/>
                <w:color w:val="auto"/>
              </w:rPr>
            </w:pPr>
          </w:p>
        </w:tc>
        <w:tc>
          <w:tcPr>
            <w:tcW w:w="3340" w:type="dxa"/>
            <w:vAlign w:val="bottom"/>
            <w:tcBorders>
              <w:right w:val="single" w:sz="8" w:color="E2EDED"/>
            </w:tcBorders>
          </w:tcPr>
          <w:p>
            <w:pPr>
              <w:ind w:left="100"/>
              <w:spacing w:after="0"/>
              <w:rPr>
                <w:sz w:val="20"/>
                <w:szCs w:val="20"/>
                <w:color w:val="auto"/>
              </w:rPr>
            </w:pPr>
            <w:r>
              <w:rPr>
                <w:rFonts w:ascii="Arial" w:cs="Arial" w:eastAsia="Arial" w:hAnsi="Arial"/>
                <w:sz w:val="14"/>
                <w:szCs w:val="14"/>
                <w:color w:val="auto"/>
              </w:rPr>
              <w:t>50% of annual incentive awards paid in stock and</w:t>
            </w: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620" w:type="dxa"/>
            <w:vAlign w:val="bottom"/>
            <w:tcBorders>
              <w:left w:val="single" w:sz="8" w:color="E2EDED"/>
              <w:right w:val="single" w:sz="8" w:color="E2EDED"/>
            </w:tcBorders>
          </w:tcPr>
          <w:p>
            <w:pPr>
              <w:spacing w:after="0"/>
              <w:rPr>
                <w:sz w:val="13"/>
                <w:szCs w:val="13"/>
                <w:color w:val="auto"/>
              </w:rPr>
            </w:pPr>
          </w:p>
        </w:tc>
        <w:tc>
          <w:tcPr>
            <w:tcW w:w="840" w:type="dxa"/>
            <w:vAlign w:val="bottom"/>
            <w:tcBorders>
              <w:right w:val="single" w:sz="8" w:color="E2EDED"/>
            </w:tcBorders>
          </w:tcPr>
          <w:p>
            <w:pPr>
              <w:spacing w:after="0"/>
              <w:rPr>
                <w:sz w:val="13"/>
                <w:szCs w:val="13"/>
                <w:color w:val="auto"/>
              </w:rPr>
            </w:pPr>
          </w:p>
        </w:tc>
        <w:tc>
          <w:tcPr>
            <w:tcW w:w="3340" w:type="dxa"/>
            <w:vAlign w:val="bottom"/>
            <w:tcBorders>
              <w:right w:val="single" w:sz="8" w:color="E2EDED"/>
            </w:tcBorders>
          </w:tcPr>
          <w:p>
            <w:pPr>
              <w:ind w:left="100"/>
              <w:spacing w:after="0" w:line="156" w:lineRule="exact"/>
              <w:rPr>
                <w:sz w:val="20"/>
                <w:szCs w:val="20"/>
                <w:color w:val="auto"/>
              </w:rPr>
            </w:pPr>
            <w:r>
              <w:rPr>
                <w:rFonts w:ascii="Arial" w:cs="Arial" w:eastAsia="Arial" w:hAnsi="Arial"/>
                <w:sz w:val="14"/>
                <w:szCs w:val="14"/>
                <w:color w:val="auto"/>
              </w:rPr>
              <w:t>subject to NEO holding requirements, further</w:t>
            </w:r>
          </w:p>
        </w:tc>
        <w:tc>
          <w:tcPr>
            <w:tcW w:w="3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tcBorders>
              <w:left w:val="single" w:sz="8" w:color="E2EDED"/>
              <w:right w:val="single" w:sz="8" w:color="E2EDED"/>
            </w:tcBorders>
          </w:tcPr>
          <w:p>
            <w:pPr>
              <w:spacing w:after="0"/>
              <w:rPr>
                <w:sz w:val="13"/>
                <w:szCs w:val="13"/>
                <w:color w:val="auto"/>
              </w:rPr>
            </w:pPr>
          </w:p>
        </w:tc>
        <w:tc>
          <w:tcPr>
            <w:tcW w:w="840" w:type="dxa"/>
            <w:vAlign w:val="bottom"/>
            <w:tcBorders>
              <w:right w:val="single" w:sz="8" w:color="E2EDED"/>
            </w:tcBorders>
          </w:tcPr>
          <w:p>
            <w:pPr>
              <w:spacing w:after="0"/>
              <w:rPr>
                <w:sz w:val="13"/>
                <w:szCs w:val="13"/>
                <w:color w:val="auto"/>
              </w:rPr>
            </w:pPr>
          </w:p>
        </w:tc>
        <w:tc>
          <w:tcPr>
            <w:tcW w:w="3340" w:type="dxa"/>
            <w:vAlign w:val="bottom"/>
            <w:tcBorders>
              <w:right w:val="single" w:sz="8" w:color="E2EDED"/>
            </w:tcBorders>
          </w:tcPr>
          <w:p>
            <w:pPr>
              <w:ind w:left="100"/>
              <w:spacing w:after="0" w:line="156" w:lineRule="exact"/>
              <w:rPr>
                <w:sz w:val="20"/>
                <w:szCs w:val="20"/>
                <w:color w:val="auto"/>
              </w:rPr>
            </w:pPr>
            <w:r>
              <w:rPr>
                <w:rFonts w:ascii="Arial" w:cs="Arial" w:eastAsia="Arial" w:hAnsi="Arial"/>
                <w:sz w:val="14"/>
                <w:szCs w:val="14"/>
                <w:color w:val="auto"/>
              </w:rPr>
              <w:t>aligning executive and long-term shareholder</w:t>
            </w:r>
          </w:p>
        </w:tc>
        <w:tc>
          <w:tcPr>
            <w:tcW w:w="3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620" w:type="dxa"/>
            <w:vAlign w:val="bottom"/>
            <w:tcBorders>
              <w:left w:val="single" w:sz="8" w:color="E2EDED"/>
              <w:right w:val="single" w:sz="8" w:color="E2EDED"/>
            </w:tcBorders>
          </w:tcPr>
          <w:p>
            <w:pPr>
              <w:spacing w:after="0"/>
              <w:rPr>
                <w:sz w:val="14"/>
                <w:szCs w:val="14"/>
                <w:color w:val="auto"/>
              </w:rPr>
            </w:pPr>
          </w:p>
        </w:tc>
        <w:tc>
          <w:tcPr>
            <w:tcW w:w="840" w:type="dxa"/>
            <w:vAlign w:val="bottom"/>
            <w:tcBorders>
              <w:right w:val="single" w:sz="8" w:color="E2EDED"/>
            </w:tcBorders>
          </w:tcPr>
          <w:p>
            <w:pPr>
              <w:spacing w:after="0"/>
              <w:rPr>
                <w:sz w:val="14"/>
                <w:szCs w:val="14"/>
                <w:color w:val="auto"/>
              </w:rPr>
            </w:pPr>
          </w:p>
        </w:tc>
        <w:tc>
          <w:tcPr>
            <w:tcW w:w="3340" w:type="dxa"/>
            <w:vAlign w:val="bottom"/>
            <w:tcBorders>
              <w:right w:val="single" w:sz="8" w:color="E2EDED"/>
            </w:tcBorders>
          </w:tcPr>
          <w:p>
            <w:pPr>
              <w:ind w:left="100"/>
              <w:spacing w:after="0"/>
              <w:rPr>
                <w:sz w:val="20"/>
                <w:szCs w:val="20"/>
                <w:color w:val="auto"/>
              </w:rPr>
            </w:pPr>
            <w:r>
              <w:rPr>
                <w:rFonts w:ascii="Arial" w:cs="Arial" w:eastAsia="Arial" w:hAnsi="Arial"/>
                <w:sz w:val="14"/>
                <w:szCs w:val="14"/>
                <w:color w:val="auto"/>
              </w:rPr>
              <w:t>interests</w:t>
            </w: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tcBorders>
              <w:left w:val="single" w:sz="8" w:color="E2EDED"/>
              <w:right w:val="single" w:sz="8" w:color="E2EDED"/>
            </w:tcBorders>
          </w:tcPr>
          <w:p>
            <w:pPr>
              <w:spacing w:after="0"/>
              <w:rPr>
                <w:sz w:val="6"/>
                <w:szCs w:val="6"/>
                <w:color w:val="auto"/>
              </w:rPr>
            </w:pPr>
          </w:p>
        </w:tc>
        <w:tc>
          <w:tcPr>
            <w:tcW w:w="840" w:type="dxa"/>
            <w:vAlign w:val="bottom"/>
            <w:tcBorders>
              <w:right w:val="single" w:sz="8" w:color="E2EDED"/>
            </w:tcBorders>
          </w:tcPr>
          <w:p>
            <w:pPr>
              <w:spacing w:after="0"/>
              <w:rPr>
                <w:sz w:val="6"/>
                <w:szCs w:val="6"/>
                <w:color w:val="auto"/>
              </w:rPr>
            </w:pPr>
          </w:p>
        </w:tc>
        <w:tc>
          <w:tcPr>
            <w:tcW w:w="3340" w:type="dxa"/>
            <w:vAlign w:val="bottom"/>
            <w:tcBorders>
              <w:right w:val="single" w:sz="8" w:color="E2EDED"/>
            </w:tcBorders>
          </w:tcPr>
          <w:p>
            <w:pPr>
              <w:spacing w:after="0"/>
              <w:rPr>
                <w:sz w:val="6"/>
                <w:szCs w:val="6"/>
                <w:color w:val="auto"/>
              </w:rPr>
            </w:pPr>
          </w:p>
        </w:tc>
        <w:tc>
          <w:tcPr>
            <w:tcW w:w="3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1620" w:type="dxa"/>
            <w:vAlign w:val="bottom"/>
            <w:tcBorders>
              <w:left w:val="single" w:sz="8" w:color="E2EDED"/>
              <w:right w:val="single" w:sz="8" w:color="E2EDED"/>
            </w:tcBorders>
            <w:shd w:val="clear" w:color="auto" w:fill="E1D0D6"/>
          </w:tcPr>
          <w:p>
            <w:pPr>
              <w:jc w:val="center"/>
              <w:spacing w:after="0"/>
              <w:rPr>
                <w:sz w:val="20"/>
                <w:szCs w:val="20"/>
                <w:color w:val="auto"/>
              </w:rPr>
            </w:pPr>
            <w:r>
              <w:rPr>
                <w:rFonts w:ascii="Arial" w:cs="Arial" w:eastAsia="Arial" w:hAnsi="Arial"/>
                <w:sz w:val="14"/>
                <w:szCs w:val="14"/>
                <w:color w:val="auto"/>
                <w:w w:val="92"/>
              </w:rPr>
              <w:t>15%</w:t>
            </w:r>
          </w:p>
        </w:tc>
        <w:tc>
          <w:tcPr>
            <w:tcW w:w="840" w:type="dxa"/>
            <w:vAlign w:val="bottom"/>
            <w:tcBorders>
              <w:right w:val="single" w:sz="8" w:color="E2EDED"/>
            </w:tcBorders>
            <w:shd w:val="clear" w:color="auto" w:fill="E1D0D6"/>
          </w:tcPr>
          <w:p>
            <w:pPr>
              <w:jc w:val="center"/>
              <w:spacing w:after="0"/>
              <w:rPr>
                <w:sz w:val="20"/>
                <w:szCs w:val="20"/>
                <w:color w:val="auto"/>
              </w:rPr>
            </w:pPr>
            <w:r>
              <w:rPr>
                <w:rFonts w:ascii="Arial" w:cs="Arial" w:eastAsia="Arial" w:hAnsi="Arial"/>
                <w:sz w:val="14"/>
                <w:szCs w:val="14"/>
                <w:color w:val="auto"/>
                <w:w w:val="90"/>
              </w:rPr>
              <w:t>Yes</w:t>
            </w:r>
          </w:p>
        </w:tc>
        <w:tc>
          <w:tcPr>
            <w:tcW w:w="3340" w:type="dxa"/>
            <w:vAlign w:val="bottom"/>
            <w:tcBorders>
              <w:right w:val="single" w:sz="8" w:color="E2EDED"/>
            </w:tcBorders>
            <w:shd w:val="clear" w:color="auto" w:fill="E1D0D6"/>
          </w:tcPr>
          <w:p>
            <w:pPr>
              <w:ind w:left="100"/>
              <w:spacing w:after="0"/>
              <w:rPr>
                <w:sz w:val="20"/>
                <w:szCs w:val="20"/>
                <w:color w:val="auto"/>
              </w:rPr>
            </w:pPr>
            <w:r>
              <w:rPr>
                <w:rFonts w:ascii="Arial" w:cs="Arial" w:eastAsia="Arial" w:hAnsi="Arial"/>
                <w:sz w:val="14"/>
                <w:szCs w:val="14"/>
                <w:color w:val="auto"/>
              </w:rPr>
              <w:t>Performance-based stock vests solely based on</w:t>
            </w:r>
          </w:p>
        </w:tc>
        <w:tc>
          <w:tcPr>
            <w:tcW w:w="3240" w:type="dxa"/>
            <w:vAlign w:val="bottom"/>
            <w:shd w:val="clear" w:color="auto" w:fill="E1D0D6"/>
          </w:tcPr>
          <w:p>
            <w:pPr>
              <w:ind w:left="120"/>
              <w:spacing w:after="0"/>
              <w:rPr>
                <w:sz w:val="20"/>
                <w:szCs w:val="20"/>
                <w:color w:val="auto"/>
              </w:rPr>
            </w:pPr>
            <w:r>
              <w:rPr>
                <w:rFonts w:ascii="Arial" w:cs="Arial" w:eastAsia="Arial" w:hAnsi="Arial"/>
                <w:sz w:val="14"/>
                <w:szCs w:val="14"/>
                <w:color w:val="auto"/>
              </w:rPr>
              <w:t>Performance-based restricted stock linked to the</w:t>
            </w:r>
          </w:p>
        </w:tc>
        <w:tc>
          <w:tcPr>
            <w:tcW w:w="0" w:type="dxa"/>
            <w:vAlign w:val="bottom"/>
          </w:tcPr>
          <w:p>
            <w:pPr>
              <w:spacing w:after="0"/>
              <w:rPr>
                <w:sz w:val="1"/>
                <w:szCs w:val="1"/>
                <w:color w:val="auto"/>
              </w:rPr>
            </w:pPr>
          </w:p>
        </w:tc>
      </w:tr>
      <w:tr>
        <w:trPr>
          <w:trHeight w:val="156"/>
        </w:trPr>
        <w:tc>
          <w:tcPr>
            <w:tcW w:w="1620" w:type="dxa"/>
            <w:vAlign w:val="bottom"/>
            <w:tcBorders>
              <w:left w:val="single" w:sz="8" w:color="E2EDED"/>
              <w:right w:val="single" w:sz="8" w:color="E2EDED"/>
            </w:tcBorders>
            <w:shd w:val="clear" w:color="auto" w:fill="E1D0D6"/>
          </w:tcPr>
          <w:p>
            <w:pPr>
              <w:spacing w:after="0"/>
              <w:rPr>
                <w:sz w:val="13"/>
                <w:szCs w:val="13"/>
                <w:color w:val="auto"/>
              </w:rPr>
            </w:pPr>
          </w:p>
        </w:tc>
        <w:tc>
          <w:tcPr>
            <w:tcW w:w="840" w:type="dxa"/>
            <w:vAlign w:val="bottom"/>
            <w:tcBorders>
              <w:right w:val="single" w:sz="8" w:color="E2EDED"/>
            </w:tcBorders>
            <w:shd w:val="clear" w:color="auto" w:fill="E1D0D6"/>
          </w:tcPr>
          <w:p>
            <w:pPr>
              <w:spacing w:after="0"/>
              <w:rPr>
                <w:sz w:val="13"/>
                <w:szCs w:val="13"/>
                <w:color w:val="auto"/>
              </w:rPr>
            </w:pPr>
          </w:p>
        </w:tc>
        <w:tc>
          <w:tcPr>
            <w:tcW w:w="3340" w:type="dxa"/>
            <w:vAlign w:val="bottom"/>
            <w:tcBorders>
              <w:right w:val="single" w:sz="8" w:color="E2EDED"/>
            </w:tcBorders>
            <w:shd w:val="clear" w:color="auto" w:fill="E1D0D6"/>
          </w:tcPr>
          <w:p>
            <w:pPr>
              <w:ind w:left="100"/>
              <w:spacing w:after="0" w:line="156" w:lineRule="exact"/>
              <w:rPr>
                <w:sz w:val="20"/>
                <w:szCs w:val="20"/>
                <w:color w:val="auto"/>
              </w:rPr>
            </w:pPr>
            <w:r>
              <w:rPr>
                <w:rFonts w:ascii="Arial" w:cs="Arial" w:eastAsia="Arial" w:hAnsi="Arial"/>
                <w:sz w:val="14"/>
                <w:szCs w:val="14"/>
                <w:color w:val="auto"/>
              </w:rPr>
              <w:t>company performance on preset goals over a</w:t>
            </w:r>
          </w:p>
        </w:tc>
        <w:tc>
          <w:tcPr>
            <w:tcW w:w="3240" w:type="dxa"/>
            <w:vAlign w:val="bottom"/>
            <w:shd w:val="clear" w:color="auto" w:fill="E1D0D6"/>
          </w:tcPr>
          <w:p>
            <w:pPr>
              <w:ind w:left="120"/>
              <w:spacing w:after="0" w:line="156" w:lineRule="exact"/>
              <w:rPr>
                <w:sz w:val="20"/>
                <w:szCs w:val="20"/>
                <w:color w:val="auto"/>
              </w:rPr>
            </w:pPr>
            <w:r>
              <w:rPr>
                <w:rFonts w:ascii="Arial" w:cs="Arial" w:eastAsia="Arial" w:hAnsi="Arial"/>
                <w:sz w:val="14"/>
                <w:szCs w:val="14"/>
                <w:color w:val="auto"/>
              </w:rPr>
              <w:t>achievement of “fair share” metrics, a relative</w:t>
            </w:r>
          </w:p>
        </w:tc>
        <w:tc>
          <w:tcPr>
            <w:tcW w:w="0" w:type="dxa"/>
            <w:vAlign w:val="bottom"/>
          </w:tcPr>
          <w:p>
            <w:pPr>
              <w:spacing w:after="0"/>
              <w:rPr>
                <w:sz w:val="1"/>
                <w:szCs w:val="1"/>
                <w:color w:val="auto"/>
              </w:rPr>
            </w:pPr>
          </w:p>
        </w:tc>
      </w:tr>
      <w:tr>
        <w:trPr>
          <w:trHeight w:val="156"/>
        </w:trPr>
        <w:tc>
          <w:tcPr>
            <w:tcW w:w="1620" w:type="dxa"/>
            <w:vAlign w:val="bottom"/>
            <w:tcBorders>
              <w:left w:val="single" w:sz="8" w:color="E2EDED"/>
              <w:right w:val="single" w:sz="8" w:color="E2EDED"/>
            </w:tcBorders>
            <w:shd w:val="clear" w:color="auto" w:fill="E1D0D6"/>
          </w:tcPr>
          <w:p>
            <w:pPr>
              <w:spacing w:after="0"/>
              <w:rPr>
                <w:sz w:val="13"/>
                <w:szCs w:val="13"/>
                <w:color w:val="auto"/>
              </w:rPr>
            </w:pPr>
          </w:p>
        </w:tc>
        <w:tc>
          <w:tcPr>
            <w:tcW w:w="840" w:type="dxa"/>
            <w:vAlign w:val="bottom"/>
            <w:tcBorders>
              <w:right w:val="single" w:sz="8" w:color="E2EDED"/>
            </w:tcBorders>
            <w:shd w:val="clear" w:color="auto" w:fill="E1D0D6"/>
          </w:tcPr>
          <w:p>
            <w:pPr>
              <w:spacing w:after="0"/>
              <w:rPr>
                <w:sz w:val="13"/>
                <w:szCs w:val="13"/>
                <w:color w:val="auto"/>
              </w:rPr>
            </w:pPr>
          </w:p>
        </w:tc>
        <w:tc>
          <w:tcPr>
            <w:tcW w:w="3340" w:type="dxa"/>
            <w:vAlign w:val="bottom"/>
            <w:tcBorders>
              <w:right w:val="single" w:sz="8" w:color="E2EDED"/>
            </w:tcBorders>
            <w:shd w:val="clear" w:color="auto" w:fill="E1D0D6"/>
          </w:tcPr>
          <w:p>
            <w:pPr>
              <w:ind w:left="100"/>
              <w:spacing w:after="0" w:line="156" w:lineRule="exact"/>
              <w:rPr>
                <w:sz w:val="20"/>
                <w:szCs w:val="20"/>
                <w:color w:val="auto"/>
              </w:rPr>
            </w:pPr>
            <w:r>
              <w:rPr>
                <w:rFonts w:ascii="Arial" w:cs="Arial" w:eastAsia="Arial" w:hAnsi="Arial"/>
                <w:sz w:val="14"/>
                <w:szCs w:val="14"/>
                <w:color w:val="auto"/>
              </w:rPr>
              <w:t>three-year performance period, linking the creation</w:t>
            </w:r>
          </w:p>
        </w:tc>
        <w:tc>
          <w:tcPr>
            <w:tcW w:w="3240" w:type="dxa"/>
            <w:vAlign w:val="bottom"/>
            <w:shd w:val="clear" w:color="auto" w:fill="E1D0D6"/>
          </w:tcPr>
          <w:p>
            <w:pPr>
              <w:ind w:left="120"/>
              <w:spacing w:after="0" w:line="156" w:lineRule="exact"/>
              <w:rPr>
                <w:sz w:val="20"/>
                <w:szCs w:val="20"/>
                <w:color w:val="auto"/>
              </w:rPr>
            </w:pPr>
            <w:r>
              <w:rPr>
                <w:rFonts w:ascii="Arial" w:cs="Arial" w:eastAsia="Arial" w:hAnsi="Arial"/>
                <w:sz w:val="14"/>
                <w:szCs w:val="14"/>
                <w:color w:val="auto"/>
              </w:rPr>
              <w:t>measure</w:t>
            </w:r>
          </w:p>
        </w:tc>
        <w:tc>
          <w:tcPr>
            <w:tcW w:w="0" w:type="dxa"/>
            <w:vAlign w:val="bottom"/>
          </w:tcPr>
          <w:p>
            <w:pPr>
              <w:spacing w:after="0"/>
              <w:rPr>
                <w:sz w:val="1"/>
                <w:szCs w:val="1"/>
                <w:color w:val="auto"/>
              </w:rPr>
            </w:pPr>
          </w:p>
        </w:tc>
      </w:tr>
      <w:tr>
        <w:trPr>
          <w:trHeight w:val="166"/>
        </w:trPr>
        <w:tc>
          <w:tcPr>
            <w:tcW w:w="1620" w:type="dxa"/>
            <w:vAlign w:val="bottom"/>
            <w:tcBorders>
              <w:left w:val="single" w:sz="8" w:color="E2EDED"/>
              <w:right w:val="single" w:sz="8" w:color="E2EDED"/>
            </w:tcBorders>
            <w:shd w:val="clear" w:color="auto" w:fill="E1D0D6"/>
          </w:tcPr>
          <w:p>
            <w:pPr>
              <w:spacing w:after="0"/>
              <w:rPr>
                <w:sz w:val="14"/>
                <w:szCs w:val="14"/>
                <w:color w:val="auto"/>
              </w:rPr>
            </w:pPr>
          </w:p>
        </w:tc>
        <w:tc>
          <w:tcPr>
            <w:tcW w:w="840" w:type="dxa"/>
            <w:vAlign w:val="bottom"/>
            <w:tcBorders>
              <w:right w:val="single" w:sz="8" w:color="E2EDED"/>
            </w:tcBorders>
            <w:shd w:val="clear" w:color="auto" w:fill="E1D0D6"/>
          </w:tcPr>
          <w:p>
            <w:pPr>
              <w:spacing w:after="0"/>
              <w:rPr>
                <w:sz w:val="14"/>
                <w:szCs w:val="14"/>
                <w:color w:val="auto"/>
              </w:rPr>
            </w:pPr>
          </w:p>
        </w:tc>
        <w:tc>
          <w:tcPr>
            <w:tcW w:w="3340" w:type="dxa"/>
            <w:vAlign w:val="bottom"/>
            <w:tcBorders>
              <w:right w:val="single" w:sz="8" w:color="E2EDED"/>
            </w:tcBorders>
            <w:shd w:val="clear" w:color="auto" w:fill="E1D0D6"/>
          </w:tcPr>
          <w:p>
            <w:pPr>
              <w:ind w:left="100"/>
              <w:spacing w:after="0"/>
              <w:rPr>
                <w:sz w:val="20"/>
                <w:szCs w:val="20"/>
                <w:color w:val="auto"/>
              </w:rPr>
            </w:pPr>
            <w:r>
              <w:rPr>
                <w:rFonts w:ascii="Arial" w:cs="Arial" w:eastAsia="Arial" w:hAnsi="Arial"/>
                <w:sz w:val="14"/>
                <w:szCs w:val="14"/>
                <w:color w:val="auto"/>
              </w:rPr>
              <w:t>of shareholder value to incentives earned</w:t>
            </w:r>
          </w:p>
        </w:tc>
        <w:tc>
          <w:tcPr>
            <w:tcW w:w="3240" w:type="dxa"/>
            <w:vAlign w:val="bottom"/>
            <w:shd w:val="clear" w:color="auto" w:fill="E1D0D6"/>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620" w:type="dxa"/>
            <w:vAlign w:val="bottom"/>
            <w:tcBorders>
              <w:left w:val="single" w:sz="8" w:color="E2EDED"/>
              <w:right w:val="single" w:sz="8" w:color="E2EDED"/>
            </w:tcBorders>
            <w:shd w:val="clear" w:color="auto" w:fill="E1D0D6"/>
          </w:tcPr>
          <w:p>
            <w:pPr>
              <w:spacing w:after="0"/>
              <w:rPr>
                <w:sz w:val="7"/>
                <w:szCs w:val="7"/>
                <w:color w:val="auto"/>
              </w:rPr>
            </w:pPr>
          </w:p>
        </w:tc>
        <w:tc>
          <w:tcPr>
            <w:tcW w:w="840" w:type="dxa"/>
            <w:vAlign w:val="bottom"/>
            <w:tcBorders>
              <w:right w:val="single" w:sz="8" w:color="E2EDED"/>
            </w:tcBorders>
            <w:shd w:val="clear" w:color="auto" w:fill="E1D0D6"/>
          </w:tcPr>
          <w:p>
            <w:pPr>
              <w:spacing w:after="0"/>
              <w:rPr>
                <w:sz w:val="7"/>
                <w:szCs w:val="7"/>
                <w:color w:val="auto"/>
              </w:rPr>
            </w:pPr>
          </w:p>
        </w:tc>
        <w:tc>
          <w:tcPr>
            <w:tcW w:w="3340" w:type="dxa"/>
            <w:vAlign w:val="bottom"/>
            <w:tcBorders>
              <w:right w:val="single" w:sz="8" w:color="E2EDED"/>
            </w:tcBorders>
            <w:shd w:val="clear" w:color="auto" w:fill="E1D0D6"/>
          </w:tcPr>
          <w:p>
            <w:pPr>
              <w:spacing w:after="0"/>
              <w:rPr>
                <w:sz w:val="7"/>
                <w:szCs w:val="7"/>
                <w:color w:val="auto"/>
              </w:rPr>
            </w:pPr>
          </w:p>
        </w:tc>
        <w:tc>
          <w:tcPr>
            <w:tcW w:w="3240" w:type="dxa"/>
            <w:vAlign w:val="bottom"/>
            <w:shd w:val="clear" w:color="auto" w:fill="E1D0D6"/>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1620" w:type="dxa"/>
            <w:vAlign w:val="bottom"/>
            <w:tcBorders>
              <w:left w:val="single" w:sz="8" w:color="E2EDED"/>
              <w:right w:val="single" w:sz="8" w:color="E2EDED"/>
            </w:tcBorders>
          </w:tcPr>
          <w:p>
            <w:pPr>
              <w:jc w:val="center"/>
              <w:spacing w:after="0"/>
              <w:rPr>
                <w:sz w:val="20"/>
                <w:szCs w:val="20"/>
                <w:color w:val="auto"/>
              </w:rPr>
            </w:pPr>
            <w:r>
              <w:rPr>
                <w:rFonts w:ascii="Arial" w:cs="Arial" w:eastAsia="Arial" w:hAnsi="Arial"/>
                <w:sz w:val="14"/>
                <w:szCs w:val="14"/>
                <w:color w:val="auto"/>
                <w:w w:val="92"/>
              </w:rPr>
              <w:t>39%</w:t>
            </w:r>
          </w:p>
        </w:tc>
        <w:tc>
          <w:tcPr>
            <w:tcW w:w="840" w:type="dxa"/>
            <w:vAlign w:val="bottom"/>
            <w:tcBorders>
              <w:right w:val="single" w:sz="8" w:color="E2EDED"/>
            </w:tcBorders>
          </w:tcPr>
          <w:p>
            <w:pPr>
              <w:jc w:val="center"/>
              <w:spacing w:after="0"/>
              <w:rPr>
                <w:sz w:val="20"/>
                <w:szCs w:val="20"/>
                <w:color w:val="auto"/>
              </w:rPr>
            </w:pPr>
            <w:r>
              <w:rPr>
                <w:rFonts w:ascii="Arial" w:cs="Arial" w:eastAsia="Arial" w:hAnsi="Arial"/>
                <w:sz w:val="14"/>
                <w:szCs w:val="14"/>
                <w:color w:val="auto"/>
                <w:w w:val="90"/>
              </w:rPr>
              <w:t>Yes</w:t>
            </w:r>
          </w:p>
        </w:tc>
        <w:tc>
          <w:tcPr>
            <w:tcW w:w="3340" w:type="dxa"/>
            <w:vAlign w:val="bottom"/>
            <w:tcBorders>
              <w:right w:val="single" w:sz="8" w:color="E2EDED"/>
            </w:tcBorders>
          </w:tcPr>
          <w:p>
            <w:pPr>
              <w:ind w:left="100"/>
              <w:spacing w:after="0"/>
              <w:rPr>
                <w:sz w:val="20"/>
                <w:szCs w:val="20"/>
                <w:color w:val="auto"/>
              </w:rPr>
            </w:pPr>
            <w:r>
              <w:rPr>
                <w:rFonts w:ascii="Arial" w:cs="Arial" w:eastAsia="Arial" w:hAnsi="Arial"/>
                <w:sz w:val="14"/>
                <w:szCs w:val="14"/>
                <w:color w:val="auto"/>
              </w:rPr>
              <w:t>Ensure focus on long-term value creation, align</w:t>
            </w:r>
          </w:p>
        </w:tc>
        <w:tc>
          <w:tcPr>
            <w:tcW w:w="3240" w:type="dxa"/>
            <w:vAlign w:val="bottom"/>
          </w:tcPr>
          <w:p>
            <w:pPr>
              <w:ind w:left="120"/>
              <w:spacing w:after="0"/>
              <w:rPr>
                <w:sz w:val="20"/>
                <w:szCs w:val="20"/>
                <w:color w:val="auto"/>
              </w:rPr>
            </w:pPr>
            <w:r>
              <w:rPr>
                <w:rFonts w:ascii="Arial" w:cs="Arial" w:eastAsia="Arial" w:hAnsi="Arial"/>
                <w:sz w:val="14"/>
                <w:szCs w:val="14"/>
                <w:color w:val="auto"/>
              </w:rPr>
              <w:t>Retention, alignment of interests with those of</w:t>
            </w:r>
          </w:p>
        </w:tc>
        <w:tc>
          <w:tcPr>
            <w:tcW w:w="0" w:type="dxa"/>
            <w:vAlign w:val="bottom"/>
          </w:tcPr>
          <w:p>
            <w:pPr>
              <w:spacing w:after="0"/>
              <w:rPr>
                <w:sz w:val="1"/>
                <w:szCs w:val="1"/>
                <w:color w:val="auto"/>
              </w:rPr>
            </w:pPr>
          </w:p>
        </w:tc>
      </w:tr>
      <w:tr>
        <w:trPr>
          <w:trHeight w:val="156"/>
        </w:trPr>
        <w:tc>
          <w:tcPr>
            <w:tcW w:w="1620" w:type="dxa"/>
            <w:vAlign w:val="bottom"/>
            <w:tcBorders>
              <w:left w:val="single" w:sz="8" w:color="E2EDED"/>
              <w:right w:val="single" w:sz="8" w:color="E2EDED"/>
            </w:tcBorders>
          </w:tcPr>
          <w:p>
            <w:pPr>
              <w:spacing w:after="0"/>
              <w:rPr>
                <w:sz w:val="13"/>
                <w:szCs w:val="13"/>
                <w:color w:val="auto"/>
              </w:rPr>
            </w:pPr>
          </w:p>
        </w:tc>
        <w:tc>
          <w:tcPr>
            <w:tcW w:w="840" w:type="dxa"/>
            <w:vAlign w:val="bottom"/>
            <w:tcBorders>
              <w:right w:val="single" w:sz="8" w:color="E2EDED"/>
            </w:tcBorders>
          </w:tcPr>
          <w:p>
            <w:pPr>
              <w:spacing w:after="0"/>
              <w:rPr>
                <w:sz w:val="13"/>
                <w:szCs w:val="13"/>
                <w:color w:val="auto"/>
              </w:rPr>
            </w:pPr>
          </w:p>
        </w:tc>
        <w:tc>
          <w:tcPr>
            <w:tcW w:w="3340" w:type="dxa"/>
            <w:vAlign w:val="bottom"/>
            <w:tcBorders>
              <w:right w:val="single" w:sz="8" w:color="E2EDED"/>
            </w:tcBorders>
          </w:tcPr>
          <w:p>
            <w:pPr>
              <w:ind w:left="100"/>
              <w:spacing w:after="0" w:line="156" w:lineRule="exact"/>
              <w:rPr>
                <w:sz w:val="20"/>
                <w:szCs w:val="20"/>
                <w:color w:val="auto"/>
              </w:rPr>
            </w:pPr>
            <w:r>
              <w:rPr>
                <w:rFonts w:ascii="Arial" w:cs="Arial" w:eastAsia="Arial" w:hAnsi="Arial"/>
                <w:sz w:val="14"/>
                <w:szCs w:val="14"/>
                <w:color w:val="auto"/>
              </w:rPr>
              <w:t>executive and long-term shareholder interests, and</w:t>
            </w:r>
          </w:p>
        </w:tc>
        <w:tc>
          <w:tcPr>
            <w:tcW w:w="3240" w:type="dxa"/>
            <w:vAlign w:val="bottom"/>
          </w:tcPr>
          <w:p>
            <w:pPr>
              <w:ind w:left="120"/>
              <w:spacing w:after="0" w:line="156" w:lineRule="exact"/>
              <w:rPr>
                <w:sz w:val="20"/>
                <w:szCs w:val="20"/>
                <w:color w:val="auto"/>
              </w:rPr>
            </w:pPr>
            <w:r>
              <w:rPr>
                <w:rFonts w:ascii="Arial" w:cs="Arial" w:eastAsia="Arial" w:hAnsi="Arial"/>
                <w:sz w:val="14"/>
                <w:szCs w:val="14"/>
                <w:color w:val="auto"/>
              </w:rPr>
              <w:t>long-term shareholders and includes a partial</w:t>
            </w:r>
          </w:p>
        </w:tc>
        <w:tc>
          <w:tcPr>
            <w:tcW w:w="0" w:type="dxa"/>
            <w:vAlign w:val="bottom"/>
          </w:tcPr>
          <w:p>
            <w:pPr>
              <w:spacing w:after="0"/>
              <w:rPr>
                <w:sz w:val="1"/>
                <w:szCs w:val="1"/>
                <w:color w:val="auto"/>
              </w:rPr>
            </w:pPr>
          </w:p>
        </w:tc>
      </w:tr>
      <w:tr>
        <w:trPr>
          <w:trHeight w:val="156"/>
        </w:trPr>
        <w:tc>
          <w:tcPr>
            <w:tcW w:w="1620" w:type="dxa"/>
            <w:vAlign w:val="bottom"/>
            <w:tcBorders>
              <w:left w:val="single" w:sz="8" w:color="E2EDED"/>
              <w:right w:val="single" w:sz="8" w:color="E2EDED"/>
            </w:tcBorders>
          </w:tcPr>
          <w:p>
            <w:pPr>
              <w:spacing w:after="0"/>
              <w:rPr>
                <w:sz w:val="13"/>
                <w:szCs w:val="13"/>
                <w:color w:val="auto"/>
              </w:rPr>
            </w:pPr>
          </w:p>
        </w:tc>
        <w:tc>
          <w:tcPr>
            <w:tcW w:w="840" w:type="dxa"/>
            <w:vAlign w:val="bottom"/>
            <w:tcBorders>
              <w:right w:val="single" w:sz="8" w:color="E2EDED"/>
            </w:tcBorders>
          </w:tcPr>
          <w:p>
            <w:pPr>
              <w:spacing w:after="0"/>
              <w:rPr>
                <w:sz w:val="13"/>
                <w:szCs w:val="13"/>
                <w:color w:val="auto"/>
              </w:rPr>
            </w:pPr>
          </w:p>
        </w:tc>
        <w:tc>
          <w:tcPr>
            <w:tcW w:w="3340" w:type="dxa"/>
            <w:vAlign w:val="bottom"/>
            <w:tcBorders>
              <w:right w:val="single" w:sz="8" w:color="E2EDED"/>
            </w:tcBorders>
          </w:tcPr>
          <w:p>
            <w:pPr>
              <w:ind w:left="100"/>
              <w:spacing w:after="0" w:line="156" w:lineRule="exact"/>
              <w:rPr>
                <w:sz w:val="20"/>
                <w:szCs w:val="20"/>
                <w:color w:val="auto"/>
              </w:rPr>
            </w:pPr>
            <w:r>
              <w:rPr>
                <w:rFonts w:ascii="Arial" w:cs="Arial" w:eastAsia="Arial" w:hAnsi="Arial"/>
                <w:sz w:val="14"/>
                <w:szCs w:val="14"/>
                <w:color w:val="auto"/>
              </w:rPr>
              <w:t>promote retention</w:t>
            </w:r>
          </w:p>
        </w:tc>
        <w:tc>
          <w:tcPr>
            <w:tcW w:w="3240" w:type="dxa"/>
            <w:vAlign w:val="bottom"/>
          </w:tcPr>
          <w:p>
            <w:pPr>
              <w:ind w:left="120"/>
              <w:spacing w:after="0" w:line="156" w:lineRule="exact"/>
              <w:rPr>
                <w:sz w:val="20"/>
                <w:szCs w:val="20"/>
                <w:color w:val="auto"/>
              </w:rPr>
            </w:pPr>
            <w:r>
              <w:rPr>
                <w:rFonts w:ascii="Arial" w:cs="Arial" w:eastAsia="Arial" w:hAnsi="Arial"/>
                <w:sz w:val="14"/>
                <w:szCs w:val="14"/>
                <w:color w:val="auto"/>
              </w:rPr>
              <w:t>make-whole grant for Julie Cameron-Doe in</w:t>
            </w:r>
          </w:p>
        </w:tc>
        <w:tc>
          <w:tcPr>
            <w:tcW w:w="0" w:type="dxa"/>
            <w:vAlign w:val="bottom"/>
          </w:tcPr>
          <w:p>
            <w:pPr>
              <w:spacing w:after="0"/>
              <w:rPr>
                <w:sz w:val="1"/>
                <w:szCs w:val="1"/>
                <w:color w:val="auto"/>
              </w:rPr>
            </w:pPr>
          </w:p>
        </w:tc>
      </w:tr>
      <w:tr>
        <w:trPr>
          <w:trHeight w:val="156"/>
        </w:trPr>
        <w:tc>
          <w:tcPr>
            <w:tcW w:w="1620" w:type="dxa"/>
            <w:vAlign w:val="bottom"/>
            <w:tcBorders>
              <w:left w:val="single" w:sz="8" w:color="E2EDED"/>
              <w:right w:val="single" w:sz="8" w:color="E2EDED"/>
            </w:tcBorders>
          </w:tcPr>
          <w:p>
            <w:pPr>
              <w:spacing w:after="0"/>
              <w:rPr>
                <w:sz w:val="13"/>
                <w:szCs w:val="13"/>
                <w:color w:val="auto"/>
              </w:rPr>
            </w:pPr>
          </w:p>
        </w:tc>
        <w:tc>
          <w:tcPr>
            <w:tcW w:w="840" w:type="dxa"/>
            <w:vAlign w:val="bottom"/>
            <w:tcBorders>
              <w:right w:val="single" w:sz="8" w:color="E2EDED"/>
            </w:tcBorders>
          </w:tcPr>
          <w:p>
            <w:pPr>
              <w:spacing w:after="0"/>
              <w:rPr>
                <w:sz w:val="13"/>
                <w:szCs w:val="13"/>
                <w:color w:val="auto"/>
              </w:rPr>
            </w:pPr>
          </w:p>
        </w:tc>
        <w:tc>
          <w:tcPr>
            <w:tcW w:w="3340" w:type="dxa"/>
            <w:vAlign w:val="bottom"/>
            <w:tcBorders>
              <w:right w:val="single" w:sz="8" w:color="E2EDED"/>
            </w:tcBorders>
          </w:tcPr>
          <w:p>
            <w:pPr>
              <w:spacing w:after="0"/>
              <w:rPr>
                <w:sz w:val="13"/>
                <w:szCs w:val="13"/>
                <w:color w:val="auto"/>
              </w:rPr>
            </w:pPr>
          </w:p>
        </w:tc>
        <w:tc>
          <w:tcPr>
            <w:tcW w:w="3240" w:type="dxa"/>
            <w:vAlign w:val="bottom"/>
          </w:tcPr>
          <w:p>
            <w:pPr>
              <w:ind w:left="120"/>
              <w:spacing w:after="0" w:line="156" w:lineRule="exact"/>
              <w:rPr>
                <w:sz w:val="20"/>
                <w:szCs w:val="20"/>
                <w:color w:val="auto"/>
              </w:rPr>
            </w:pPr>
            <w:r>
              <w:rPr>
                <w:rFonts w:ascii="Arial" w:cs="Arial" w:eastAsia="Arial" w:hAnsi="Arial"/>
                <w:sz w:val="14"/>
                <w:szCs w:val="14"/>
                <w:color w:val="auto"/>
                <w:w w:val="98"/>
              </w:rPr>
              <w:t>connection with her appointment to Chief Financial</w:t>
            </w:r>
          </w:p>
        </w:tc>
        <w:tc>
          <w:tcPr>
            <w:tcW w:w="0" w:type="dxa"/>
            <w:vAlign w:val="bottom"/>
          </w:tcPr>
          <w:p>
            <w:pPr>
              <w:spacing w:after="0"/>
              <w:rPr>
                <w:sz w:val="1"/>
                <w:szCs w:val="1"/>
                <w:color w:val="auto"/>
              </w:rPr>
            </w:pPr>
          </w:p>
        </w:tc>
      </w:tr>
      <w:tr>
        <w:trPr>
          <w:trHeight w:val="166"/>
        </w:trPr>
        <w:tc>
          <w:tcPr>
            <w:tcW w:w="1620" w:type="dxa"/>
            <w:vAlign w:val="bottom"/>
            <w:tcBorders>
              <w:left w:val="single" w:sz="8" w:color="E2EDED"/>
              <w:right w:val="single" w:sz="8" w:color="E2EDED"/>
            </w:tcBorders>
          </w:tcPr>
          <w:p>
            <w:pPr>
              <w:spacing w:after="0"/>
              <w:rPr>
                <w:sz w:val="14"/>
                <w:szCs w:val="14"/>
                <w:color w:val="auto"/>
              </w:rPr>
            </w:pPr>
          </w:p>
        </w:tc>
        <w:tc>
          <w:tcPr>
            <w:tcW w:w="840" w:type="dxa"/>
            <w:vAlign w:val="bottom"/>
            <w:tcBorders>
              <w:right w:val="single" w:sz="8" w:color="E2EDED"/>
            </w:tcBorders>
          </w:tcPr>
          <w:p>
            <w:pPr>
              <w:spacing w:after="0"/>
              <w:rPr>
                <w:sz w:val="14"/>
                <w:szCs w:val="14"/>
                <w:color w:val="auto"/>
              </w:rPr>
            </w:pPr>
          </w:p>
        </w:tc>
        <w:tc>
          <w:tcPr>
            <w:tcW w:w="3340" w:type="dxa"/>
            <w:vAlign w:val="bottom"/>
            <w:tcBorders>
              <w:right w:val="single" w:sz="8" w:color="E2EDED"/>
            </w:tcBorders>
          </w:tcPr>
          <w:p>
            <w:pPr>
              <w:spacing w:after="0"/>
              <w:rPr>
                <w:sz w:val="14"/>
                <w:szCs w:val="14"/>
                <w:color w:val="auto"/>
              </w:rPr>
            </w:pPr>
          </w:p>
        </w:tc>
        <w:tc>
          <w:tcPr>
            <w:tcW w:w="3240" w:type="dxa"/>
            <w:vAlign w:val="bottom"/>
          </w:tcPr>
          <w:p>
            <w:pPr>
              <w:ind w:left="120"/>
              <w:spacing w:after="0"/>
              <w:rPr>
                <w:sz w:val="20"/>
                <w:szCs w:val="20"/>
                <w:color w:val="auto"/>
              </w:rPr>
            </w:pPr>
            <w:r>
              <w:rPr>
                <w:rFonts w:ascii="Arial" w:cs="Arial" w:eastAsia="Arial" w:hAnsi="Arial"/>
                <w:sz w:val="14"/>
                <w:szCs w:val="14"/>
                <w:color w:val="auto"/>
              </w:rPr>
              <w:t>Officer effective April 18, 2022</w:t>
            </w:r>
          </w:p>
        </w:tc>
        <w:tc>
          <w:tcPr>
            <w:tcW w:w="0" w:type="dxa"/>
            <w:vAlign w:val="bottom"/>
          </w:tcPr>
          <w:p>
            <w:pPr>
              <w:spacing w:after="0"/>
              <w:rPr>
                <w:sz w:val="1"/>
                <w:szCs w:val="1"/>
                <w:color w:val="auto"/>
              </w:rPr>
            </w:pPr>
          </w:p>
        </w:tc>
      </w:tr>
      <w:tr>
        <w:trPr>
          <w:trHeight w:val="103"/>
        </w:trPr>
        <w:tc>
          <w:tcPr>
            <w:tcW w:w="1620" w:type="dxa"/>
            <w:vAlign w:val="bottom"/>
            <w:tcBorders>
              <w:left w:val="single" w:sz="8" w:color="E2EDED"/>
              <w:right w:val="single" w:sz="8" w:color="E2EDED"/>
            </w:tcBorders>
          </w:tcPr>
          <w:p>
            <w:pPr>
              <w:spacing w:after="0"/>
              <w:rPr>
                <w:sz w:val="8"/>
                <w:szCs w:val="8"/>
                <w:color w:val="auto"/>
              </w:rPr>
            </w:pPr>
          </w:p>
        </w:tc>
        <w:tc>
          <w:tcPr>
            <w:tcW w:w="840" w:type="dxa"/>
            <w:vAlign w:val="bottom"/>
            <w:tcBorders>
              <w:right w:val="single" w:sz="8" w:color="E2EDED"/>
            </w:tcBorders>
          </w:tcPr>
          <w:p>
            <w:pPr>
              <w:spacing w:after="0"/>
              <w:rPr>
                <w:sz w:val="8"/>
                <w:szCs w:val="8"/>
                <w:color w:val="auto"/>
              </w:rPr>
            </w:pPr>
          </w:p>
        </w:tc>
        <w:tc>
          <w:tcPr>
            <w:tcW w:w="3340" w:type="dxa"/>
            <w:vAlign w:val="bottom"/>
            <w:tcBorders>
              <w:right w:val="single" w:sz="8" w:color="E2EDED"/>
            </w:tcBorders>
          </w:tcPr>
          <w:p>
            <w:pPr>
              <w:spacing w:after="0"/>
              <w:rPr>
                <w:sz w:val="8"/>
                <w:szCs w:val="8"/>
                <w:color w:val="auto"/>
              </w:rPr>
            </w:pPr>
          </w:p>
        </w:tc>
        <w:tc>
          <w:tcPr>
            <w:tcW w:w="3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ectPr>
          <w:pgSz w:w="11900" w:h="16838" w:orient="portrait"/>
          <w:cols w:equalWidth="0" w:num="2">
            <w:col w:w="1720" w:space="180"/>
            <w:col w:w="9040"/>
          </w:cols>
          <w:pgMar w:left="320" w:top="473" w:right="639" w:bottom="1440" w:gutter="0" w:footer="0" w:header="0"/>
          <w:type w:val="continuous"/>
        </w:sectPr>
      </w:pPr>
    </w:p>
    <w:p>
      <w:pPr>
        <w:ind w:left="320"/>
        <w:spacing w:after="0"/>
        <w:rPr>
          <w:sz w:val="20"/>
          <w:szCs w:val="20"/>
          <w:color w:val="auto"/>
        </w:rPr>
      </w:pPr>
      <w:r>
        <w:rPr>
          <w:rFonts w:ascii="Arial" w:cs="Arial" w:eastAsia="Arial" w:hAnsi="Arial"/>
          <w:sz w:val="14"/>
          <w:szCs w:val="14"/>
          <w:b w:val="1"/>
          <w:bCs w:val="1"/>
          <w:color w:val="6A1834"/>
        </w:rPr>
        <w:t>HOW OUR EXECUTIVE COMPENSATION PHILOSOPHY DRIVES CEO PAY DESIGN</w:t>
      </w:r>
    </w:p>
    <w:p>
      <w:pPr>
        <w:spacing w:after="0" w:line="241" w:lineRule="exact"/>
        <w:rPr>
          <w:sz w:val="20"/>
          <w:szCs w:val="20"/>
          <w:color w:val="auto"/>
        </w:rPr>
      </w:pPr>
    </w:p>
    <w:tbl>
      <w:tblPr>
        <w:tblLayout w:type="fixed"/>
        <w:tblInd w:w="32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5380" w:type="dxa"/>
            <w:vAlign w:val="bottom"/>
            <w:tcBorders>
              <w:right w:val="single" w:sz="8" w:color="A8BCBF"/>
            </w:tcBorders>
          </w:tcPr>
          <w:p>
            <w:pPr>
              <w:spacing w:after="0"/>
              <w:rPr>
                <w:sz w:val="14"/>
                <w:szCs w:val="14"/>
                <w:color w:val="auto"/>
              </w:rPr>
            </w:pPr>
          </w:p>
        </w:tc>
        <w:tc>
          <w:tcPr>
            <w:tcW w:w="1040" w:type="dxa"/>
            <w:vAlign w:val="bottom"/>
            <w:tcBorders>
              <w:right w:val="single" w:sz="8" w:color="A8BCBF"/>
            </w:tcBorders>
            <w:vMerge w:val="restart"/>
          </w:tcPr>
          <w:p>
            <w:pPr>
              <w:jc w:val="center"/>
              <w:ind w:right="15"/>
              <w:spacing w:after="0"/>
              <w:rPr>
                <w:sz w:val="20"/>
                <w:szCs w:val="20"/>
                <w:color w:val="auto"/>
              </w:rPr>
            </w:pPr>
            <w:r>
              <w:rPr>
                <w:rFonts w:ascii="Arial" w:cs="Arial" w:eastAsia="Arial" w:hAnsi="Arial"/>
                <w:sz w:val="10"/>
                <w:szCs w:val="10"/>
                <w:b w:val="1"/>
                <w:bCs w:val="1"/>
                <w:color w:val="6A1834"/>
                <w:w w:val="89"/>
              </w:rPr>
              <w:t>PAY FOR</w:t>
            </w:r>
          </w:p>
        </w:tc>
        <w:tc>
          <w:tcPr>
            <w:tcW w:w="980" w:type="dxa"/>
            <w:vAlign w:val="bottom"/>
            <w:tcBorders>
              <w:right w:val="single" w:sz="8" w:color="A8BCBF"/>
            </w:tcBorders>
          </w:tcPr>
          <w:p>
            <w:pPr>
              <w:spacing w:after="0"/>
              <w:rPr>
                <w:sz w:val="14"/>
                <w:szCs w:val="14"/>
                <w:color w:val="auto"/>
              </w:rPr>
            </w:pPr>
          </w:p>
        </w:tc>
        <w:tc>
          <w:tcPr>
            <w:tcW w:w="1040" w:type="dxa"/>
            <w:vAlign w:val="bottom"/>
            <w:tcBorders>
              <w:right w:val="single" w:sz="8" w:color="A8BCBF"/>
            </w:tcBorders>
          </w:tcPr>
          <w:p>
            <w:pPr>
              <w:jc w:val="center"/>
              <w:ind w:right="19"/>
              <w:spacing w:after="0"/>
              <w:rPr>
                <w:sz w:val="20"/>
                <w:szCs w:val="20"/>
                <w:color w:val="auto"/>
              </w:rPr>
            </w:pPr>
            <w:r>
              <w:rPr>
                <w:rFonts w:ascii="Arial" w:cs="Arial" w:eastAsia="Arial" w:hAnsi="Arial"/>
                <w:sz w:val="10"/>
                <w:szCs w:val="10"/>
                <w:b w:val="1"/>
                <w:bCs w:val="1"/>
                <w:color w:val="6A1834"/>
                <w:w w:val="98"/>
              </w:rPr>
              <w:t>FOCUS ON</w:t>
            </w:r>
          </w:p>
        </w:tc>
        <w:tc>
          <w:tcPr>
            <w:tcW w:w="920" w:type="dxa"/>
            <w:vAlign w:val="bottom"/>
            <w:tcBorders>
              <w:right w:val="single" w:sz="8" w:color="A8BCBF"/>
            </w:tcBorders>
          </w:tcPr>
          <w:p>
            <w:pPr>
              <w:spacing w:after="0"/>
              <w:rPr>
                <w:sz w:val="14"/>
                <w:szCs w:val="14"/>
                <w:color w:val="auto"/>
              </w:rPr>
            </w:pPr>
          </w:p>
        </w:tc>
        <w:tc>
          <w:tcPr>
            <w:tcW w:w="960" w:type="dxa"/>
            <w:vAlign w:val="bottom"/>
            <w:vMerge w:val="restart"/>
          </w:tcPr>
          <w:p>
            <w:pPr>
              <w:jc w:val="center"/>
              <w:ind w:right="35"/>
              <w:spacing w:after="0"/>
              <w:rPr>
                <w:sz w:val="20"/>
                <w:szCs w:val="20"/>
                <w:color w:val="auto"/>
              </w:rPr>
            </w:pPr>
            <w:r>
              <w:rPr>
                <w:rFonts w:ascii="Arial" w:cs="Arial" w:eastAsia="Arial" w:hAnsi="Arial"/>
                <w:sz w:val="10"/>
                <w:szCs w:val="10"/>
                <w:b w:val="1"/>
                <w:bCs w:val="1"/>
                <w:color w:val="6A1834"/>
                <w:w w:val="92"/>
              </w:rPr>
              <w:t>ATTRACT AND</w:t>
            </w:r>
          </w:p>
        </w:tc>
        <w:tc>
          <w:tcPr>
            <w:tcW w:w="0" w:type="dxa"/>
            <w:vAlign w:val="bottom"/>
          </w:tcPr>
          <w:p>
            <w:pPr>
              <w:spacing w:after="0"/>
              <w:rPr>
                <w:sz w:val="1"/>
                <w:szCs w:val="1"/>
                <w:color w:val="auto"/>
              </w:rPr>
            </w:pPr>
          </w:p>
        </w:tc>
      </w:tr>
      <w:tr>
        <w:trPr>
          <w:trHeight w:val="52"/>
        </w:trPr>
        <w:tc>
          <w:tcPr>
            <w:tcW w:w="300" w:type="dxa"/>
            <w:vAlign w:val="bottom"/>
          </w:tcPr>
          <w:p>
            <w:pPr>
              <w:spacing w:after="0"/>
              <w:rPr>
                <w:sz w:val="4"/>
                <w:szCs w:val="4"/>
                <w:color w:val="auto"/>
              </w:rPr>
            </w:pPr>
          </w:p>
        </w:tc>
        <w:tc>
          <w:tcPr>
            <w:tcW w:w="5380" w:type="dxa"/>
            <w:vAlign w:val="bottom"/>
            <w:tcBorders>
              <w:right w:val="single" w:sz="8" w:color="A8BCBF"/>
            </w:tcBorders>
          </w:tcPr>
          <w:p>
            <w:pPr>
              <w:spacing w:after="0"/>
              <w:rPr>
                <w:sz w:val="4"/>
                <w:szCs w:val="4"/>
                <w:color w:val="auto"/>
              </w:rPr>
            </w:pPr>
          </w:p>
        </w:tc>
        <w:tc>
          <w:tcPr>
            <w:tcW w:w="1040" w:type="dxa"/>
            <w:vAlign w:val="bottom"/>
            <w:tcBorders>
              <w:right w:val="single" w:sz="8" w:color="A8BCBF"/>
            </w:tcBorders>
            <w:vMerge w:val="continue"/>
          </w:tcPr>
          <w:p>
            <w:pPr>
              <w:spacing w:after="0"/>
              <w:rPr>
                <w:sz w:val="4"/>
                <w:szCs w:val="4"/>
                <w:color w:val="auto"/>
              </w:rPr>
            </w:pPr>
          </w:p>
        </w:tc>
        <w:tc>
          <w:tcPr>
            <w:tcW w:w="980" w:type="dxa"/>
            <w:vAlign w:val="bottom"/>
            <w:tcBorders>
              <w:right w:val="single" w:sz="8" w:color="A8BCBF"/>
            </w:tcBorders>
            <w:vMerge w:val="restart"/>
          </w:tcPr>
          <w:p>
            <w:pPr>
              <w:jc w:val="center"/>
              <w:spacing w:after="0"/>
              <w:rPr>
                <w:sz w:val="20"/>
                <w:szCs w:val="20"/>
                <w:color w:val="auto"/>
              </w:rPr>
            </w:pPr>
            <w:r>
              <w:rPr>
                <w:rFonts w:ascii="Arial" w:cs="Arial" w:eastAsia="Arial" w:hAnsi="Arial"/>
                <w:sz w:val="10"/>
                <w:szCs w:val="10"/>
                <w:b w:val="1"/>
                <w:bCs w:val="1"/>
                <w:color w:val="6A1834"/>
                <w:w w:val="95"/>
              </w:rPr>
              <w:t>SHAREHOLDER</w:t>
            </w:r>
          </w:p>
        </w:tc>
        <w:tc>
          <w:tcPr>
            <w:tcW w:w="1040" w:type="dxa"/>
            <w:vAlign w:val="bottom"/>
            <w:tcBorders>
              <w:right w:val="single" w:sz="8" w:color="A8BCBF"/>
            </w:tcBorders>
            <w:vMerge w:val="restart"/>
          </w:tcPr>
          <w:p>
            <w:pPr>
              <w:jc w:val="center"/>
              <w:spacing w:after="0"/>
              <w:rPr>
                <w:sz w:val="20"/>
                <w:szCs w:val="20"/>
                <w:color w:val="auto"/>
              </w:rPr>
            </w:pPr>
            <w:r>
              <w:rPr>
                <w:rFonts w:ascii="Arial" w:cs="Arial" w:eastAsia="Arial" w:hAnsi="Arial"/>
                <w:sz w:val="10"/>
                <w:szCs w:val="10"/>
                <w:b w:val="1"/>
                <w:bCs w:val="1"/>
                <w:color w:val="6A1834"/>
                <w:w w:val="95"/>
              </w:rPr>
              <w:t>COMPENSATION</w:t>
            </w:r>
          </w:p>
        </w:tc>
        <w:tc>
          <w:tcPr>
            <w:tcW w:w="920" w:type="dxa"/>
            <w:vAlign w:val="bottom"/>
            <w:tcBorders>
              <w:right w:val="single" w:sz="8" w:color="A8BCBF"/>
            </w:tcBorders>
            <w:vMerge w:val="restart"/>
          </w:tcPr>
          <w:p>
            <w:pPr>
              <w:jc w:val="center"/>
              <w:ind w:right="31"/>
              <w:spacing w:after="0"/>
              <w:rPr>
                <w:sz w:val="20"/>
                <w:szCs w:val="20"/>
                <w:color w:val="auto"/>
              </w:rPr>
            </w:pPr>
            <w:r>
              <w:rPr>
                <w:rFonts w:ascii="Arial" w:cs="Arial" w:eastAsia="Arial" w:hAnsi="Arial"/>
                <w:sz w:val="10"/>
                <w:szCs w:val="10"/>
                <w:b w:val="1"/>
                <w:bCs w:val="1"/>
                <w:color w:val="6A1834"/>
                <w:w w:val="96"/>
              </w:rPr>
              <w:t>SIMPLICITY</w:t>
            </w: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00" w:type="dxa"/>
            <w:vAlign w:val="bottom"/>
          </w:tcPr>
          <w:p>
            <w:pPr>
              <w:spacing w:after="0"/>
              <w:rPr>
                <w:sz w:val="5"/>
                <w:szCs w:val="5"/>
                <w:color w:val="auto"/>
              </w:rPr>
            </w:pPr>
          </w:p>
        </w:tc>
        <w:tc>
          <w:tcPr>
            <w:tcW w:w="5380" w:type="dxa"/>
            <w:vAlign w:val="bottom"/>
            <w:tcBorders>
              <w:right w:val="single" w:sz="8" w:color="A8BCBF"/>
            </w:tcBorders>
          </w:tcPr>
          <w:p>
            <w:pPr>
              <w:spacing w:after="0"/>
              <w:rPr>
                <w:sz w:val="5"/>
                <w:szCs w:val="5"/>
                <w:color w:val="auto"/>
              </w:rPr>
            </w:pPr>
          </w:p>
        </w:tc>
        <w:tc>
          <w:tcPr>
            <w:tcW w:w="1040" w:type="dxa"/>
            <w:vAlign w:val="bottom"/>
            <w:tcBorders>
              <w:right w:val="single" w:sz="8" w:color="A8BCBF"/>
            </w:tcBorders>
            <w:vMerge w:val="restart"/>
          </w:tcPr>
          <w:p>
            <w:pPr>
              <w:jc w:val="center"/>
              <w:ind w:right="15"/>
              <w:spacing w:after="0"/>
              <w:rPr>
                <w:sz w:val="20"/>
                <w:szCs w:val="20"/>
                <w:color w:val="auto"/>
              </w:rPr>
            </w:pPr>
            <w:r>
              <w:rPr>
                <w:rFonts w:ascii="Arial" w:cs="Arial" w:eastAsia="Arial" w:hAnsi="Arial"/>
                <w:sz w:val="10"/>
                <w:szCs w:val="10"/>
                <w:b w:val="1"/>
                <w:bCs w:val="1"/>
                <w:color w:val="6A1834"/>
                <w:w w:val="95"/>
              </w:rPr>
              <w:t>SUSTAINABLE</w:t>
            </w:r>
          </w:p>
        </w:tc>
        <w:tc>
          <w:tcPr>
            <w:tcW w:w="980" w:type="dxa"/>
            <w:vAlign w:val="bottom"/>
            <w:tcBorders>
              <w:right w:val="single" w:sz="8" w:color="A8BCBF"/>
            </w:tcBorders>
            <w:vMerge w:val="continue"/>
          </w:tcPr>
          <w:p>
            <w:pPr>
              <w:spacing w:after="0"/>
              <w:rPr>
                <w:sz w:val="5"/>
                <w:szCs w:val="5"/>
                <w:color w:val="auto"/>
              </w:rPr>
            </w:pPr>
          </w:p>
        </w:tc>
        <w:tc>
          <w:tcPr>
            <w:tcW w:w="1040" w:type="dxa"/>
            <w:vAlign w:val="bottom"/>
            <w:tcBorders>
              <w:right w:val="single" w:sz="8" w:color="A8BCBF"/>
            </w:tcBorders>
            <w:vMerge w:val="continue"/>
          </w:tcPr>
          <w:p>
            <w:pPr>
              <w:spacing w:after="0"/>
              <w:rPr>
                <w:sz w:val="5"/>
                <w:szCs w:val="5"/>
                <w:color w:val="auto"/>
              </w:rPr>
            </w:pPr>
          </w:p>
        </w:tc>
        <w:tc>
          <w:tcPr>
            <w:tcW w:w="920" w:type="dxa"/>
            <w:vAlign w:val="bottom"/>
            <w:tcBorders>
              <w:right w:val="single" w:sz="8" w:color="A8BCBF"/>
            </w:tcBorders>
            <w:vMerge w:val="continue"/>
          </w:tcPr>
          <w:p>
            <w:pPr>
              <w:spacing w:after="0"/>
              <w:rPr>
                <w:sz w:val="5"/>
                <w:szCs w:val="5"/>
                <w:color w:val="auto"/>
              </w:rPr>
            </w:pPr>
          </w:p>
        </w:tc>
        <w:tc>
          <w:tcPr>
            <w:tcW w:w="960" w:type="dxa"/>
            <w:vAlign w:val="bottom"/>
            <w:vMerge w:val="restart"/>
          </w:tcPr>
          <w:p>
            <w:pPr>
              <w:jc w:val="center"/>
              <w:ind w:right="15"/>
              <w:spacing w:after="0"/>
              <w:rPr>
                <w:sz w:val="20"/>
                <w:szCs w:val="20"/>
                <w:color w:val="auto"/>
              </w:rPr>
            </w:pPr>
            <w:r>
              <w:rPr>
                <w:rFonts w:ascii="Arial" w:cs="Arial" w:eastAsia="Arial" w:hAnsi="Arial"/>
                <w:sz w:val="10"/>
                <w:szCs w:val="10"/>
                <w:b w:val="1"/>
                <w:bCs w:val="1"/>
                <w:color w:val="6A1834"/>
                <w:w w:val="92"/>
              </w:rPr>
              <w:t>RETAIN TOP</w:t>
            </w:r>
          </w:p>
        </w:tc>
        <w:tc>
          <w:tcPr>
            <w:tcW w:w="0" w:type="dxa"/>
            <w:vAlign w:val="bottom"/>
          </w:tcPr>
          <w:p>
            <w:pPr>
              <w:spacing w:after="0"/>
              <w:rPr>
                <w:sz w:val="1"/>
                <w:szCs w:val="1"/>
                <w:color w:val="auto"/>
              </w:rPr>
            </w:pPr>
          </w:p>
        </w:tc>
      </w:tr>
      <w:tr>
        <w:trPr>
          <w:trHeight w:val="52"/>
        </w:trPr>
        <w:tc>
          <w:tcPr>
            <w:tcW w:w="300" w:type="dxa"/>
            <w:vAlign w:val="bottom"/>
          </w:tcPr>
          <w:p>
            <w:pPr>
              <w:spacing w:after="0"/>
              <w:rPr>
                <w:sz w:val="4"/>
                <w:szCs w:val="4"/>
                <w:color w:val="auto"/>
              </w:rPr>
            </w:pPr>
          </w:p>
        </w:tc>
        <w:tc>
          <w:tcPr>
            <w:tcW w:w="5380" w:type="dxa"/>
            <w:vAlign w:val="bottom"/>
            <w:tcBorders>
              <w:right w:val="single" w:sz="8" w:color="A8BCBF"/>
            </w:tcBorders>
          </w:tcPr>
          <w:p>
            <w:pPr>
              <w:spacing w:after="0"/>
              <w:rPr>
                <w:sz w:val="4"/>
                <w:szCs w:val="4"/>
                <w:color w:val="auto"/>
              </w:rPr>
            </w:pPr>
          </w:p>
        </w:tc>
        <w:tc>
          <w:tcPr>
            <w:tcW w:w="1040" w:type="dxa"/>
            <w:vAlign w:val="bottom"/>
            <w:tcBorders>
              <w:right w:val="single" w:sz="8" w:color="A8BCBF"/>
            </w:tcBorders>
            <w:vMerge w:val="continue"/>
          </w:tcPr>
          <w:p>
            <w:pPr>
              <w:spacing w:after="0"/>
              <w:rPr>
                <w:sz w:val="4"/>
                <w:szCs w:val="4"/>
                <w:color w:val="auto"/>
              </w:rPr>
            </w:pPr>
          </w:p>
        </w:tc>
        <w:tc>
          <w:tcPr>
            <w:tcW w:w="980" w:type="dxa"/>
            <w:vAlign w:val="bottom"/>
            <w:tcBorders>
              <w:right w:val="single" w:sz="8" w:color="A8BCBF"/>
            </w:tcBorders>
            <w:vMerge w:val="restart"/>
          </w:tcPr>
          <w:p>
            <w:pPr>
              <w:jc w:val="center"/>
              <w:spacing w:after="0"/>
              <w:rPr>
                <w:sz w:val="20"/>
                <w:szCs w:val="20"/>
                <w:color w:val="auto"/>
              </w:rPr>
            </w:pPr>
            <w:r>
              <w:rPr>
                <w:rFonts w:ascii="Arial" w:cs="Arial" w:eastAsia="Arial" w:hAnsi="Arial"/>
                <w:sz w:val="10"/>
                <w:szCs w:val="10"/>
                <w:b w:val="1"/>
                <w:bCs w:val="1"/>
                <w:color w:val="6A1834"/>
                <w:w w:val="94"/>
              </w:rPr>
              <w:t>ALIGNMENT</w:t>
            </w:r>
          </w:p>
        </w:tc>
        <w:tc>
          <w:tcPr>
            <w:tcW w:w="1040" w:type="dxa"/>
            <w:vAlign w:val="bottom"/>
            <w:tcBorders>
              <w:right w:val="single" w:sz="8" w:color="A8BCBF"/>
            </w:tcBorders>
            <w:vMerge w:val="restart"/>
          </w:tcPr>
          <w:p>
            <w:pPr>
              <w:ind w:left="200"/>
              <w:spacing w:after="0"/>
              <w:rPr>
                <w:sz w:val="20"/>
                <w:szCs w:val="20"/>
                <w:color w:val="auto"/>
              </w:rPr>
            </w:pPr>
            <w:r>
              <w:rPr>
                <w:rFonts w:ascii="Arial" w:cs="Arial" w:eastAsia="Arial" w:hAnsi="Arial"/>
                <w:sz w:val="10"/>
                <w:szCs w:val="10"/>
                <w:b w:val="1"/>
                <w:bCs w:val="1"/>
                <w:color w:val="6A1834"/>
              </w:rPr>
              <w:t>TOTALS AND</w:t>
            </w:r>
          </w:p>
        </w:tc>
        <w:tc>
          <w:tcPr>
            <w:tcW w:w="920" w:type="dxa"/>
            <w:vAlign w:val="bottom"/>
            <w:tcBorders>
              <w:right w:val="single" w:sz="8" w:color="A8BCBF"/>
            </w:tcBorders>
            <w:vMerge w:val="restart"/>
          </w:tcPr>
          <w:p>
            <w:pPr>
              <w:jc w:val="center"/>
              <w:ind w:right="11"/>
              <w:spacing w:after="0"/>
              <w:rPr>
                <w:sz w:val="20"/>
                <w:szCs w:val="20"/>
                <w:color w:val="auto"/>
              </w:rPr>
            </w:pPr>
            <w:r>
              <w:rPr>
                <w:rFonts w:ascii="Arial" w:cs="Arial" w:eastAsia="Arial" w:hAnsi="Arial"/>
                <w:sz w:val="10"/>
                <w:szCs w:val="10"/>
                <w:b w:val="1"/>
                <w:bCs w:val="1"/>
                <w:color w:val="6A1834"/>
                <w:w w:val="94"/>
              </w:rPr>
              <w:t>AND CLARITY</w:t>
            </w: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00" w:type="dxa"/>
            <w:vAlign w:val="bottom"/>
          </w:tcPr>
          <w:p>
            <w:pPr>
              <w:spacing w:after="0"/>
              <w:rPr>
                <w:sz w:val="5"/>
                <w:szCs w:val="5"/>
                <w:color w:val="auto"/>
              </w:rPr>
            </w:pPr>
          </w:p>
        </w:tc>
        <w:tc>
          <w:tcPr>
            <w:tcW w:w="5380" w:type="dxa"/>
            <w:vAlign w:val="bottom"/>
            <w:tcBorders>
              <w:right w:val="single" w:sz="8" w:color="A8BCBF"/>
            </w:tcBorders>
          </w:tcPr>
          <w:p>
            <w:pPr>
              <w:spacing w:after="0"/>
              <w:rPr>
                <w:sz w:val="5"/>
                <w:szCs w:val="5"/>
                <w:color w:val="auto"/>
              </w:rPr>
            </w:pPr>
          </w:p>
        </w:tc>
        <w:tc>
          <w:tcPr>
            <w:tcW w:w="1040" w:type="dxa"/>
            <w:vAlign w:val="bottom"/>
            <w:tcBorders>
              <w:right w:val="single" w:sz="8" w:color="A8BCBF"/>
            </w:tcBorders>
            <w:vMerge w:val="restart"/>
          </w:tcPr>
          <w:p>
            <w:pPr>
              <w:jc w:val="center"/>
              <w:ind w:right="15"/>
              <w:spacing w:after="0"/>
              <w:rPr>
                <w:sz w:val="20"/>
                <w:szCs w:val="20"/>
                <w:color w:val="auto"/>
              </w:rPr>
            </w:pPr>
            <w:r>
              <w:rPr>
                <w:rFonts w:ascii="Arial" w:cs="Arial" w:eastAsia="Arial" w:hAnsi="Arial"/>
                <w:sz w:val="10"/>
                <w:szCs w:val="10"/>
                <w:b w:val="1"/>
                <w:bCs w:val="1"/>
                <w:color w:val="6A1834"/>
                <w:w w:val="96"/>
              </w:rPr>
              <w:t>PERFORMANCE</w:t>
            </w:r>
          </w:p>
        </w:tc>
        <w:tc>
          <w:tcPr>
            <w:tcW w:w="980" w:type="dxa"/>
            <w:vAlign w:val="bottom"/>
            <w:tcBorders>
              <w:right w:val="single" w:sz="8" w:color="A8BCBF"/>
            </w:tcBorders>
            <w:vMerge w:val="continue"/>
          </w:tcPr>
          <w:p>
            <w:pPr>
              <w:spacing w:after="0"/>
              <w:rPr>
                <w:sz w:val="5"/>
                <w:szCs w:val="5"/>
                <w:color w:val="auto"/>
              </w:rPr>
            </w:pPr>
          </w:p>
        </w:tc>
        <w:tc>
          <w:tcPr>
            <w:tcW w:w="1040" w:type="dxa"/>
            <w:vAlign w:val="bottom"/>
            <w:tcBorders>
              <w:right w:val="single" w:sz="8" w:color="A8BCBF"/>
            </w:tcBorders>
            <w:vMerge w:val="continue"/>
          </w:tcPr>
          <w:p>
            <w:pPr>
              <w:spacing w:after="0"/>
              <w:rPr>
                <w:sz w:val="5"/>
                <w:szCs w:val="5"/>
                <w:color w:val="auto"/>
              </w:rPr>
            </w:pPr>
          </w:p>
        </w:tc>
        <w:tc>
          <w:tcPr>
            <w:tcW w:w="920" w:type="dxa"/>
            <w:vAlign w:val="bottom"/>
            <w:tcBorders>
              <w:right w:val="single" w:sz="8" w:color="A8BCBF"/>
            </w:tcBorders>
            <w:vMerge w:val="continue"/>
          </w:tcPr>
          <w:p>
            <w:pPr>
              <w:spacing w:after="0"/>
              <w:rPr>
                <w:sz w:val="5"/>
                <w:szCs w:val="5"/>
                <w:color w:val="auto"/>
              </w:rPr>
            </w:pPr>
          </w:p>
        </w:tc>
        <w:tc>
          <w:tcPr>
            <w:tcW w:w="960" w:type="dxa"/>
            <w:vAlign w:val="bottom"/>
            <w:vMerge w:val="restart"/>
          </w:tcPr>
          <w:p>
            <w:pPr>
              <w:jc w:val="center"/>
              <w:ind w:right="55"/>
              <w:spacing w:after="0"/>
              <w:rPr>
                <w:sz w:val="20"/>
                <w:szCs w:val="20"/>
                <w:color w:val="auto"/>
              </w:rPr>
            </w:pPr>
            <w:r>
              <w:rPr>
                <w:rFonts w:ascii="Arial" w:cs="Arial" w:eastAsia="Arial" w:hAnsi="Arial"/>
                <w:sz w:val="10"/>
                <w:szCs w:val="10"/>
                <w:b w:val="1"/>
                <w:bCs w:val="1"/>
                <w:color w:val="6A1834"/>
                <w:w w:val="91"/>
              </w:rPr>
              <w:t>TALENT</w:t>
            </w: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5380" w:type="dxa"/>
            <w:vAlign w:val="bottom"/>
            <w:tcBorders>
              <w:right w:val="single" w:sz="8" w:color="A8BCBF"/>
            </w:tcBorders>
          </w:tcPr>
          <w:p>
            <w:pPr>
              <w:spacing w:after="0"/>
              <w:rPr>
                <w:sz w:val="5"/>
                <w:szCs w:val="5"/>
                <w:color w:val="auto"/>
              </w:rPr>
            </w:pPr>
          </w:p>
        </w:tc>
        <w:tc>
          <w:tcPr>
            <w:tcW w:w="1040" w:type="dxa"/>
            <w:vAlign w:val="bottom"/>
            <w:tcBorders>
              <w:right w:val="single" w:sz="8" w:color="A8BCBF"/>
            </w:tcBorders>
            <w:vMerge w:val="continue"/>
          </w:tcPr>
          <w:p>
            <w:pPr>
              <w:spacing w:after="0"/>
              <w:rPr>
                <w:sz w:val="5"/>
                <w:szCs w:val="5"/>
                <w:color w:val="auto"/>
              </w:rPr>
            </w:pPr>
          </w:p>
        </w:tc>
        <w:tc>
          <w:tcPr>
            <w:tcW w:w="980" w:type="dxa"/>
            <w:vAlign w:val="bottom"/>
            <w:tcBorders>
              <w:right w:val="single" w:sz="8" w:color="A8BCBF"/>
            </w:tcBorders>
          </w:tcPr>
          <w:p>
            <w:pPr>
              <w:spacing w:after="0"/>
              <w:rPr>
                <w:sz w:val="5"/>
                <w:szCs w:val="5"/>
                <w:color w:val="auto"/>
              </w:rPr>
            </w:pPr>
          </w:p>
        </w:tc>
        <w:tc>
          <w:tcPr>
            <w:tcW w:w="1040" w:type="dxa"/>
            <w:vAlign w:val="bottom"/>
            <w:tcBorders>
              <w:right w:val="single" w:sz="8" w:color="A8BCBF"/>
            </w:tcBorders>
            <w:vMerge w:val="restart"/>
          </w:tcPr>
          <w:p>
            <w:pPr>
              <w:jc w:val="center"/>
              <w:ind w:right="19"/>
              <w:spacing w:after="0"/>
              <w:rPr>
                <w:sz w:val="20"/>
                <w:szCs w:val="20"/>
                <w:color w:val="auto"/>
              </w:rPr>
            </w:pPr>
            <w:r>
              <w:rPr>
                <w:rFonts w:ascii="Arial" w:cs="Arial" w:eastAsia="Arial" w:hAnsi="Arial"/>
                <w:sz w:val="10"/>
                <w:szCs w:val="10"/>
                <w:b w:val="1"/>
                <w:bCs w:val="1"/>
                <w:color w:val="6A1834"/>
                <w:w w:val="98"/>
              </w:rPr>
              <w:t>PARITY</w:t>
            </w:r>
          </w:p>
        </w:tc>
        <w:tc>
          <w:tcPr>
            <w:tcW w:w="920" w:type="dxa"/>
            <w:vAlign w:val="bottom"/>
            <w:tcBorders>
              <w:right w:val="single" w:sz="8" w:color="A8BCBF"/>
            </w:tcBorders>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5380" w:type="dxa"/>
            <w:vAlign w:val="bottom"/>
            <w:tcBorders>
              <w:right w:val="single" w:sz="8" w:color="A8BCBF"/>
            </w:tcBorders>
          </w:tcPr>
          <w:p>
            <w:pPr>
              <w:spacing w:after="0"/>
              <w:rPr>
                <w:sz w:val="10"/>
                <w:szCs w:val="10"/>
                <w:color w:val="auto"/>
              </w:rPr>
            </w:pPr>
          </w:p>
        </w:tc>
        <w:tc>
          <w:tcPr>
            <w:tcW w:w="1040" w:type="dxa"/>
            <w:vAlign w:val="bottom"/>
            <w:tcBorders>
              <w:right w:val="single" w:sz="8" w:color="A8BCBF"/>
            </w:tcBorders>
          </w:tcPr>
          <w:p>
            <w:pPr>
              <w:spacing w:after="0"/>
              <w:rPr>
                <w:sz w:val="10"/>
                <w:szCs w:val="10"/>
                <w:color w:val="auto"/>
              </w:rPr>
            </w:pPr>
          </w:p>
        </w:tc>
        <w:tc>
          <w:tcPr>
            <w:tcW w:w="980" w:type="dxa"/>
            <w:vAlign w:val="bottom"/>
            <w:tcBorders>
              <w:right w:val="single" w:sz="8" w:color="A8BCBF"/>
            </w:tcBorders>
          </w:tcPr>
          <w:p>
            <w:pPr>
              <w:spacing w:after="0"/>
              <w:rPr>
                <w:sz w:val="10"/>
                <w:szCs w:val="10"/>
                <w:color w:val="auto"/>
              </w:rPr>
            </w:pPr>
          </w:p>
        </w:tc>
        <w:tc>
          <w:tcPr>
            <w:tcW w:w="1040" w:type="dxa"/>
            <w:vAlign w:val="bottom"/>
            <w:tcBorders>
              <w:right w:val="single" w:sz="8" w:color="A8BCBF"/>
            </w:tcBorders>
            <w:vMerge w:val="continue"/>
          </w:tcPr>
          <w:p>
            <w:pPr>
              <w:spacing w:after="0"/>
              <w:rPr>
                <w:sz w:val="10"/>
                <w:szCs w:val="10"/>
                <w:color w:val="auto"/>
              </w:rPr>
            </w:pPr>
          </w:p>
        </w:tc>
        <w:tc>
          <w:tcPr>
            <w:tcW w:w="920" w:type="dxa"/>
            <w:vAlign w:val="bottom"/>
            <w:tcBorders>
              <w:right w:val="single" w:sz="8" w:color="A8BCBF"/>
            </w:tcBorders>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300" w:type="dxa"/>
            <w:vAlign w:val="bottom"/>
            <w:tcBorders>
              <w:bottom w:val="single" w:sz="8" w:color="E1D0D6"/>
            </w:tcBorders>
            <w:shd w:val="clear" w:color="auto" w:fill="E1D0D6"/>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5380" w:type="dxa"/>
            <w:vAlign w:val="bottom"/>
            <w:tcBorders>
              <w:bottom w:val="single" w:sz="8" w:color="E1D0D6"/>
              <w:right w:val="single" w:sz="8" w:color="A8BCBF"/>
            </w:tcBorders>
            <w:shd w:val="clear" w:color="auto" w:fill="E1D0D6"/>
          </w:tcPr>
          <w:p>
            <w:pPr>
              <w:ind w:left="80"/>
              <w:spacing w:after="0"/>
              <w:rPr>
                <w:sz w:val="20"/>
                <w:szCs w:val="20"/>
                <w:color w:val="auto"/>
              </w:rPr>
            </w:pPr>
            <w:r>
              <w:rPr>
                <w:rFonts w:ascii="Arial" w:cs="Arial" w:eastAsia="Arial" w:hAnsi="Arial"/>
                <w:sz w:val="16"/>
                <w:szCs w:val="16"/>
                <w:color w:val="auto"/>
              </w:rPr>
              <w:t>Benchmarking CEO at Median of Peer Group</w:t>
            </w:r>
          </w:p>
        </w:tc>
        <w:tc>
          <w:tcPr>
            <w:tcW w:w="1040" w:type="dxa"/>
            <w:vAlign w:val="bottom"/>
            <w:tcBorders>
              <w:bottom w:val="single" w:sz="8" w:color="E1D0D6"/>
              <w:right w:val="single" w:sz="8" w:color="A8BCBF"/>
            </w:tcBorders>
            <w:shd w:val="clear" w:color="auto" w:fill="E1D0D6"/>
          </w:tcPr>
          <w:p>
            <w:pPr>
              <w:spacing w:after="0"/>
              <w:rPr>
                <w:sz w:val="24"/>
                <w:szCs w:val="24"/>
                <w:color w:val="auto"/>
              </w:rPr>
            </w:pPr>
          </w:p>
        </w:tc>
        <w:tc>
          <w:tcPr>
            <w:tcW w:w="980" w:type="dxa"/>
            <w:vAlign w:val="bottom"/>
            <w:tcBorders>
              <w:bottom w:val="single" w:sz="8" w:color="E1D0D6"/>
              <w:right w:val="single" w:sz="8" w:color="9E9E9E"/>
            </w:tcBorders>
            <w:shd w:val="clear" w:color="auto" w:fill="E1D0D6"/>
          </w:tcPr>
          <w:p>
            <w:pPr>
              <w:jc w:val="center"/>
              <w:ind w:right="1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1D0D6"/>
              <w:right w:val="single" w:sz="8" w:color="9E9E9E"/>
            </w:tcBorders>
            <w:shd w:val="clear" w:color="auto" w:fill="E1D0D6"/>
          </w:tcPr>
          <w:p>
            <w:pPr>
              <w:jc w:val="cente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1D0D6"/>
              <w:right w:val="single" w:sz="8" w:color="9E9E9E"/>
            </w:tcBorders>
            <w:shd w:val="clear" w:color="auto" w:fill="E1D0D6"/>
          </w:tcPr>
          <w:p>
            <w:pPr>
              <w:spacing w:after="0"/>
              <w:rPr>
                <w:sz w:val="24"/>
                <w:szCs w:val="24"/>
                <w:color w:val="auto"/>
              </w:rPr>
            </w:pPr>
          </w:p>
        </w:tc>
        <w:tc>
          <w:tcPr>
            <w:tcW w:w="960" w:type="dxa"/>
            <w:vAlign w:val="bottom"/>
            <w:tcBorders>
              <w:bottom w:val="single" w:sz="8" w:color="E1D0D6"/>
            </w:tcBorders>
            <w:shd w:val="clear" w:color="auto" w:fill="E1D0D6"/>
          </w:tcPr>
          <w:p>
            <w:pPr>
              <w:jc w:val="center"/>
              <w:ind w:right="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2"/>
        </w:trPr>
        <w:tc>
          <w:tcPr>
            <w:tcW w:w="5680" w:type="dxa"/>
            <w:vAlign w:val="bottom"/>
            <w:tcBorders>
              <w:right w:val="single" w:sz="8" w:color="A8BCBF"/>
            </w:tcBorders>
            <w:gridSpan w:val="2"/>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86% of total direct NEO compensation is at-risk (2)</w:t>
            </w:r>
          </w:p>
        </w:tc>
        <w:tc>
          <w:tcPr>
            <w:tcW w:w="1040" w:type="dxa"/>
            <w:vAlign w:val="bottom"/>
            <w:tcBorders>
              <w:right w:val="single" w:sz="8" w:color="A8BCBF"/>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9E9E9E"/>
            </w:tcBorders>
          </w:tcPr>
          <w:p>
            <w:pPr>
              <w:jc w:val="center"/>
              <w:ind w:right="10"/>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9E9E9E"/>
            </w:tcBorders>
          </w:tcPr>
          <w:p>
            <w:pPr>
              <w:spacing w:after="0"/>
              <w:rPr>
                <w:sz w:val="23"/>
                <w:szCs w:val="23"/>
                <w:color w:val="auto"/>
              </w:rPr>
            </w:pPr>
          </w:p>
        </w:tc>
        <w:tc>
          <w:tcPr>
            <w:tcW w:w="920" w:type="dxa"/>
            <w:vAlign w:val="bottom"/>
            <w:tcBorders>
              <w:right w:val="single" w:sz="8" w:color="9E9E9E"/>
            </w:tcBorders>
          </w:tcPr>
          <w:p>
            <w:pPr>
              <w:jc w:val="center"/>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5680" w:type="dxa"/>
            <w:vAlign w:val="bottom"/>
            <w:tcBorders>
              <w:right w:val="single" w:sz="8" w:color="A8BCBF"/>
            </w:tcBorders>
            <w:gridSpan w:val="2"/>
          </w:tcPr>
          <w:p>
            <w:pPr>
              <w:spacing w:after="0"/>
              <w:rPr>
                <w:sz w:val="4"/>
                <w:szCs w:val="4"/>
                <w:color w:val="auto"/>
              </w:rPr>
            </w:pPr>
          </w:p>
        </w:tc>
        <w:tc>
          <w:tcPr>
            <w:tcW w:w="1040" w:type="dxa"/>
            <w:vAlign w:val="bottom"/>
            <w:tcBorders>
              <w:right w:val="single" w:sz="8" w:color="A8BCBF"/>
            </w:tcBorders>
          </w:tcPr>
          <w:p>
            <w:pPr>
              <w:spacing w:after="0"/>
              <w:rPr>
                <w:sz w:val="4"/>
                <w:szCs w:val="4"/>
                <w:color w:val="auto"/>
              </w:rPr>
            </w:pPr>
          </w:p>
        </w:tc>
        <w:tc>
          <w:tcPr>
            <w:tcW w:w="980" w:type="dxa"/>
            <w:vAlign w:val="bottom"/>
            <w:tcBorders>
              <w:right w:val="single" w:sz="8" w:color="9E9E9E"/>
            </w:tcBorders>
          </w:tcPr>
          <w:p>
            <w:pPr>
              <w:spacing w:after="0"/>
              <w:rPr>
                <w:sz w:val="4"/>
                <w:szCs w:val="4"/>
                <w:color w:val="auto"/>
              </w:rPr>
            </w:pPr>
          </w:p>
        </w:tc>
        <w:tc>
          <w:tcPr>
            <w:tcW w:w="1040" w:type="dxa"/>
            <w:vAlign w:val="bottom"/>
            <w:tcBorders>
              <w:right w:val="single" w:sz="8" w:color="9E9E9E"/>
            </w:tcBorders>
          </w:tcPr>
          <w:p>
            <w:pPr>
              <w:spacing w:after="0"/>
              <w:rPr>
                <w:sz w:val="4"/>
                <w:szCs w:val="4"/>
                <w:color w:val="auto"/>
              </w:rPr>
            </w:pPr>
          </w:p>
        </w:tc>
        <w:tc>
          <w:tcPr>
            <w:tcW w:w="920" w:type="dxa"/>
            <w:vAlign w:val="bottom"/>
            <w:tcBorders>
              <w:right w:val="single" w:sz="8" w:color="9E9E9E"/>
            </w:tcBorders>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300" w:type="dxa"/>
            <w:vAlign w:val="bottom"/>
            <w:tcBorders>
              <w:bottom w:val="single" w:sz="8" w:color="E1D0D6"/>
            </w:tcBorders>
            <w:shd w:val="clear" w:color="auto" w:fill="E1D0D6"/>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5380" w:type="dxa"/>
            <w:vAlign w:val="bottom"/>
            <w:tcBorders>
              <w:bottom w:val="single" w:sz="8" w:color="E1D0D6"/>
              <w:right w:val="single" w:sz="8" w:color="A8BCBF"/>
            </w:tcBorders>
            <w:shd w:val="clear" w:color="auto" w:fill="E1D0D6"/>
          </w:tcPr>
          <w:p>
            <w:pPr>
              <w:ind w:left="80"/>
              <w:spacing w:after="0"/>
              <w:rPr>
                <w:sz w:val="20"/>
                <w:szCs w:val="20"/>
                <w:color w:val="auto"/>
              </w:rPr>
            </w:pPr>
            <w:r>
              <w:rPr>
                <w:rFonts w:ascii="Arial" w:cs="Arial" w:eastAsia="Arial" w:hAnsi="Arial"/>
                <w:sz w:val="16"/>
                <w:szCs w:val="16"/>
                <w:color w:val="auto"/>
              </w:rPr>
              <w:t>Annual incentives are 100% performance based</w:t>
            </w:r>
          </w:p>
        </w:tc>
        <w:tc>
          <w:tcPr>
            <w:tcW w:w="1040" w:type="dxa"/>
            <w:vAlign w:val="bottom"/>
            <w:tcBorders>
              <w:bottom w:val="single" w:sz="8" w:color="E1D0D6"/>
              <w:right w:val="single" w:sz="8" w:color="A8BCBF"/>
            </w:tcBorders>
            <w:shd w:val="clear" w:color="auto" w:fill="E1D0D6"/>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1D0D6"/>
              <w:right w:val="single" w:sz="8" w:color="9E9E9E"/>
            </w:tcBorders>
            <w:shd w:val="clear" w:color="auto" w:fill="E1D0D6"/>
          </w:tcPr>
          <w:p>
            <w:pPr>
              <w:jc w:val="center"/>
              <w:ind w:right="1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1D0D6"/>
              <w:right w:val="single" w:sz="8" w:color="9E9E9E"/>
            </w:tcBorders>
            <w:shd w:val="clear" w:color="auto" w:fill="E1D0D6"/>
          </w:tcPr>
          <w:p>
            <w:pPr>
              <w:jc w:val="cente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1D0D6"/>
              <w:right w:val="single" w:sz="8" w:color="9E9E9E"/>
            </w:tcBorders>
            <w:shd w:val="clear" w:color="auto" w:fill="E1D0D6"/>
          </w:tcPr>
          <w:p>
            <w:pPr>
              <w:jc w:val="cente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1D0D6"/>
            </w:tcBorders>
            <w:shd w:val="clear" w:color="auto" w:fill="E1D0D6"/>
          </w:tcPr>
          <w:p>
            <w:pPr>
              <w:jc w:val="center"/>
              <w:ind w:right="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2"/>
        </w:trPr>
        <w:tc>
          <w:tcPr>
            <w:tcW w:w="5680" w:type="dxa"/>
            <w:vAlign w:val="bottom"/>
            <w:tcBorders>
              <w:right w:val="single" w:sz="8" w:color="A8BCBF"/>
            </w:tcBorders>
            <w:gridSpan w:val="2"/>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Performance-based stock units comprise 33% of long-term incentives (1)</w:t>
            </w:r>
          </w:p>
        </w:tc>
        <w:tc>
          <w:tcPr>
            <w:tcW w:w="1040" w:type="dxa"/>
            <w:vAlign w:val="bottom"/>
            <w:tcBorders>
              <w:right w:val="single" w:sz="8" w:color="A8BCBF"/>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9E9E9E"/>
            </w:tcBorders>
          </w:tcPr>
          <w:p>
            <w:pPr>
              <w:jc w:val="center"/>
              <w:ind w:right="10"/>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9E9E9E"/>
            </w:tcBorders>
          </w:tcPr>
          <w:p>
            <w:pPr>
              <w:jc w:val="cente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9E9E9E"/>
            </w:tcBorders>
          </w:tcPr>
          <w:p>
            <w:pPr>
              <w:jc w:val="center"/>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right="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3"/>
        </w:trPr>
        <w:tc>
          <w:tcPr>
            <w:tcW w:w="5680" w:type="dxa"/>
            <w:vAlign w:val="bottom"/>
            <w:tcBorders>
              <w:right w:val="single" w:sz="8" w:color="A8BCBF"/>
            </w:tcBorders>
            <w:gridSpan w:val="2"/>
          </w:tcPr>
          <w:p>
            <w:pPr>
              <w:spacing w:after="0"/>
              <w:rPr>
                <w:sz w:val="4"/>
                <w:szCs w:val="4"/>
                <w:color w:val="auto"/>
              </w:rPr>
            </w:pPr>
          </w:p>
        </w:tc>
        <w:tc>
          <w:tcPr>
            <w:tcW w:w="1040" w:type="dxa"/>
            <w:vAlign w:val="bottom"/>
            <w:tcBorders>
              <w:right w:val="single" w:sz="8" w:color="A8BCBF"/>
            </w:tcBorders>
          </w:tcPr>
          <w:p>
            <w:pPr>
              <w:spacing w:after="0"/>
              <w:rPr>
                <w:sz w:val="4"/>
                <w:szCs w:val="4"/>
                <w:color w:val="auto"/>
              </w:rPr>
            </w:pPr>
          </w:p>
        </w:tc>
        <w:tc>
          <w:tcPr>
            <w:tcW w:w="980" w:type="dxa"/>
            <w:vAlign w:val="bottom"/>
            <w:tcBorders>
              <w:right w:val="single" w:sz="8" w:color="9E9E9E"/>
            </w:tcBorders>
          </w:tcPr>
          <w:p>
            <w:pPr>
              <w:spacing w:after="0"/>
              <w:rPr>
                <w:sz w:val="4"/>
                <w:szCs w:val="4"/>
                <w:color w:val="auto"/>
              </w:rPr>
            </w:pPr>
          </w:p>
        </w:tc>
        <w:tc>
          <w:tcPr>
            <w:tcW w:w="1040" w:type="dxa"/>
            <w:vAlign w:val="bottom"/>
            <w:tcBorders>
              <w:right w:val="single" w:sz="8" w:color="9E9E9E"/>
            </w:tcBorders>
          </w:tcPr>
          <w:p>
            <w:pPr>
              <w:spacing w:after="0"/>
              <w:rPr>
                <w:sz w:val="4"/>
                <w:szCs w:val="4"/>
                <w:color w:val="auto"/>
              </w:rPr>
            </w:pPr>
          </w:p>
        </w:tc>
        <w:tc>
          <w:tcPr>
            <w:tcW w:w="920" w:type="dxa"/>
            <w:vAlign w:val="bottom"/>
            <w:tcBorders>
              <w:right w:val="single" w:sz="8" w:color="9E9E9E"/>
            </w:tcBorders>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300" w:type="dxa"/>
            <w:vAlign w:val="bottom"/>
            <w:tcBorders>
              <w:bottom w:val="single" w:sz="8" w:color="E1D0D6"/>
            </w:tcBorders>
            <w:shd w:val="clear" w:color="auto" w:fill="E1D0D6"/>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5380" w:type="dxa"/>
            <w:vAlign w:val="bottom"/>
            <w:tcBorders>
              <w:bottom w:val="single" w:sz="8" w:color="E1D0D6"/>
              <w:right w:val="single" w:sz="8" w:color="A8BCBF"/>
            </w:tcBorders>
            <w:shd w:val="clear" w:color="auto" w:fill="E1D0D6"/>
          </w:tcPr>
          <w:p>
            <w:pPr>
              <w:ind w:left="80"/>
              <w:spacing w:after="0"/>
              <w:rPr>
                <w:sz w:val="20"/>
                <w:szCs w:val="20"/>
                <w:color w:val="auto"/>
              </w:rPr>
            </w:pPr>
            <w:r>
              <w:rPr>
                <w:rFonts w:ascii="Arial" w:cs="Arial" w:eastAsia="Arial" w:hAnsi="Arial"/>
                <w:sz w:val="16"/>
                <w:szCs w:val="16"/>
                <w:color w:val="auto"/>
              </w:rPr>
              <w:t>Annual incentives subject to negative Board discretion</w:t>
            </w:r>
          </w:p>
        </w:tc>
        <w:tc>
          <w:tcPr>
            <w:tcW w:w="1040" w:type="dxa"/>
            <w:vAlign w:val="bottom"/>
            <w:tcBorders>
              <w:bottom w:val="single" w:sz="8" w:color="E1D0D6"/>
              <w:right w:val="single" w:sz="8" w:color="A8BCBF"/>
            </w:tcBorders>
            <w:shd w:val="clear" w:color="auto" w:fill="E1D0D6"/>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1D0D6"/>
              <w:right w:val="single" w:sz="8" w:color="9E9E9E"/>
            </w:tcBorders>
            <w:shd w:val="clear" w:color="auto" w:fill="E1D0D6"/>
          </w:tcPr>
          <w:p>
            <w:pPr>
              <w:jc w:val="center"/>
              <w:ind w:right="1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1D0D6"/>
              <w:right w:val="single" w:sz="8" w:color="9E9E9E"/>
            </w:tcBorders>
            <w:shd w:val="clear" w:color="auto" w:fill="E1D0D6"/>
          </w:tcPr>
          <w:p>
            <w:pPr>
              <w:spacing w:after="0"/>
              <w:rPr>
                <w:sz w:val="24"/>
                <w:szCs w:val="24"/>
                <w:color w:val="auto"/>
              </w:rPr>
            </w:pPr>
          </w:p>
        </w:tc>
        <w:tc>
          <w:tcPr>
            <w:tcW w:w="920" w:type="dxa"/>
            <w:vAlign w:val="bottom"/>
            <w:tcBorders>
              <w:bottom w:val="single" w:sz="8" w:color="E1D0D6"/>
              <w:right w:val="single" w:sz="8" w:color="9E9E9E"/>
            </w:tcBorders>
            <w:shd w:val="clear" w:color="auto" w:fill="E1D0D6"/>
          </w:tcPr>
          <w:p>
            <w:pPr>
              <w:jc w:val="cente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1D0D6"/>
            </w:tcBorders>
            <w:shd w:val="clear" w:color="auto" w:fill="E1D0D6"/>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680" w:type="dxa"/>
            <w:vAlign w:val="bottom"/>
            <w:tcBorders>
              <w:right w:val="single" w:sz="8" w:color="A8BCBF"/>
            </w:tcBorders>
            <w:gridSpan w:val="2"/>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Stock Ownership Guidelines for all NEOs</w:t>
            </w:r>
          </w:p>
        </w:tc>
        <w:tc>
          <w:tcPr>
            <w:tcW w:w="1040" w:type="dxa"/>
            <w:vAlign w:val="bottom"/>
            <w:tcBorders>
              <w:right w:val="single" w:sz="8" w:color="A8BCBF"/>
            </w:tcBorders>
          </w:tcPr>
          <w:p>
            <w:pPr>
              <w:spacing w:after="0"/>
              <w:rPr>
                <w:sz w:val="23"/>
                <w:szCs w:val="23"/>
                <w:color w:val="auto"/>
              </w:rPr>
            </w:pPr>
          </w:p>
        </w:tc>
        <w:tc>
          <w:tcPr>
            <w:tcW w:w="980" w:type="dxa"/>
            <w:vAlign w:val="bottom"/>
            <w:tcBorders>
              <w:right w:val="single" w:sz="8" w:color="9E9E9E"/>
            </w:tcBorders>
          </w:tcPr>
          <w:p>
            <w:pPr>
              <w:jc w:val="center"/>
              <w:ind w:right="10"/>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9E9E9E"/>
            </w:tcBorders>
          </w:tcPr>
          <w:p>
            <w:pPr>
              <w:spacing w:after="0"/>
              <w:rPr>
                <w:sz w:val="23"/>
                <w:szCs w:val="23"/>
                <w:color w:val="auto"/>
              </w:rPr>
            </w:pPr>
          </w:p>
        </w:tc>
        <w:tc>
          <w:tcPr>
            <w:tcW w:w="920" w:type="dxa"/>
            <w:vAlign w:val="bottom"/>
            <w:tcBorders>
              <w:right w:val="single" w:sz="8" w:color="9E9E9E"/>
            </w:tcBorders>
          </w:tcPr>
          <w:p>
            <w:pPr>
              <w:jc w:val="center"/>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right="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3"/>
        </w:trPr>
        <w:tc>
          <w:tcPr>
            <w:tcW w:w="300" w:type="dxa"/>
            <w:vAlign w:val="bottom"/>
          </w:tcPr>
          <w:p>
            <w:pPr>
              <w:spacing w:after="0"/>
              <w:rPr>
                <w:sz w:val="4"/>
                <w:szCs w:val="4"/>
                <w:color w:val="auto"/>
              </w:rPr>
            </w:pPr>
          </w:p>
        </w:tc>
        <w:tc>
          <w:tcPr>
            <w:tcW w:w="5380" w:type="dxa"/>
            <w:vAlign w:val="bottom"/>
            <w:tcBorders>
              <w:right w:val="single" w:sz="8" w:color="A8BCBF"/>
            </w:tcBorders>
          </w:tcPr>
          <w:p>
            <w:pPr>
              <w:spacing w:after="0"/>
              <w:rPr>
                <w:sz w:val="4"/>
                <w:szCs w:val="4"/>
                <w:color w:val="auto"/>
              </w:rPr>
            </w:pPr>
          </w:p>
        </w:tc>
        <w:tc>
          <w:tcPr>
            <w:tcW w:w="1040" w:type="dxa"/>
            <w:vAlign w:val="bottom"/>
            <w:tcBorders>
              <w:right w:val="single" w:sz="8" w:color="A8BCBF"/>
            </w:tcBorders>
          </w:tcPr>
          <w:p>
            <w:pPr>
              <w:spacing w:after="0"/>
              <w:rPr>
                <w:sz w:val="4"/>
                <w:szCs w:val="4"/>
                <w:color w:val="auto"/>
              </w:rPr>
            </w:pPr>
          </w:p>
        </w:tc>
        <w:tc>
          <w:tcPr>
            <w:tcW w:w="980" w:type="dxa"/>
            <w:vAlign w:val="bottom"/>
            <w:tcBorders>
              <w:right w:val="single" w:sz="8" w:color="9E9E9E"/>
            </w:tcBorders>
          </w:tcPr>
          <w:p>
            <w:pPr>
              <w:spacing w:after="0"/>
              <w:rPr>
                <w:sz w:val="4"/>
                <w:szCs w:val="4"/>
                <w:color w:val="auto"/>
              </w:rPr>
            </w:pPr>
          </w:p>
        </w:tc>
        <w:tc>
          <w:tcPr>
            <w:tcW w:w="1040" w:type="dxa"/>
            <w:vAlign w:val="bottom"/>
            <w:tcBorders>
              <w:right w:val="single" w:sz="8" w:color="9E9E9E"/>
            </w:tcBorders>
          </w:tcPr>
          <w:p>
            <w:pPr>
              <w:spacing w:after="0"/>
              <w:rPr>
                <w:sz w:val="4"/>
                <w:szCs w:val="4"/>
                <w:color w:val="auto"/>
              </w:rPr>
            </w:pPr>
          </w:p>
        </w:tc>
        <w:tc>
          <w:tcPr>
            <w:tcW w:w="920" w:type="dxa"/>
            <w:vAlign w:val="bottom"/>
            <w:tcBorders>
              <w:right w:val="single" w:sz="8" w:color="9E9E9E"/>
            </w:tcBorders>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20" w:right="20" w:hanging="4"/>
        <w:spacing w:after="0" w:line="244" w:lineRule="auto"/>
        <w:tabs>
          <w:tab w:leader="none" w:pos="476" w:val="left"/>
        </w:tabs>
        <w:numPr>
          <w:ilvl w:val="0"/>
          <w:numId w:val="20"/>
        </w:numPr>
        <w:rPr>
          <w:rFonts w:ascii="Arial" w:cs="Arial" w:eastAsia="Arial" w:hAnsi="Arial"/>
          <w:sz w:val="10"/>
          <w:szCs w:val="10"/>
          <w:color w:val="auto"/>
        </w:rPr>
      </w:pPr>
      <w:r>
        <w:rPr>
          <w:rFonts w:ascii="Arial" w:cs="Arial" w:eastAsia="Arial" w:hAnsi="Arial"/>
          <w:sz w:val="10"/>
          <w:szCs w:val="10"/>
          <w:color w:val="auto"/>
        </w:rPr>
        <w:t>In 2022, the proportion of our LTI awards subject to performance conditions was lower than historic levels due to heightened uncertainty in Macau at the time the goals were set in early 2022. In 2023, we increased the proportion from 33% to 55%, including 25% subject to a three-year absolute TSR hurdle rate for CEO and CFO.</w:t>
      </w:r>
    </w:p>
    <w:p>
      <w:pPr>
        <w:ind w:left="480" w:hanging="164"/>
        <w:spacing w:after="0"/>
        <w:tabs>
          <w:tab w:leader="none" w:pos="480" w:val="left"/>
        </w:tabs>
        <w:numPr>
          <w:ilvl w:val="0"/>
          <w:numId w:val="20"/>
        </w:numPr>
        <w:rPr>
          <w:rFonts w:ascii="Arial" w:cs="Arial" w:eastAsia="Arial" w:hAnsi="Arial"/>
          <w:sz w:val="10"/>
          <w:szCs w:val="10"/>
          <w:color w:val="auto"/>
        </w:rPr>
      </w:pPr>
      <w:r>
        <w:rPr>
          <w:rFonts w:ascii="Arial" w:cs="Arial" w:eastAsia="Arial" w:hAnsi="Arial"/>
          <w:sz w:val="10"/>
          <w:szCs w:val="10"/>
          <w:color w:val="auto"/>
        </w:rPr>
        <w:t>Based on 2022 Total Direct Compensation for NEOs.</w:t>
      </w:r>
    </w:p>
    <w:p>
      <w:pPr>
        <w:spacing w:after="0" w:line="9"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30 //</w:t>
      </w:r>
    </w:p>
    <w:p>
      <w:pPr>
        <w:sectPr>
          <w:pgSz w:w="11900" w:h="16838" w:orient="portrait"/>
          <w:cols w:equalWidth="0" w:num="1">
            <w:col w:w="10940"/>
          </w:cols>
          <w:pgMar w:left="320" w:top="473" w:right="6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6A1834"/>
        </w:rPr>
        <w:t>PAY AND PERFORMANCE</w:t>
      </w:r>
    </w:p>
    <w:p>
      <w:pPr>
        <w:spacing w:after="0" w:line="6" w:lineRule="exact"/>
        <w:rPr>
          <w:sz w:val="20"/>
          <w:szCs w:val="20"/>
          <w:color w:val="auto"/>
        </w:rPr>
      </w:pPr>
    </w:p>
    <w:p>
      <w:pPr>
        <w:ind w:left="320"/>
        <w:spacing w:after="0" w:line="242" w:lineRule="auto"/>
        <w:rPr>
          <w:sz w:val="20"/>
          <w:szCs w:val="20"/>
          <w:color w:val="auto"/>
        </w:rPr>
      </w:pPr>
      <w:r>
        <w:rPr>
          <w:rFonts w:ascii="Arial" w:cs="Arial" w:eastAsia="Arial" w:hAnsi="Arial"/>
          <w:sz w:val="17"/>
          <w:szCs w:val="17"/>
          <w:color w:val="auto"/>
        </w:rPr>
        <w:t>Our year-to-year performance can be significantly impacted by market factors, geopolitical events and investor sentiment. Since our initial public offering in October 2002, the Company has averaged a 13% annual TSR (including reinvestment of dividends), which is significantly above the TSR of both the S&amp;P 500 (approximately 10% average annual TSR) and the S&amp;P Consumer Discretionary Index (approximately 10% average annual TSR) over the same time period. Despite our exposure to strong external factors, we have also delivered an average annual TSR nearly four times our closest industry peers.</w:t>
      </w:r>
      <w:r>
        <w:rPr>
          <w:rFonts w:ascii="Arial" w:cs="Arial" w:eastAsia="Arial" w:hAnsi="Arial"/>
          <w:sz w:val="10"/>
          <w:szCs w:val="10"/>
          <w:color w:val="auto"/>
        </w:rPr>
        <w:t>(1)</w:t>
      </w:r>
      <w:r>
        <w:rPr>
          <w:rFonts w:ascii="Arial" w:cs="Arial" w:eastAsia="Arial" w:hAnsi="Arial"/>
          <w:sz w:val="17"/>
          <w:szCs w:val="17"/>
          <w:color w:val="auto"/>
        </w:rPr>
        <w:t xml:space="preserve"> We believe these results are driven by our focused, long-term investment in our properties and by our relentless dedication to delivering the industry’s best customer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141605</wp:posOffset>
            </wp:positionV>
            <wp:extent cx="6773545" cy="24701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7354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 w:right="80" w:hanging="4"/>
        <w:spacing w:after="0" w:line="263" w:lineRule="auto"/>
        <w:tabs>
          <w:tab w:leader="none" w:pos="476" w:val="left"/>
        </w:tabs>
        <w:numPr>
          <w:ilvl w:val="0"/>
          <w:numId w:val="21"/>
        </w:numPr>
        <w:rPr>
          <w:rFonts w:ascii="Arial" w:cs="Arial" w:eastAsia="Arial" w:hAnsi="Arial"/>
          <w:sz w:val="10"/>
          <w:szCs w:val="10"/>
          <w:color w:val="auto"/>
        </w:rPr>
      </w:pPr>
      <w:r>
        <w:rPr>
          <w:rFonts w:ascii="Arial" w:cs="Arial" w:eastAsia="Arial" w:hAnsi="Arial"/>
          <w:sz w:val="10"/>
          <w:szCs w:val="10"/>
          <w:color w:val="auto"/>
        </w:rPr>
        <w:t>Industry peers reflect Las Vegas Sands and MGM Resorts. Las Vegas Sands’ TSR is measured from the market close on the day of their IPO on 12/15/2004 (average annual TSR of approximately 2.5%). MGM Resorts’ TSR is measured from the close on the date of Wynn Resorts’ IPO on 10/25/2002 (average annual TSR of approximately 4%) through the market close on 12/30/2022.</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Our key accomplishments in 2022 include:</w:t>
      </w:r>
    </w:p>
    <w:p>
      <w:pPr>
        <w:spacing w:after="0" w:line="33" w:lineRule="exact"/>
        <w:rPr>
          <w:sz w:val="20"/>
          <w:szCs w:val="20"/>
          <w:color w:val="auto"/>
        </w:rPr>
      </w:pPr>
    </w:p>
    <w:p>
      <w:pPr>
        <w:ind w:left="520" w:right="220" w:hanging="204"/>
        <w:spacing w:after="0" w:line="245"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6A1834"/>
        </w:rPr>
        <w:t xml:space="preserve">ACHIEVED RECORD-SETTING RESULTS IN LAS VEGAS. </w:t>
      </w:r>
      <w:r>
        <w:rPr>
          <w:rFonts w:ascii="Arial" w:cs="Arial" w:eastAsia="Arial" w:hAnsi="Arial"/>
          <w:sz w:val="17"/>
          <w:szCs w:val="17"/>
          <w:color w:val="000000"/>
        </w:rPr>
        <w:t>Our Las Vegas Operations achieved its highest Adjusted Property</w:t>
      </w:r>
      <w:r>
        <w:rPr>
          <w:rFonts w:ascii="Arial" w:cs="Arial" w:eastAsia="Arial" w:hAnsi="Arial"/>
          <w:sz w:val="17"/>
          <w:szCs w:val="17"/>
          <w:color w:val="6A1834"/>
        </w:rPr>
        <w:t xml:space="preserve"> </w:t>
      </w:r>
      <w:r>
        <w:rPr>
          <w:rFonts w:ascii="Arial" w:cs="Arial" w:eastAsia="Arial" w:hAnsi="Arial"/>
          <w:sz w:val="17"/>
          <w:szCs w:val="17"/>
          <w:color w:val="000000"/>
        </w:rPr>
        <w:t>EBITDAR in the history of the resort at $801.1 million (previous record was $530.9 million of Adjusted Property EBITDAR in 2021). In addition, we completed a full remodel of our 2,674 hotel rooms in the Wynn Tower, and debuted our innovative new Awakening show during the fourth quarter of 2022.</w:t>
      </w:r>
    </w:p>
    <w:p>
      <w:pPr>
        <w:spacing w:after="0" w:line="190" w:lineRule="exact"/>
        <w:rPr>
          <w:rFonts w:ascii="Arial" w:cs="Arial" w:eastAsia="Arial" w:hAnsi="Arial"/>
          <w:sz w:val="17"/>
          <w:szCs w:val="17"/>
          <w:color w:val="auto"/>
        </w:rPr>
      </w:pPr>
    </w:p>
    <w:p>
      <w:pPr>
        <w:ind w:left="520" w:hanging="204"/>
        <w:spacing w:after="0" w:line="242"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6A1834"/>
        </w:rPr>
        <w:t xml:space="preserve">DELIVERED RECORD FINANCIAL PERFORMANCE IN BOSTON. </w:t>
      </w:r>
      <w:r>
        <w:rPr>
          <w:rFonts w:ascii="Arial" w:cs="Arial" w:eastAsia="Arial" w:hAnsi="Arial"/>
          <w:sz w:val="17"/>
          <w:szCs w:val="17"/>
          <w:color w:val="000000"/>
        </w:rPr>
        <w:t>Encore Boston Harbor achieved a record $243.4 million of Adjusted</w:t>
      </w:r>
      <w:r>
        <w:rPr>
          <w:rFonts w:ascii="Arial" w:cs="Arial" w:eastAsia="Arial" w:hAnsi="Arial"/>
          <w:sz w:val="17"/>
          <w:szCs w:val="17"/>
          <w:color w:val="6A1834"/>
        </w:rPr>
        <w:t xml:space="preserve"> </w:t>
      </w:r>
      <w:r>
        <w:rPr>
          <w:rFonts w:ascii="Arial" w:cs="Arial" w:eastAsia="Arial" w:hAnsi="Arial"/>
          <w:sz w:val="17"/>
          <w:szCs w:val="17"/>
          <w:color w:val="000000"/>
        </w:rPr>
        <w:t>Property EBITDAR during 2022 (previous record was $210.1 million of Adjusted Property EBITDAR in 2021). We continued to position the property for further growth during 2022, preparing for a ‘Day 1’ launch of retail sports betting in the Commonwealth of Massachusetts on January 31, 2023 that we expect to drive incremental visitation to the property over time. We also continued to advance the design, planning and permitting of our Phase 2 East of Broadway expansion that will add much-needed parking along with new non-gaming amenities.</w:t>
      </w:r>
    </w:p>
    <w:p>
      <w:pPr>
        <w:spacing w:after="0" w:line="196" w:lineRule="exact"/>
        <w:rPr>
          <w:rFonts w:ascii="Arial" w:cs="Arial" w:eastAsia="Arial" w:hAnsi="Arial"/>
          <w:sz w:val="17"/>
          <w:szCs w:val="17"/>
          <w:color w:val="auto"/>
        </w:rPr>
      </w:pPr>
    </w:p>
    <w:p>
      <w:pPr>
        <w:ind w:left="520" w:right="100" w:hanging="204"/>
        <w:spacing w:after="0" w:line="243"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6A1834"/>
        </w:rPr>
        <w:t xml:space="preserve">SUCCESSFULLY RENEWED OUR MACAU GAMING CONCESSION. </w:t>
      </w:r>
      <w:r>
        <w:rPr>
          <w:rFonts w:ascii="Arial" w:cs="Arial" w:eastAsia="Arial" w:hAnsi="Arial"/>
          <w:sz w:val="17"/>
          <w:szCs w:val="17"/>
          <w:color w:val="000000"/>
        </w:rPr>
        <w:t>During the fourth quarter of 2022, the Government of Macau</w:t>
      </w:r>
      <w:r>
        <w:rPr>
          <w:rFonts w:ascii="Arial" w:cs="Arial" w:eastAsia="Arial" w:hAnsi="Arial"/>
          <w:sz w:val="17"/>
          <w:szCs w:val="17"/>
          <w:color w:val="6A1834"/>
        </w:rPr>
        <w:t xml:space="preserve"> </w:t>
      </w:r>
      <w:r>
        <w:rPr>
          <w:rFonts w:ascii="Arial" w:cs="Arial" w:eastAsia="Arial" w:hAnsi="Arial"/>
          <w:sz w:val="17"/>
          <w:szCs w:val="17"/>
          <w:color w:val="000000"/>
        </w:rPr>
        <w:t>announced that Wynn Macau was awarded one of six new 10-year gaming concessions, following a competitive tender process. We approached this process prudently, balancing our commitments to the government with our liquidity position, and our responsibilities to shareholders. We believe the investments we made in our people and our market-leading facilities during 2022, and throughout the pandemic, along with this favorable concession outcome, position us well as the region continues to emerge from COVID-19.</w:t>
      </w:r>
    </w:p>
    <w:p>
      <w:pPr>
        <w:spacing w:after="0" w:line="194" w:lineRule="exact"/>
        <w:rPr>
          <w:rFonts w:ascii="Arial" w:cs="Arial" w:eastAsia="Arial" w:hAnsi="Arial"/>
          <w:sz w:val="17"/>
          <w:szCs w:val="17"/>
          <w:color w:val="auto"/>
        </w:rPr>
      </w:pPr>
    </w:p>
    <w:p>
      <w:pPr>
        <w:ind w:left="520" w:right="100" w:hanging="204"/>
        <w:spacing w:after="0" w:line="245"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6A1834"/>
        </w:rPr>
        <w:t xml:space="preserve">MAINTAINED STRONG MARKET SHARE IN MACAU. </w:t>
      </w:r>
      <w:r>
        <w:rPr>
          <w:rFonts w:ascii="Arial" w:cs="Arial" w:eastAsia="Arial" w:hAnsi="Arial"/>
          <w:sz w:val="17"/>
          <w:szCs w:val="17"/>
          <w:color w:val="000000"/>
        </w:rPr>
        <w:t>As visitation continued to fluctuate due to COVID-19-related travel restrictions,</w:t>
      </w:r>
      <w:r>
        <w:rPr>
          <w:rFonts w:ascii="Arial" w:cs="Arial" w:eastAsia="Arial" w:hAnsi="Arial"/>
          <w:sz w:val="17"/>
          <w:szCs w:val="17"/>
          <w:color w:val="6A1834"/>
        </w:rPr>
        <w:t xml:space="preserve"> </w:t>
      </w:r>
      <w:r>
        <w:rPr>
          <w:rFonts w:ascii="Arial" w:cs="Arial" w:eastAsia="Arial" w:hAnsi="Arial"/>
          <w:sz w:val="17"/>
          <w:szCs w:val="17"/>
          <w:color w:val="000000"/>
        </w:rPr>
        <w:t>our team has remained focused on maintaining a strong market share of GGR in a challenging environment. Through a combination of continued property level changes and marketing system upgrades the team was able to deliver 13.8% hold-normalized GGR market share during 2022, which was flat compared to our normalized GGR market share in 2021.</w:t>
      </w:r>
    </w:p>
    <w:p>
      <w:pPr>
        <w:spacing w:after="0" w:line="190" w:lineRule="exact"/>
        <w:rPr>
          <w:rFonts w:ascii="Arial" w:cs="Arial" w:eastAsia="Arial" w:hAnsi="Arial"/>
          <w:sz w:val="17"/>
          <w:szCs w:val="17"/>
          <w:color w:val="auto"/>
        </w:rPr>
      </w:pPr>
    </w:p>
    <w:p>
      <w:pPr>
        <w:ind w:left="520" w:right="580" w:hanging="204"/>
        <w:spacing w:after="0" w:line="256"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6A1834"/>
        </w:rPr>
        <w:t xml:space="preserve">SIGNED AGREEMENT TO DEVELOP AN INTEGRATED RESORT IN THE UAE. </w:t>
      </w:r>
      <w:r>
        <w:rPr>
          <w:rFonts w:ascii="Arial" w:cs="Arial" w:eastAsia="Arial" w:hAnsi="Arial"/>
          <w:sz w:val="17"/>
          <w:szCs w:val="17"/>
          <w:color w:val="000000"/>
        </w:rPr>
        <w:t>In January 2022, we announced a partnership</w:t>
      </w:r>
      <w:r>
        <w:rPr>
          <w:rFonts w:ascii="Arial" w:cs="Arial" w:eastAsia="Arial" w:hAnsi="Arial"/>
          <w:sz w:val="17"/>
          <w:szCs w:val="17"/>
          <w:color w:val="6A1834"/>
        </w:rPr>
        <w:t xml:space="preserve"> </w:t>
      </w:r>
      <w:r>
        <w:rPr>
          <w:rFonts w:ascii="Arial" w:cs="Arial" w:eastAsia="Arial" w:hAnsi="Arial"/>
          <w:sz w:val="17"/>
          <w:szCs w:val="17"/>
          <w:color w:val="000000"/>
        </w:rPr>
        <w:t>agreement with Marjan and RAK Hospitality Holding to develop an integrated resort on Al Marjan Island in Ras</w:t>
      </w:r>
    </w:p>
    <w:p>
      <w:pPr>
        <w:spacing w:after="0" w:line="121" w:lineRule="exact"/>
        <w:rPr>
          <w:rFonts w:ascii="Arial" w:cs="Arial" w:eastAsia="Arial" w:hAnsi="Arial"/>
          <w:sz w:val="17"/>
          <w:szCs w:val="17"/>
          <w:color w:val="auto"/>
        </w:rPr>
      </w:pPr>
    </w:p>
    <w:p>
      <w:pPr>
        <w:ind w:left="5680" w:hanging="164"/>
        <w:spacing w:after="0"/>
        <w:tabs>
          <w:tab w:leader="none" w:pos="56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31 //</w:t>
      </w:r>
    </w:p>
    <w:p>
      <w:pPr>
        <w:sectPr>
          <w:pgSz w:w="11900" w:h="16838" w:orient="portrait"/>
          <w:cols w:equalWidth="0" w:num="1">
            <w:col w:w="10920"/>
          </w:cols>
          <w:pgMar w:left="320" w:top="473" w:right="65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0" w:right="1040"/>
        <w:spacing w:after="0" w:line="256" w:lineRule="auto"/>
        <w:rPr>
          <w:sz w:val="20"/>
          <w:szCs w:val="20"/>
          <w:color w:val="auto"/>
        </w:rPr>
      </w:pPr>
      <w:r>
        <w:rPr>
          <w:rFonts w:ascii="Arial" w:cs="Arial" w:eastAsia="Arial" w:hAnsi="Arial"/>
          <w:sz w:val="17"/>
          <w:szCs w:val="17"/>
          <w:color w:val="auto"/>
        </w:rPr>
        <w:t>Al Khaimah, United Arab Emirates. We expect the resort will further diversify our property portfolio, extend the Wynn brand internationally, and drive strong long-term returns for shareholders.</w:t>
      </w:r>
    </w:p>
    <w:p>
      <w:pPr>
        <w:spacing w:after="0" w:line="181" w:lineRule="exact"/>
        <w:rPr>
          <w:sz w:val="20"/>
          <w:szCs w:val="20"/>
          <w:color w:val="auto"/>
        </w:rPr>
      </w:pPr>
    </w:p>
    <w:p>
      <w:pPr>
        <w:ind w:left="520" w:right="240" w:hanging="204"/>
        <w:spacing w:after="0" w:line="243"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6A1834"/>
        </w:rPr>
        <w:t xml:space="preserve">FURTHER ENHANCED LIQUIDITY AND FINANCIAL FLEXIBILITY. </w:t>
      </w:r>
      <w:r>
        <w:rPr>
          <w:rFonts w:ascii="Arial" w:cs="Arial" w:eastAsia="Arial" w:hAnsi="Arial"/>
          <w:sz w:val="17"/>
          <w:szCs w:val="17"/>
          <w:color w:val="000000"/>
        </w:rPr>
        <w:t>We continued to fortify our liquidity and balance sheet during the</w:t>
      </w:r>
      <w:r>
        <w:rPr>
          <w:rFonts w:ascii="Arial" w:cs="Arial" w:eastAsia="Arial" w:hAnsi="Arial"/>
          <w:sz w:val="17"/>
          <w:szCs w:val="17"/>
          <w:color w:val="6A1834"/>
        </w:rPr>
        <w:t xml:space="preserve"> </w:t>
      </w:r>
      <w:r>
        <w:rPr>
          <w:rFonts w:ascii="Arial" w:cs="Arial" w:eastAsia="Arial" w:hAnsi="Arial"/>
          <w:sz w:val="17"/>
          <w:szCs w:val="17"/>
          <w:color w:val="000000"/>
        </w:rPr>
        <w:t>year, highlighted by the sale-leaseback of the real estate of Encore Boston Harbor that closed during the fourth quarter of 2022. The transaction brought in gross proceeds of $1.7 billion, at a highly attractive cap rate. We expect this long-duration capital will support high-return growth projects and further bolster our already strong global cash and liquidity position to approximately $4.5 billion as of December 31, 2022.</w:t>
      </w:r>
    </w:p>
    <w:p>
      <w:pPr>
        <w:spacing w:after="0" w:line="194" w:lineRule="exact"/>
        <w:rPr>
          <w:rFonts w:ascii="Arial" w:cs="Arial" w:eastAsia="Arial" w:hAnsi="Arial"/>
          <w:sz w:val="17"/>
          <w:szCs w:val="17"/>
          <w:color w:val="auto"/>
        </w:rPr>
      </w:pPr>
    </w:p>
    <w:p>
      <w:pPr>
        <w:ind w:left="520" w:hanging="204"/>
        <w:spacing w:after="0" w:line="241"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6A1834"/>
        </w:rPr>
        <w:t xml:space="preserve">CONTINUED RECOGNITION AS THE WORLD’S PREEMINENT LUXURY INTEGRATED RESORT COMPANY. </w:t>
      </w:r>
      <w:r>
        <w:rPr>
          <w:rFonts w:ascii="Arial" w:cs="Arial" w:eastAsia="Arial" w:hAnsi="Arial"/>
          <w:sz w:val="17"/>
          <w:szCs w:val="17"/>
          <w:color w:val="000000"/>
        </w:rPr>
        <w:t>With a combined 24</w:t>
      </w:r>
      <w:r>
        <w:rPr>
          <w:rFonts w:ascii="Arial" w:cs="Arial" w:eastAsia="Arial" w:hAnsi="Arial"/>
          <w:sz w:val="17"/>
          <w:szCs w:val="17"/>
          <w:color w:val="6A1834"/>
        </w:rPr>
        <w:t xml:space="preserve"> </w:t>
      </w:r>
      <w:r>
        <w:rPr>
          <w:rFonts w:ascii="Arial" w:cs="Arial" w:eastAsia="Arial" w:hAnsi="Arial"/>
          <w:sz w:val="17"/>
          <w:szCs w:val="17"/>
          <w:color w:val="000000"/>
        </w:rPr>
        <w:t>Forbes Travel Guide Five-Star Awards in 2023 across our global portfolio, Wynn Resorts remains the most decorated independent hotel company in the world. Our Macau operations were awarded 15 FTG Five-Star Awards, with Wynn Macau the only resort in the world to receive eight individual FTG Five-Star Awards and Wynn Palace receiving seven. In the US, Wynn Las Vegas and Encore at Wynn Las Vegas collectively received seven Five-Star Awards, and for the seventh consecutive year, Wing Lei at Wynn Las Vegas remains the only FTG Five-Star Chinese restaurant in North America. Encore Boston Harbor was awarded two FTG Five-Stars for the second consecutive year. In addition, Wynn Resorts was once again honored to be included on FORTUNE Magazine’s 2023 World’s Most Admired Companies list in the hotel, casino, and resort category.</w:t>
      </w:r>
    </w:p>
    <w:p>
      <w:pPr>
        <w:spacing w:after="0" w:line="198" w:lineRule="exact"/>
        <w:rPr>
          <w:rFonts w:ascii="Arial" w:cs="Arial" w:eastAsia="Arial" w:hAnsi="Arial"/>
          <w:sz w:val="17"/>
          <w:szCs w:val="17"/>
          <w:color w:val="auto"/>
        </w:rPr>
      </w:pPr>
    </w:p>
    <w:p>
      <w:pPr>
        <w:ind w:left="520" w:right="20" w:hanging="204"/>
        <w:spacing w:after="0" w:line="243"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6A1834"/>
        </w:rPr>
        <w:t xml:space="preserve">SUCCESSFUL NEO TRANSITION. </w:t>
      </w:r>
      <w:r>
        <w:rPr>
          <w:rFonts w:ascii="Arial" w:cs="Arial" w:eastAsia="Arial" w:hAnsi="Arial"/>
          <w:sz w:val="17"/>
          <w:szCs w:val="17"/>
          <w:color w:val="000000"/>
        </w:rPr>
        <w:t>The Board proactively planned and seamlessly executed the succession process for two NEO roles</w:t>
      </w:r>
      <w:r>
        <w:rPr>
          <w:rFonts w:ascii="Arial" w:cs="Arial" w:eastAsia="Arial" w:hAnsi="Arial"/>
          <w:sz w:val="17"/>
          <w:szCs w:val="17"/>
          <w:color w:val="6A1834"/>
        </w:rPr>
        <w:t xml:space="preserve"> </w:t>
      </w:r>
      <w:r>
        <w:rPr>
          <w:rFonts w:ascii="Arial" w:cs="Arial" w:eastAsia="Arial" w:hAnsi="Arial"/>
          <w:sz w:val="17"/>
          <w:szCs w:val="17"/>
          <w:color w:val="000000"/>
        </w:rPr>
        <w:t>with minimal business interruption. Following the departure of former Wynn Resorts CEO Matt Maddox on January 31, 2022, Craig Billings (then CFO) was selected by the Board to assume the role of CEO (effective February 1, 2022, and Julie Cameron-Doe was hired as CFO (effective April 18, 2022). In addition, General Counsel Ellen Whittemore’s contract was renewed for a further three year term to ensure continuity in the executive leadership team.</w:t>
      </w:r>
    </w:p>
    <w:p>
      <w:pPr>
        <w:spacing w:after="0" w:line="200" w:lineRule="exact"/>
        <w:rPr>
          <w:sz w:val="20"/>
          <w:szCs w:val="20"/>
          <w:color w:val="auto"/>
        </w:rPr>
      </w:pPr>
    </w:p>
    <w:p>
      <w:pPr>
        <w:spacing w:after="0" w:line="365"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How we designed incentives in 2022</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6A1834"/>
        </w:rPr>
        <w:t>2022 PAY PROGRAM HIGHLIGHTS:</w:t>
      </w:r>
    </w:p>
    <w:p>
      <w:pPr>
        <w:spacing w:after="0" w:line="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2022, the Compensation Committee:</w:t>
      </w:r>
    </w:p>
    <w:p>
      <w:pPr>
        <w:spacing w:after="0" w:line="208" w:lineRule="exact"/>
        <w:rPr>
          <w:sz w:val="20"/>
          <w:szCs w:val="20"/>
          <w:color w:val="auto"/>
        </w:rPr>
      </w:pPr>
    </w:p>
    <w:p>
      <w:pPr>
        <w:ind w:left="520" w:right="100" w:hanging="204"/>
        <w:spacing w:after="0" w:line="256"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Set rigorous financial metrics for annual incentives for 2022 that targeted meaningful growth at our domestic properties and considered the continued financial uncertainty in Macau due to ongoing pandemic related travel restrictions.</w:t>
      </w:r>
    </w:p>
    <w:p>
      <w:pPr>
        <w:spacing w:after="0" w:line="181" w:lineRule="exact"/>
        <w:rPr>
          <w:rFonts w:ascii="Arial" w:cs="Arial" w:eastAsia="Arial" w:hAnsi="Arial"/>
          <w:sz w:val="17"/>
          <w:szCs w:val="17"/>
          <w:color w:val="auto"/>
        </w:rPr>
      </w:pPr>
    </w:p>
    <w:p>
      <w:pPr>
        <w:ind w:left="520" w:hanging="204"/>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Continued to pay 50% of annual incentive executive compensation in equity.</w:t>
      </w:r>
    </w:p>
    <w:p>
      <w:pPr>
        <w:spacing w:after="0" w:line="207" w:lineRule="exact"/>
        <w:rPr>
          <w:rFonts w:ascii="Arial" w:cs="Arial" w:eastAsia="Arial" w:hAnsi="Arial"/>
          <w:sz w:val="17"/>
          <w:szCs w:val="17"/>
          <w:color w:val="auto"/>
        </w:rPr>
      </w:pPr>
    </w:p>
    <w:p>
      <w:pPr>
        <w:ind w:left="520" w:right="40" w:hanging="204"/>
        <w:spacing w:after="0" w:line="242"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Awarded 33% of long-term incentive stock compensation that vests upon achievement of pre-established financial performance goals that are based on the Company’s ability to achieve a premium revenue “fair share” relative to its peers (see discussion of this metric below), on a one-, two- and three-year basis. The share of long-term incentive stock tied to performance conditions reduced temporarily from 50% in prior years in light of the significant uncertainty in Macau at the time of goal setting. Based on shareholder feedback, the Compensation Committee increased long-term incentive stock compensation vesting upon achievement of performance conditions to 55% in 2023 from 33% in 2022. Please see “Compensation Discussion and Analysis”—“2023 Equity Grants” for further discussion of 2023 stock grants.</w:t>
      </w:r>
    </w:p>
    <w:p>
      <w:pPr>
        <w:spacing w:after="0" w:line="391" w:lineRule="exact"/>
        <w:rPr>
          <w:rFonts w:ascii="Arial" w:cs="Arial" w:eastAsia="Arial" w:hAnsi="Arial"/>
          <w:sz w:val="17"/>
          <w:szCs w:val="17"/>
          <w:color w:val="auto"/>
        </w:rPr>
      </w:pPr>
    </w:p>
    <w:p>
      <w:pPr>
        <w:ind w:left="520" w:right="160" w:hanging="204"/>
        <w:spacing w:after="0" w:line="248"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Reaffirmed its commitment to keep executives’ total compensation around the median and conduct an overall analysis of all NEO total compensation to confirm compliance.</w:t>
      </w: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32 //</w:t>
      </w:r>
    </w:p>
    <w:p>
      <w:pPr>
        <w:sectPr>
          <w:pgSz w:w="11900" w:h="16838" w:orient="portrait"/>
          <w:cols w:equalWidth="0" w:num="1">
            <w:col w:w="10940"/>
          </w:cols>
          <w:pgMar w:left="320" w:top="473" w:right="6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right="240"/>
        <w:spacing w:after="0" w:line="242" w:lineRule="auto"/>
        <w:rPr>
          <w:sz w:val="20"/>
          <w:szCs w:val="20"/>
          <w:color w:val="auto"/>
        </w:rPr>
      </w:pPr>
      <w:r>
        <w:rPr>
          <w:rFonts w:ascii="Arial" w:cs="Arial" w:eastAsia="Arial" w:hAnsi="Arial"/>
          <w:sz w:val="17"/>
          <w:szCs w:val="17"/>
          <w:color w:val="6A1834"/>
        </w:rPr>
        <w:t xml:space="preserve">ROLE OF THE COMPENSATION COMMITTEE AND MANAGEMENT IN SETTING COMPENSATION: </w:t>
      </w:r>
      <w:r>
        <w:rPr>
          <w:rFonts w:ascii="Arial" w:cs="Arial" w:eastAsia="Arial" w:hAnsi="Arial"/>
          <w:sz w:val="17"/>
          <w:szCs w:val="17"/>
          <w:color w:val="000000"/>
        </w:rPr>
        <w:t>The Compensation Committee</w:t>
      </w:r>
      <w:r>
        <w:rPr>
          <w:rFonts w:ascii="Arial" w:cs="Arial" w:eastAsia="Arial" w:hAnsi="Arial"/>
          <w:sz w:val="17"/>
          <w:szCs w:val="17"/>
          <w:color w:val="6A1834"/>
        </w:rPr>
        <w:t xml:space="preserve"> </w:t>
      </w:r>
      <w:r>
        <w:rPr>
          <w:rFonts w:ascii="Arial" w:cs="Arial" w:eastAsia="Arial" w:hAnsi="Arial"/>
          <w:sz w:val="17"/>
          <w:szCs w:val="17"/>
          <w:color w:val="000000"/>
        </w:rPr>
        <w:t>sets all elements of compensation for our NEOs based upon consideration of an NEO’s contributions to the operating and strategic performance of the Company. The Compensation Committee considers the recommendations of the CEO in establishing compensation for all other NEOs. In addition, the CEO performs annual reviews of our senior executive officers and makes recommendations to the Compensation Committee. The Compensation Committee reviews the recommendations and makes final decisions regarding compensation for our senior executive officers.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6A1834"/>
        </w:rPr>
        <w:t>COMPENSATION MIX</w:t>
      </w:r>
    </w:p>
    <w:p>
      <w:pPr>
        <w:spacing w:after="0" w:line="6" w:lineRule="exact"/>
        <w:rPr>
          <w:sz w:val="20"/>
          <w:szCs w:val="20"/>
          <w:color w:val="auto"/>
        </w:rPr>
      </w:pPr>
    </w:p>
    <w:p>
      <w:pPr>
        <w:ind w:left="320"/>
        <w:spacing w:after="0" w:line="242" w:lineRule="auto"/>
        <w:rPr>
          <w:sz w:val="20"/>
          <w:szCs w:val="20"/>
          <w:color w:val="auto"/>
        </w:rPr>
      </w:pPr>
      <w:r>
        <w:rPr>
          <w:rFonts w:ascii="Arial" w:cs="Arial" w:eastAsia="Arial" w:hAnsi="Arial"/>
          <w:sz w:val="17"/>
          <w:szCs w:val="17"/>
          <w:color w:val="auto"/>
        </w:rPr>
        <w:t>We take a multi-year approach to our business that focuses on rewarding strong near-term performance and the creation of long-term shareholder value. Because product quality and service excellence are at the core of our strategy, we use annual goals based on achieving operational excellence to highlight the critical importance of performing well each year for each guest, the most discerning in the industry. We supplement that with a set of long-term incentives and holding requirements to support the sustainability of our reputation and our ongoing returns. The charts below highlight the focus on equity and at-risk mix of the total direct compensation for our current NEOs based on 2022 compensation outcomes</w:t>
      </w:r>
      <w:r>
        <w:rPr>
          <w:rFonts w:ascii="Arial" w:cs="Arial" w:eastAsia="Arial" w:hAnsi="Arial"/>
          <w:sz w:val="10"/>
          <w:szCs w:val="10"/>
          <w:color w:val="auto"/>
        </w:rPr>
        <w:t>(1)</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125095</wp:posOffset>
            </wp:positionV>
            <wp:extent cx="5014595" cy="14789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14595" cy="147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(1) Based on 2022 Total Direct Compensation for NEOs.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2022 Compensation design &amp; decisions</w:t>
      </w:r>
    </w:p>
    <w:p>
      <w:pPr>
        <w:spacing w:after="0" w:line="33" w:lineRule="exact"/>
        <w:rPr>
          <w:sz w:val="20"/>
          <w:szCs w:val="20"/>
          <w:color w:val="auto"/>
        </w:rPr>
      </w:pPr>
    </w:p>
    <w:p>
      <w:pPr>
        <w:ind w:left="320" w:right="480"/>
        <w:spacing w:after="0" w:line="247" w:lineRule="auto"/>
        <w:rPr>
          <w:sz w:val="20"/>
          <w:szCs w:val="20"/>
          <w:color w:val="auto"/>
        </w:rPr>
      </w:pPr>
      <w:r>
        <w:rPr>
          <w:rFonts w:ascii="Arial" w:cs="Arial" w:eastAsia="Arial" w:hAnsi="Arial"/>
          <w:sz w:val="17"/>
          <w:szCs w:val="17"/>
          <w:color w:val="6A1834"/>
        </w:rPr>
        <w:t xml:space="preserve">Base Salary: </w:t>
      </w:r>
      <w:r>
        <w:rPr>
          <w:rFonts w:ascii="Arial" w:cs="Arial" w:eastAsia="Arial" w:hAnsi="Arial"/>
          <w:sz w:val="17"/>
          <w:szCs w:val="17"/>
          <w:color w:val="000000"/>
        </w:rPr>
        <w:t>Negotiated employment agreements establish our NEOs’ initial base salaries. We review and adjust their base salaries</w:t>
      </w:r>
      <w:r>
        <w:rPr>
          <w:rFonts w:ascii="Arial" w:cs="Arial" w:eastAsia="Arial" w:hAnsi="Arial"/>
          <w:sz w:val="17"/>
          <w:szCs w:val="17"/>
          <w:color w:val="6A1834"/>
        </w:rPr>
        <w:t xml:space="preserve"> </w:t>
      </w:r>
      <w:r>
        <w:rPr>
          <w:rFonts w:ascii="Arial" w:cs="Arial" w:eastAsia="Arial" w:hAnsi="Arial"/>
          <w:sz w:val="17"/>
          <w:szCs w:val="17"/>
          <w:color w:val="000000"/>
        </w:rPr>
        <w:t>periodically to stay competitive, reflect improvements in performance, capabilities, and experience, and reward expansions of responsibility or other extraordinary circumstances.</w:t>
      </w:r>
    </w:p>
    <w:p>
      <w:pPr>
        <w:spacing w:after="0" w:line="151" w:lineRule="exact"/>
        <w:rPr>
          <w:sz w:val="20"/>
          <w:szCs w:val="20"/>
          <w:color w:val="auto"/>
        </w:rPr>
      </w:pPr>
    </w:p>
    <w:p>
      <w:pPr>
        <w:ind w:left="320"/>
        <w:spacing w:after="0" w:line="241" w:lineRule="auto"/>
        <w:rPr>
          <w:sz w:val="20"/>
          <w:szCs w:val="20"/>
          <w:color w:val="auto"/>
        </w:rPr>
      </w:pPr>
      <w:r>
        <w:rPr>
          <w:rFonts w:ascii="Arial" w:cs="Arial" w:eastAsia="Arial" w:hAnsi="Arial"/>
          <w:sz w:val="17"/>
          <w:szCs w:val="17"/>
          <w:color w:val="auto"/>
        </w:rPr>
        <w:t>In May 2022, as a measure to preserve liquidity due to the financial impact of continued pandemic related travel restrictions to and from Macau, a voluntary salary for stock scheme was implemented across 1,690 of our people in Macau under the WML Employee Ownership Scheme. Our NEOs demonstrated support and leadership by electing to receive a portion of their remaining base salary compensation for the 2022 calendar year in the form of a stock option award (in lieu of cash) that vested on December 31, 2022 if the NEO remained employed with the Company through their vesting date. The number of options underlying each NEO’s stock option award was determined based on the fair value of a stock option on May 11, 2022 (calculated using a Black-Scholes option pricing model), equivalent to the amount of base salary compensation such NEO would have otherwise received. The table below presents the base salary our NEOs were contractually entitled to for 2022. The incremental value of the stock option award received in lieu of cash for base salary compensation is included in the “Stock Options” column to the Summary Compensation Table below, and the applicable incremental amounts are described in the footnote to the “Base Salary” column thereto.</w:t>
      </w:r>
    </w:p>
    <w:p>
      <w:pPr>
        <w:spacing w:after="0" w:line="137"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 33 //</w:t>
      </w:r>
    </w:p>
    <w:p>
      <w:pPr>
        <w:sectPr>
          <w:pgSz w:w="11900" w:h="16838" w:orient="portrait"/>
          <w:cols w:equalWidth="0" w:num="1">
            <w:col w:w="10920"/>
          </w:cols>
          <w:pgMar w:left="320" w:top="473" w:right="65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right="20"/>
        <w:spacing w:after="0" w:line="247" w:lineRule="auto"/>
        <w:rPr>
          <w:sz w:val="20"/>
          <w:szCs w:val="20"/>
          <w:color w:val="auto"/>
        </w:rPr>
      </w:pPr>
      <w:r>
        <w:rPr>
          <w:rFonts w:ascii="Arial" w:cs="Arial" w:eastAsia="Arial" w:hAnsi="Arial"/>
          <w:sz w:val="17"/>
          <w:szCs w:val="17"/>
          <w:color w:val="auto"/>
        </w:rPr>
        <w:t>The table below presents the base salary for each of our NEOs in 2022. Mr. Maddox is not included in the table below as he was paid in accordance to the Maddox Transition Agreement. Please see Sections titled “Summary Compensation Tables” and “Payments Made Upon Termination” for further discussion.</w:t>
      </w:r>
    </w:p>
    <w:p>
      <w:pPr>
        <w:spacing w:after="0" w:line="191"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7320" w:type="dxa"/>
            <w:vAlign w:val="bottom"/>
            <w:tcBorders>
              <w:right w:val="single" w:sz="8" w:color="E2EDED"/>
            </w:tcBorders>
            <w:vMerge w:val="restart"/>
          </w:tcPr>
          <w:p>
            <w:pPr>
              <w:ind w:left="80"/>
              <w:spacing w:after="0"/>
              <w:rPr>
                <w:sz w:val="20"/>
                <w:szCs w:val="20"/>
                <w:color w:val="auto"/>
              </w:rPr>
            </w:pPr>
            <w:r>
              <w:rPr>
                <w:rFonts w:ascii="Arial" w:cs="Arial" w:eastAsia="Arial" w:hAnsi="Arial"/>
                <w:sz w:val="14"/>
                <w:szCs w:val="14"/>
                <w:b w:val="1"/>
                <w:bCs w:val="1"/>
                <w:color w:val="6A1834"/>
              </w:rPr>
              <w:t>NAMED EXECUTIVE OFFICER</w:t>
            </w:r>
          </w:p>
        </w:tc>
        <w:tc>
          <w:tcPr>
            <w:tcW w:w="1500" w:type="dxa"/>
            <w:vAlign w:val="bottom"/>
            <w:tcBorders>
              <w:right w:val="single" w:sz="8" w:color="E2EDED"/>
            </w:tcBorders>
            <w:gridSpan w:val="2"/>
          </w:tcPr>
          <w:p>
            <w:pPr>
              <w:jc w:val="right"/>
              <w:ind w:right="318"/>
              <w:spacing w:after="0"/>
              <w:rPr>
                <w:sz w:val="20"/>
                <w:szCs w:val="20"/>
                <w:color w:val="auto"/>
              </w:rPr>
            </w:pPr>
            <w:r>
              <w:rPr>
                <w:rFonts w:ascii="Arial" w:cs="Arial" w:eastAsia="Arial" w:hAnsi="Arial"/>
                <w:sz w:val="14"/>
                <w:szCs w:val="14"/>
                <w:b w:val="1"/>
                <w:bCs w:val="1"/>
                <w:color w:val="6A1834"/>
              </w:rPr>
              <w:t>2022 BASE</w:t>
            </w:r>
          </w:p>
        </w:tc>
        <w:tc>
          <w:tcPr>
            <w:tcW w:w="500" w:type="dxa"/>
            <w:vAlign w:val="bottom"/>
          </w:tcPr>
          <w:p>
            <w:pPr>
              <w:spacing w:after="0"/>
              <w:rPr>
                <w:sz w:val="17"/>
                <w:szCs w:val="17"/>
                <w:color w:val="auto"/>
              </w:rPr>
            </w:pPr>
          </w:p>
        </w:tc>
        <w:tc>
          <w:tcPr>
            <w:tcW w:w="1300" w:type="dxa"/>
            <w:vAlign w:val="bottom"/>
          </w:tcPr>
          <w:p>
            <w:pPr>
              <w:jc w:val="right"/>
              <w:ind w:right="460"/>
              <w:spacing w:after="0"/>
              <w:rPr>
                <w:sz w:val="20"/>
                <w:szCs w:val="20"/>
                <w:color w:val="auto"/>
              </w:rPr>
            </w:pPr>
            <w:r>
              <w:rPr>
                <w:rFonts w:ascii="Arial" w:cs="Arial" w:eastAsia="Arial" w:hAnsi="Arial"/>
                <w:sz w:val="14"/>
                <w:szCs w:val="14"/>
                <w:b w:val="1"/>
                <w:bCs w:val="1"/>
                <w:color w:val="6A1834"/>
              </w:rPr>
              <w:t>2021 BASE</w:t>
            </w:r>
          </w:p>
        </w:tc>
        <w:tc>
          <w:tcPr>
            <w:tcW w:w="0" w:type="dxa"/>
            <w:vAlign w:val="bottom"/>
          </w:tcPr>
          <w:p>
            <w:pPr>
              <w:spacing w:after="0"/>
              <w:rPr>
                <w:sz w:val="1"/>
                <w:szCs w:val="1"/>
                <w:color w:val="auto"/>
              </w:rPr>
            </w:pPr>
          </w:p>
        </w:tc>
      </w:tr>
      <w:tr>
        <w:trPr>
          <w:trHeight w:val="103"/>
        </w:trPr>
        <w:tc>
          <w:tcPr>
            <w:tcW w:w="7320" w:type="dxa"/>
            <w:vAlign w:val="bottom"/>
            <w:tcBorders>
              <w:right w:val="single" w:sz="8" w:color="E2EDED"/>
            </w:tcBorders>
            <w:vMerge w:val="continue"/>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Borders>
              <w:right w:val="single" w:sz="8" w:color="E2EDED"/>
            </w:tcBorders>
            <w:vMerge w:val="restart"/>
          </w:tcPr>
          <w:p>
            <w:pPr>
              <w:jc w:val="right"/>
              <w:ind w:right="398"/>
              <w:spacing w:after="0"/>
              <w:rPr>
                <w:sz w:val="20"/>
                <w:szCs w:val="20"/>
                <w:color w:val="auto"/>
              </w:rPr>
            </w:pPr>
            <w:r>
              <w:rPr>
                <w:rFonts w:ascii="Arial" w:cs="Arial" w:eastAsia="Arial" w:hAnsi="Arial"/>
                <w:sz w:val="14"/>
                <w:szCs w:val="14"/>
                <w:b w:val="1"/>
                <w:bCs w:val="1"/>
                <w:color w:val="6A1834"/>
              </w:rPr>
              <w:t>SALARY</w:t>
            </w:r>
          </w:p>
        </w:tc>
        <w:tc>
          <w:tcPr>
            <w:tcW w:w="500" w:type="dxa"/>
            <w:vAlign w:val="bottom"/>
          </w:tcPr>
          <w:p>
            <w:pPr>
              <w:spacing w:after="0"/>
              <w:rPr>
                <w:sz w:val="8"/>
                <w:szCs w:val="8"/>
                <w:color w:val="auto"/>
              </w:rPr>
            </w:pPr>
          </w:p>
        </w:tc>
        <w:tc>
          <w:tcPr>
            <w:tcW w:w="1300" w:type="dxa"/>
            <w:vAlign w:val="bottom"/>
            <w:vMerge w:val="restart"/>
          </w:tcPr>
          <w:p>
            <w:pPr>
              <w:jc w:val="right"/>
              <w:ind w:right="540"/>
              <w:spacing w:after="0"/>
              <w:rPr>
                <w:sz w:val="20"/>
                <w:szCs w:val="20"/>
                <w:color w:val="auto"/>
              </w:rPr>
            </w:pPr>
            <w:r>
              <w:rPr>
                <w:rFonts w:ascii="Arial" w:cs="Arial" w:eastAsia="Arial" w:hAnsi="Arial"/>
                <w:sz w:val="14"/>
                <w:szCs w:val="14"/>
                <w:b w:val="1"/>
                <w:bCs w:val="1"/>
                <w:color w:val="6A1834"/>
              </w:rPr>
              <w:t>SALARY</w:t>
            </w:r>
          </w:p>
        </w:tc>
        <w:tc>
          <w:tcPr>
            <w:tcW w:w="0" w:type="dxa"/>
            <w:vAlign w:val="bottom"/>
          </w:tcPr>
          <w:p>
            <w:pPr>
              <w:spacing w:after="0"/>
              <w:rPr>
                <w:sz w:val="1"/>
                <w:szCs w:val="1"/>
                <w:color w:val="auto"/>
              </w:rPr>
            </w:pPr>
          </w:p>
        </w:tc>
      </w:tr>
      <w:tr>
        <w:trPr>
          <w:trHeight w:val="84"/>
        </w:trPr>
        <w:tc>
          <w:tcPr>
            <w:tcW w:w="7320" w:type="dxa"/>
            <w:vAlign w:val="bottom"/>
            <w:tcBorders>
              <w:right w:val="single" w:sz="8" w:color="E2EDED"/>
            </w:tcBorders>
          </w:tcPr>
          <w:p>
            <w:pPr>
              <w:spacing w:after="0"/>
              <w:rPr>
                <w:sz w:val="7"/>
                <w:szCs w:val="7"/>
                <w:color w:val="auto"/>
              </w:rPr>
            </w:pPr>
          </w:p>
        </w:tc>
        <w:tc>
          <w:tcPr>
            <w:tcW w:w="400" w:type="dxa"/>
            <w:vAlign w:val="bottom"/>
          </w:tcPr>
          <w:p>
            <w:pPr>
              <w:spacing w:after="0"/>
              <w:rPr>
                <w:sz w:val="7"/>
                <w:szCs w:val="7"/>
                <w:color w:val="auto"/>
              </w:rPr>
            </w:pPr>
          </w:p>
        </w:tc>
        <w:tc>
          <w:tcPr>
            <w:tcW w:w="1100" w:type="dxa"/>
            <w:vAlign w:val="bottom"/>
            <w:tcBorders>
              <w:right w:val="single" w:sz="8" w:color="E2EDED"/>
            </w:tcBorders>
            <w:vMerge w:val="continue"/>
          </w:tcPr>
          <w:p>
            <w:pPr>
              <w:spacing w:after="0"/>
              <w:rPr>
                <w:sz w:val="7"/>
                <w:szCs w:val="7"/>
                <w:color w:val="auto"/>
              </w:rPr>
            </w:pPr>
          </w:p>
        </w:tc>
        <w:tc>
          <w:tcPr>
            <w:tcW w:w="50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7320" w:type="dxa"/>
            <w:vAlign w:val="bottom"/>
            <w:tcBorders>
              <w:bottom w:val="single" w:sz="8" w:color="E1D0D6"/>
              <w:right w:val="single" w:sz="8" w:color="E2EDED"/>
            </w:tcBorders>
            <w:shd w:val="clear" w:color="auto" w:fill="E1D0D6"/>
          </w:tcPr>
          <w:p>
            <w:pPr>
              <w:ind w:left="60"/>
              <w:spacing w:after="0"/>
              <w:rPr>
                <w:sz w:val="20"/>
                <w:szCs w:val="20"/>
                <w:color w:val="auto"/>
              </w:rPr>
            </w:pPr>
            <w:r>
              <w:rPr>
                <w:rFonts w:ascii="Arial" w:cs="Arial" w:eastAsia="Arial" w:hAnsi="Arial"/>
                <w:sz w:val="17"/>
                <w:szCs w:val="17"/>
                <w:color w:val="auto"/>
              </w:rPr>
              <w:t>Craig S. Billings (1)</w:t>
            </w:r>
          </w:p>
        </w:tc>
        <w:tc>
          <w:tcPr>
            <w:tcW w:w="400" w:type="dxa"/>
            <w:vAlign w:val="bottom"/>
            <w:tcBorders>
              <w:bottom w:val="single" w:sz="8" w:color="E1D0D6"/>
            </w:tcBorders>
            <w:shd w:val="clear" w:color="auto" w:fill="E1D0D6"/>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E1D0D6"/>
              <w:right w:val="single" w:sz="8" w:color="E2EDED"/>
            </w:tcBorders>
            <w:shd w:val="clear" w:color="auto" w:fill="E1D0D6"/>
          </w:tcPr>
          <w:p>
            <w:pPr>
              <w:jc w:val="right"/>
              <w:ind w:right="238"/>
              <w:spacing w:after="0"/>
              <w:rPr>
                <w:sz w:val="20"/>
                <w:szCs w:val="20"/>
                <w:color w:val="auto"/>
              </w:rPr>
            </w:pPr>
            <w:r>
              <w:rPr>
                <w:rFonts w:ascii="Arial" w:cs="Arial" w:eastAsia="Arial" w:hAnsi="Arial"/>
                <w:sz w:val="17"/>
                <w:szCs w:val="17"/>
                <w:color w:val="auto"/>
              </w:rPr>
              <w:t>1,752,115</w:t>
            </w:r>
          </w:p>
        </w:tc>
        <w:tc>
          <w:tcPr>
            <w:tcW w:w="500" w:type="dxa"/>
            <w:vAlign w:val="bottom"/>
            <w:tcBorders>
              <w:bottom w:val="single" w:sz="8" w:color="E1D0D6"/>
            </w:tcBorders>
            <w:shd w:val="clear" w:color="auto" w:fill="E1D0D6"/>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E1D0D6"/>
            </w:tcBorders>
            <w:shd w:val="clear" w:color="auto" w:fill="E1D0D6"/>
          </w:tcPr>
          <w:p>
            <w:pPr>
              <w:jc w:val="right"/>
              <w:ind w:right="440"/>
              <w:spacing w:after="0"/>
              <w:rPr>
                <w:sz w:val="20"/>
                <w:szCs w:val="20"/>
                <w:color w:val="auto"/>
              </w:rPr>
            </w:pPr>
            <w:r>
              <w:rPr>
                <w:rFonts w:ascii="Arial" w:cs="Arial" w:eastAsia="Arial" w:hAnsi="Arial"/>
                <w:sz w:val="17"/>
                <w:szCs w:val="17"/>
                <w:color w:val="auto"/>
              </w:rPr>
              <w:t>1,140,000</w:t>
            </w:r>
          </w:p>
        </w:tc>
        <w:tc>
          <w:tcPr>
            <w:tcW w:w="0" w:type="dxa"/>
            <w:vAlign w:val="bottom"/>
          </w:tcPr>
          <w:p>
            <w:pPr>
              <w:spacing w:after="0"/>
              <w:rPr>
                <w:sz w:val="1"/>
                <w:szCs w:val="1"/>
                <w:color w:val="auto"/>
              </w:rPr>
            </w:pPr>
          </w:p>
        </w:tc>
      </w:tr>
      <w:tr>
        <w:trPr>
          <w:trHeight w:val="247"/>
        </w:trPr>
        <w:tc>
          <w:tcPr>
            <w:tcW w:w="7320" w:type="dxa"/>
            <w:vAlign w:val="bottom"/>
            <w:tcBorders>
              <w:right w:val="single" w:sz="8" w:color="E2EDED"/>
            </w:tcBorders>
          </w:tcPr>
          <w:p>
            <w:pPr>
              <w:ind w:left="60"/>
              <w:spacing w:after="0"/>
              <w:rPr>
                <w:sz w:val="20"/>
                <w:szCs w:val="20"/>
                <w:color w:val="auto"/>
              </w:rPr>
            </w:pPr>
            <w:r>
              <w:rPr>
                <w:rFonts w:ascii="Arial" w:cs="Arial" w:eastAsia="Arial" w:hAnsi="Arial"/>
                <w:sz w:val="17"/>
                <w:szCs w:val="17"/>
                <w:color w:val="auto"/>
              </w:rPr>
              <w:t>Julie M. Cameron-Doe (2)</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E2EDED"/>
            </w:tcBorders>
          </w:tcPr>
          <w:p>
            <w:pPr>
              <w:jc w:val="right"/>
              <w:ind w:right="238"/>
              <w:spacing w:after="0"/>
              <w:rPr>
                <w:sz w:val="20"/>
                <w:szCs w:val="20"/>
                <w:color w:val="auto"/>
              </w:rPr>
            </w:pPr>
            <w:r>
              <w:rPr>
                <w:rFonts w:ascii="Arial" w:cs="Arial" w:eastAsia="Arial" w:hAnsi="Arial"/>
                <w:sz w:val="17"/>
                <w:szCs w:val="17"/>
                <w:color w:val="auto"/>
              </w:rPr>
              <w:t>628,846</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4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320" w:type="dxa"/>
            <w:vAlign w:val="bottom"/>
            <w:tcBorders>
              <w:right w:val="single" w:sz="8" w:color="E2EDED"/>
            </w:tcBorders>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Borders>
              <w:right w:val="single" w:sz="8" w:color="E2EDED"/>
            </w:tcBorders>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7320" w:type="dxa"/>
            <w:vAlign w:val="bottom"/>
            <w:tcBorders>
              <w:right w:val="single" w:sz="8" w:color="E2EDED"/>
            </w:tcBorders>
            <w:shd w:val="clear" w:color="auto" w:fill="E1D0D6"/>
          </w:tcPr>
          <w:p>
            <w:pPr>
              <w:ind w:left="60"/>
              <w:spacing w:after="0"/>
              <w:rPr>
                <w:sz w:val="20"/>
                <w:szCs w:val="20"/>
                <w:color w:val="auto"/>
              </w:rPr>
            </w:pPr>
            <w:r>
              <w:rPr>
                <w:rFonts w:ascii="Arial" w:cs="Arial" w:eastAsia="Arial" w:hAnsi="Arial"/>
                <w:sz w:val="17"/>
                <w:szCs w:val="17"/>
                <w:color w:val="auto"/>
              </w:rPr>
              <w:t>Ellen F. Whittemore (3)</w:t>
            </w:r>
          </w:p>
        </w:tc>
        <w:tc>
          <w:tcPr>
            <w:tcW w:w="400" w:type="dxa"/>
            <w:vAlign w:val="bottom"/>
            <w:shd w:val="clear" w:color="auto" w:fill="E1D0D6"/>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E2EDED"/>
            </w:tcBorders>
            <w:shd w:val="clear" w:color="auto" w:fill="E1D0D6"/>
          </w:tcPr>
          <w:p>
            <w:pPr>
              <w:jc w:val="right"/>
              <w:ind w:right="238"/>
              <w:spacing w:after="0"/>
              <w:rPr>
                <w:sz w:val="20"/>
                <w:szCs w:val="20"/>
                <w:color w:val="auto"/>
              </w:rPr>
            </w:pPr>
            <w:r>
              <w:rPr>
                <w:rFonts w:ascii="Arial" w:cs="Arial" w:eastAsia="Arial" w:hAnsi="Arial"/>
                <w:sz w:val="17"/>
                <w:szCs w:val="17"/>
                <w:color w:val="auto"/>
              </w:rPr>
              <w:t>896,538</w:t>
            </w:r>
          </w:p>
        </w:tc>
        <w:tc>
          <w:tcPr>
            <w:tcW w:w="500" w:type="dxa"/>
            <w:vAlign w:val="bottom"/>
            <w:shd w:val="clear" w:color="auto" w:fill="E1D0D6"/>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E1D0D6"/>
          </w:tcPr>
          <w:p>
            <w:pPr>
              <w:jc w:val="right"/>
              <w:ind w:right="440"/>
              <w:spacing w:after="0"/>
              <w:rPr>
                <w:sz w:val="20"/>
                <w:szCs w:val="20"/>
                <w:color w:val="auto"/>
              </w:rPr>
            </w:pPr>
            <w:r>
              <w:rPr>
                <w:rFonts w:ascii="Arial" w:cs="Arial" w:eastAsia="Arial" w:hAnsi="Arial"/>
                <w:sz w:val="17"/>
                <w:szCs w:val="17"/>
                <w:color w:val="auto"/>
              </w:rPr>
              <w:t>700,000</w:t>
            </w:r>
          </w:p>
        </w:tc>
        <w:tc>
          <w:tcPr>
            <w:tcW w:w="0" w:type="dxa"/>
            <w:vAlign w:val="bottom"/>
          </w:tcPr>
          <w:p>
            <w:pPr>
              <w:spacing w:after="0"/>
              <w:rPr>
                <w:sz w:val="1"/>
                <w:szCs w:val="1"/>
                <w:color w:val="auto"/>
              </w:rPr>
            </w:pPr>
          </w:p>
        </w:tc>
      </w:tr>
      <w:tr>
        <w:trPr>
          <w:trHeight w:val="26"/>
        </w:trPr>
        <w:tc>
          <w:tcPr>
            <w:tcW w:w="7320" w:type="dxa"/>
            <w:vAlign w:val="bottom"/>
            <w:tcBorders>
              <w:right w:val="single" w:sz="8" w:color="E2EDED"/>
            </w:tcBorders>
            <w:shd w:val="clear" w:color="auto" w:fill="E1D0D6"/>
          </w:tcPr>
          <w:p>
            <w:pPr>
              <w:spacing w:after="0"/>
              <w:rPr>
                <w:sz w:val="2"/>
                <w:szCs w:val="2"/>
                <w:color w:val="auto"/>
              </w:rPr>
            </w:pPr>
          </w:p>
        </w:tc>
        <w:tc>
          <w:tcPr>
            <w:tcW w:w="400" w:type="dxa"/>
            <w:vAlign w:val="bottom"/>
            <w:shd w:val="clear" w:color="auto" w:fill="E1D0D6"/>
          </w:tcPr>
          <w:p>
            <w:pPr>
              <w:spacing w:after="0"/>
              <w:rPr>
                <w:sz w:val="2"/>
                <w:szCs w:val="2"/>
                <w:color w:val="auto"/>
              </w:rPr>
            </w:pPr>
          </w:p>
        </w:tc>
        <w:tc>
          <w:tcPr>
            <w:tcW w:w="1100" w:type="dxa"/>
            <w:vAlign w:val="bottom"/>
            <w:tcBorders>
              <w:right w:val="single" w:sz="8" w:color="E2EDED"/>
            </w:tcBorders>
            <w:shd w:val="clear" w:color="auto" w:fill="E1D0D6"/>
          </w:tcPr>
          <w:p>
            <w:pPr>
              <w:spacing w:after="0"/>
              <w:rPr>
                <w:sz w:val="2"/>
                <w:szCs w:val="2"/>
                <w:color w:val="auto"/>
              </w:rPr>
            </w:pPr>
          </w:p>
        </w:tc>
        <w:tc>
          <w:tcPr>
            <w:tcW w:w="500" w:type="dxa"/>
            <w:vAlign w:val="bottom"/>
            <w:shd w:val="clear" w:color="auto" w:fill="E1D0D6"/>
          </w:tcPr>
          <w:p>
            <w:pPr>
              <w:spacing w:after="0"/>
              <w:rPr>
                <w:sz w:val="2"/>
                <w:szCs w:val="2"/>
                <w:color w:val="auto"/>
              </w:rPr>
            </w:pPr>
          </w:p>
        </w:tc>
        <w:tc>
          <w:tcPr>
            <w:tcW w:w="1300" w:type="dxa"/>
            <w:vAlign w:val="bottom"/>
            <w:shd w:val="clear" w:color="auto" w:fill="E1D0D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184"/>
        <w:spacing w:after="0"/>
        <w:tabs>
          <w:tab w:leader="none" w:pos="5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Mr. Billings’ base salary was increased to $1.8 million, effective February 1, 2022, in connection with his promotion to Chief Executive Officer.</w:t>
      </w:r>
    </w:p>
    <w:p>
      <w:pPr>
        <w:spacing w:after="0" w:line="96" w:lineRule="exact"/>
        <w:rPr>
          <w:rFonts w:ascii="Arial" w:cs="Arial" w:eastAsia="Arial" w:hAnsi="Arial"/>
          <w:sz w:val="12"/>
          <w:szCs w:val="12"/>
          <w:color w:val="auto"/>
        </w:rPr>
      </w:pPr>
    </w:p>
    <w:p>
      <w:pPr>
        <w:ind w:left="500" w:hanging="184"/>
        <w:spacing w:after="0"/>
        <w:tabs>
          <w:tab w:leader="none" w:pos="5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Ms. Cameron-Doe joined the Company on April 18, 2022 with a base salary of $900,000.</w:t>
      </w:r>
    </w:p>
    <w:p>
      <w:pPr>
        <w:spacing w:after="0" w:line="96" w:lineRule="exact"/>
        <w:rPr>
          <w:rFonts w:ascii="Arial" w:cs="Arial" w:eastAsia="Arial" w:hAnsi="Arial"/>
          <w:sz w:val="12"/>
          <w:szCs w:val="12"/>
          <w:color w:val="auto"/>
        </w:rPr>
      </w:pPr>
    </w:p>
    <w:p>
      <w:pPr>
        <w:ind w:left="500" w:hanging="184"/>
        <w:spacing w:after="0"/>
        <w:tabs>
          <w:tab w:leader="none" w:pos="5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Ms. Whittemore’s base salary was increased to $900,000 effective with the signing of an amendment to her employment contract entered into on January 12, 2022.</w:t>
      </w:r>
    </w:p>
    <w:p>
      <w:pPr>
        <w:spacing w:after="0" w:line="179" w:lineRule="exact"/>
        <w:rPr>
          <w:sz w:val="20"/>
          <w:szCs w:val="20"/>
          <w:color w:val="auto"/>
        </w:rPr>
      </w:pPr>
    </w:p>
    <w:p>
      <w:pPr>
        <w:ind w:left="320" w:right="540"/>
        <w:spacing w:after="0" w:line="256" w:lineRule="auto"/>
        <w:rPr>
          <w:sz w:val="20"/>
          <w:szCs w:val="20"/>
          <w:color w:val="auto"/>
        </w:rPr>
      </w:pPr>
      <w:r>
        <w:rPr>
          <w:rFonts w:ascii="Arial" w:cs="Arial" w:eastAsia="Arial" w:hAnsi="Arial"/>
          <w:sz w:val="17"/>
          <w:szCs w:val="17"/>
          <w:color w:val="6A1834"/>
        </w:rPr>
        <w:t xml:space="preserve">Annual Incentives: </w:t>
      </w:r>
      <w:r>
        <w:rPr>
          <w:rFonts w:ascii="Arial" w:cs="Arial" w:eastAsia="Arial" w:hAnsi="Arial"/>
          <w:sz w:val="17"/>
          <w:szCs w:val="17"/>
          <w:color w:val="000000"/>
        </w:rPr>
        <w:t>The Compensation Committee selected the following performance goals for our 2022 annual incentive awards to</w:t>
      </w:r>
      <w:r>
        <w:rPr>
          <w:rFonts w:ascii="Arial" w:cs="Arial" w:eastAsia="Arial" w:hAnsi="Arial"/>
          <w:sz w:val="17"/>
          <w:szCs w:val="17"/>
          <w:color w:val="6A1834"/>
        </w:rPr>
        <w:t xml:space="preserve"> </w:t>
      </w:r>
      <w:r>
        <w:rPr>
          <w:rFonts w:ascii="Arial" w:cs="Arial" w:eastAsia="Arial" w:hAnsi="Arial"/>
          <w:sz w:val="17"/>
          <w:szCs w:val="17"/>
          <w:color w:val="000000"/>
        </w:rPr>
        <w:t>incentivize management to drive shareholder value through short-term operational and strategic measures:</w:t>
      </w:r>
    </w:p>
    <w:p>
      <w:pPr>
        <w:spacing w:after="0" w:line="181" w:lineRule="exact"/>
        <w:rPr>
          <w:sz w:val="20"/>
          <w:szCs w:val="20"/>
          <w:color w:val="auto"/>
        </w:rPr>
      </w:pPr>
    </w:p>
    <w:p>
      <w:pPr>
        <w:ind w:left="1160" w:right="160" w:hanging="845"/>
        <w:spacing w:after="0" w:line="245" w:lineRule="auto"/>
        <w:tabs>
          <w:tab w:leader="none" w:pos="1140" w:val="left"/>
        </w:tabs>
        <w:rPr>
          <w:sz w:val="20"/>
          <w:szCs w:val="20"/>
          <w:color w:val="auto"/>
        </w:rPr>
      </w:pPr>
      <w:r>
        <w:rPr>
          <w:rFonts w:ascii="Arial" w:cs="Arial" w:eastAsia="Arial" w:hAnsi="Arial"/>
          <w:sz w:val="17"/>
          <w:szCs w:val="17"/>
          <w:color w:val="6A1834"/>
        </w:rPr>
        <w:t>Goal 1 –</w:t>
        <w:tab/>
        <w:t xml:space="preserve">Encore Boston Harbor, 2022 Adjusted Property EBITDAR (weighted 15%): </w:t>
      </w:r>
      <w:r>
        <w:rPr>
          <w:rFonts w:ascii="Arial" w:cs="Arial" w:eastAsia="Arial" w:hAnsi="Arial"/>
          <w:sz w:val="17"/>
          <w:szCs w:val="17"/>
          <w:color w:val="000000"/>
        </w:rPr>
        <w:t>Adjusted Property EBITDAR is an important</w:t>
      </w:r>
      <w:r>
        <w:rPr>
          <w:rFonts w:ascii="Arial" w:cs="Arial" w:eastAsia="Arial" w:hAnsi="Arial"/>
          <w:sz w:val="17"/>
          <w:szCs w:val="17"/>
          <w:color w:val="6A1834"/>
        </w:rPr>
        <w:t xml:space="preserve"> </w:t>
      </w:r>
      <w:r>
        <w:rPr>
          <w:rFonts w:ascii="Arial" w:cs="Arial" w:eastAsia="Arial" w:hAnsi="Arial"/>
          <w:sz w:val="17"/>
          <w:szCs w:val="17"/>
          <w:color w:val="000000"/>
        </w:rPr>
        <w:t>measure of a property’s performance within its respective market, a key driver of return on equity and essential element to the valuation of our Company and our stock price. Target achievement of this goal for 2022 required Adjusted Property EBITDAR to reach a new all-time record of $225 million, a 7% increase over the prior all-time record achieved in 2021.</w:t>
      </w:r>
    </w:p>
    <w:p>
      <w:pPr>
        <w:spacing w:after="0" w:line="191" w:lineRule="exact"/>
        <w:rPr>
          <w:sz w:val="20"/>
          <w:szCs w:val="20"/>
          <w:color w:val="auto"/>
        </w:rPr>
      </w:pPr>
    </w:p>
    <w:p>
      <w:pPr>
        <w:ind w:left="1160" w:right="140" w:hanging="845"/>
        <w:spacing w:after="0" w:line="245" w:lineRule="auto"/>
        <w:tabs>
          <w:tab w:leader="none" w:pos="1140" w:val="left"/>
        </w:tabs>
        <w:rPr>
          <w:sz w:val="20"/>
          <w:szCs w:val="20"/>
          <w:color w:val="auto"/>
        </w:rPr>
      </w:pPr>
      <w:r>
        <w:rPr>
          <w:rFonts w:ascii="Arial" w:cs="Arial" w:eastAsia="Arial" w:hAnsi="Arial"/>
          <w:sz w:val="17"/>
          <w:szCs w:val="17"/>
          <w:color w:val="6A1834"/>
        </w:rPr>
        <w:t>Goal 2 –</w:t>
        <w:tab/>
        <w:t xml:space="preserve">Wynn Las Vegas, 2022 Adjusted Property EBITDAR (weighted 20%): </w:t>
      </w:r>
      <w:r>
        <w:rPr>
          <w:rFonts w:ascii="Arial" w:cs="Arial" w:eastAsia="Arial" w:hAnsi="Arial"/>
          <w:sz w:val="17"/>
          <w:szCs w:val="17"/>
          <w:color w:val="000000"/>
        </w:rPr>
        <w:t>Adjusted Property EBITDAR is an important measure of</w:t>
      </w:r>
      <w:r>
        <w:rPr>
          <w:rFonts w:ascii="Arial" w:cs="Arial" w:eastAsia="Arial" w:hAnsi="Arial"/>
          <w:sz w:val="17"/>
          <w:szCs w:val="17"/>
          <w:color w:val="6A1834"/>
        </w:rPr>
        <w:t xml:space="preserve"> </w:t>
      </w:r>
      <w:r>
        <w:rPr>
          <w:rFonts w:ascii="Arial" w:cs="Arial" w:eastAsia="Arial" w:hAnsi="Arial"/>
          <w:sz w:val="17"/>
          <w:szCs w:val="17"/>
          <w:color w:val="000000"/>
        </w:rPr>
        <w:t>a property’s performance within its market, a key driver of return on equity and essential element to the valuation of our Company and our stock price. Achievement of this goal for 2022 required Adjusted Property EBITDAR to reach an all-time record of $625 million, an 18% increase over the prior all-time record achieved in 2021.</w:t>
      </w:r>
    </w:p>
    <w:p>
      <w:pPr>
        <w:spacing w:after="0" w:line="191" w:lineRule="exact"/>
        <w:rPr>
          <w:sz w:val="20"/>
          <w:szCs w:val="20"/>
          <w:color w:val="auto"/>
        </w:rPr>
      </w:pPr>
    </w:p>
    <w:p>
      <w:pPr>
        <w:ind w:left="1160" w:right="100" w:hanging="845"/>
        <w:spacing w:after="0" w:line="245" w:lineRule="auto"/>
        <w:tabs>
          <w:tab w:leader="none" w:pos="1140" w:val="left"/>
        </w:tabs>
        <w:rPr>
          <w:sz w:val="20"/>
          <w:szCs w:val="20"/>
          <w:color w:val="auto"/>
        </w:rPr>
      </w:pPr>
      <w:r>
        <w:rPr>
          <w:rFonts w:ascii="Arial" w:cs="Arial" w:eastAsia="Arial" w:hAnsi="Arial"/>
          <w:sz w:val="17"/>
          <w:szCs w:val="17"/>
          <w:color w:val="6A1834"/>
        </w:rPr>
        <w:t>Goal 3 –</w:t>
        <w:tab/>
        <w:t xml:space="preserve">Wynn Las Vegas, Market Share of Gross Gaming Revenues (weighted 10%): </w:t>
      </w:r>
      <w:r>
        <w:rPr>
          <w:rFonts w:ascii="Arial" w:cs="Arial" w:eastAsia="Arial" w:hAnsi="Arial"/>
          <w:sz w:val="17"/>
          <w:szCs w:val="17"/>
          <w:color w:val="000000"/>
        </w:rPr>
        <w:t>Coming off an all-time record in Adjusted</w:t>
      </w:r>
      <w:r>
        <w:rPr>
          <w:rFonts w:ascii="Arial" w:cs="Arial" w:eastAsia="Arial" w:hAnsi="Arial"/>
          <w:sz w:val="17"/>
          <w:szCs w:val="17"/>
          <w:color w:val="6A1834"/>
        </w:rPr>
        <w:t xml:space="preserve"> </w:t>
      </w:r>
      <w:r>
        <w:rPr>
          <w:rFonts w:ascii="Arial" w:cs="Arial" w:eastAsia="Arial" w:hAnsi="Arial"/>
          <w:sz w:val="17"/>
          <w:szCs w:val="17"/>
          <w:color w:val="000000"/>
        </w:rPr>
        <w:t>Property EBITDAR in 2021, the Compensation Committee set a target gross gaming revenue market share goal for 2022 of 11.25% to incentivize the Company to maintain a strong market share of the Las Vegas Strip gaming market during a period of robust recovery in the Las Vegas market.</w:t>
      </w:r>
    </w:p>
    <w:p>
      <w:pPr>
        <w:spacing w:after="0" w:line="191" w:lineRule="exact"/>
        <w:rPr>
          <w:sz w:val="20"/>
          <w:szCs w:val="20"/>
          <w:color w:val="auto"/>
        </w:rPr>
      </w:pPr>
    </w:p>
    <w:p>
      <w:pPr>
        <w:ind w:left="1160" w:right="100" w:hanging="845"/>
        <w:spacing w:after="0" w:line="243" w:lineRule="auto"/>
        <w:tabs>
          <w:tab w:leader="none" w:pos="1140" w:val="left"/>
        </w:tabs>
        <w:rPr>
          <w:sz w:val="20"/>
          <w:szCs w:val="20"/>
          <w:color w:val="auto"/>
        </w:rPr>
      </w:pPr>
      <w:r>
        <w:rPr>
          <w:rFonts w:ascii="Arial" w:cs="Arial" w:eastAsia="Arial" w:hAnsi="Arial"/>
          <w:sz w:val="17"/>
          <w:szCs w:val="17"/>
          <w:color w:val="6A1834"/>
        </w:rPr>
        <w:t>Goal 4 –</w:t>
        <w:tab/>
        <w:t xml:space="preserve">Macau Operations, Market Share of Gross Gaming Revenues (weighted 25%): </w:t>
      </w:r>
      <w:r>
        <w:rPr>
          <w:rFonts w:ascii="Arial" w:cs="Arial" w:eastAsia="Arial" w:hAnsi="Arial"/>
          <w:sz w:val="17"/>
          <w:szCs w:val="17"/>
          <w:color w:val="000000"/>
        </w:rPr>
        <w:t>Visitation volumes remained unpredictable and</w:t>
      </w:r>
      <w:r>
        <w:rPr>
          <w:rFonts w:ascii="Arial" w:cs="Arial" w:eastAsia="Arial" w:hAnsi="Arial"/>
          <w:sz w:val="17"/>
          <w:szCs w:val="17"/>
          <w:color w:val="6A1834"/>
        </w:rPr>
        <w:t xml:space="preserve"> </w:t>
      </w:r>
      <w:r>
        <w:rPr>
          <w:rFonts w:ascii="Arial" w:cs="Arial" w:eastAsia="Arial" w:hAnsi="Arial"/>
          <w:sz w:val="17"/>
          <w:szCs w:val="17"/>
          <w:color w:val="000000"/>
        </w:rPr>
        <w:t>suppressed due to strict pandemic-related travel restrictions to and from Macau which led to uncertainty in our Macau Operations’ financial performance in 2022. As such, the Compensation Committee established a target market share goal with respect to gross gaming revenues of 14.00% for its Macau operations. Because of the uncertainty around the Company’s specific financial performance, no Adjusted Property EBITDAR goal was established for our Macau Operations in 2022.</w:t>
      </w:r>
    </w:p>
    <w:p>
      <w:pPr>
        <w:spacing w:after="0" w:line="194" w:lineRule="exact"/>
        <w:rPr>
          <w:sz w:val="20"/>
          <w:szCs w:val="20"/>
          <w:color w:val="auto"/>
        </w:rPr>
      </w:pPr>
    </w:p>
    <w:p>
      <w:pPr>
        <w:ind w:left="1160" w:right="60" w:hanging="845"/>
        <w:spacing w:after="0" w:line="245" w:lineRule="auto"/>
        <w:tabs>
          <w:tab w:leader="none" w:pos="1140" w:val="left"/>
        </w:tabs>
        <w:rPr>
          <w:sz w:val="20"/>
          <w:szCs w:val="20"/>
          <w:color w:val="auto"/>
        </w:rPr>
      </w:pPr>
      <w:r>
        <w:rPr>
          <w:rFonts w:ascii="Arial" w:cs="Arial" w:eastAsia="Arial" w:hAnsi="Arial"/>
          <w:sz w:val="17"/>
          <w:szCs w:val="17"/>
          <w:color w:val="6A1834"/>
        </w:rPr>
        <w:t>Goal 5 –</w:t>
        <w:tab/>
        <w:t xml:space="preserve">Wynn Las Vegas, Achievement of Forbes Five-Star (weighted 10%): </w:t>
      </w:r>
      <w:r>
        <w:rPr>
          <w:rFonts w:ascii="Arial" w:cs="Arial" w:eastAsia="Arial" w:hAnsi="Arial"/>
          <w:sz w:val="17"/>
          <w:szCs w:val="17"/>
          <w:color w:val="000000"/>
        </w:rPr>
        <w:t>Our Company is laser-focused on providing superior</w:t>
      </w:r>
      <w:r>
        <w:rPr>
          <w:rFonts w:ascii="Arial" w:cs="Arial" w:eastAsia="Arial" w:hAnsi="Arial"/>
          <w:sz w:val="17"/>
          <w:szCs w:val="17"/>
          <w:color w:val="6A1834"/>
        </w:rPr>
        <w:t xml:space="preserve"> </w:t>
      </w:r>
      <w:r>
        <w:rPr>
          <w:rFonts w:ascii="Arial" w:cs="Arial" w:eastAsia="Arial" w:hAnsi="Arial"/>
          <w:sz w:val="17"/>
          <w:szCs w:val="17"/>
          <w:color w:val="000000"/>
        </w:rPr>
        <w:t>service to our guests. Achieving a Forbes Travel Guide Five-Star ranking requires near impeccable quality throughout the year. The Compensation Committee set the achievement of a Forbes Five-Star rating for Wynn Las Vegas to ensure management maintained our superior standards during a period of rapid recovery in Las Vegas.</w:t>
      </w:r>
    </w:p>
    <w:p>
      <w:pPr>
        <w:spacing w:after="0" w:line="191" w:lineRule="exact"/>
        <w:rPr>
          <w:sz w:val="20"/>
          <w:szCs w:val="20"/>
          <w:color w:val="auto"/>
        </w:rPr>
      </w:pPr>
    </w:p>
    <w:p>
      <w:pPr>
        <w:ind w:left="1160" w:right="40" w:hanging="845"/>
        <w:spacing w:after="0" w:line="243" w:lineRule="auto"/>
        <w:tabs>
          <w:tab w:leader="none" w:pos="1140" w:val="left"/>
        </w:tabs>
        <w:rPr>
          <w:sz w:val="20"/>
          <w:szCs w:val="20"/>
          <w:color w:val="auto"/>
        </w:rPr>
      </w:pPr>
      <w:r>
        <w:rPr>
          <w:rFonts w:ascii="Arial" w:cs="Arial" w:eastAsia="Arial" w:hAnsi="Arial"/>
          <w:sz w:val="17"/>
          <w:szCs w:val="17"/>
          <w:color w:val="6A1834"/>
        </w:rPr>
        <w:t>Goal 6 –</w:t>
        <w:tab/>
        <w:t xml:space="preserve">Macau Operations, Successful Concession Renewal (weighted 15%): </w:t>
      </w:r>
      <w:r>
        <w:rPr>
          <w:rFonts w:ascii="Arial" w:cs="Arial" w:eastAsia="Arial" w:hAnsi="Arial"/>
          <w:sz w:val="17"/>
          <w:szCs w:val="17"/>
          <w:color w:val="000000"/>
        </w:rPr>
        <w:t>With our first 20-year gaming concession in Macau set to</w:t>
      </w:r>
      <w:r>
        <w:rPr>
          <w:rFonts w:ascii="Arial" w:cs="Arial" w:eastAsia="Arial" w:hAnsi="Arial"/>
          <w:sz w:val="17"/>
          <w:szCs w:val="17"/>
          <w:color w:val="6A1834"/>
        </w:rPr>
        <w:t xml:space="preserve"> </w:t>
      </w:r>
      <w:r>
        <w:rPr>
          <w:rFonts w:ascii="Arial" w:cs="Arial" w:eastAsia="Arial" w:hAnsi="Arial"/>
          <w:sz w:val="17"/>
          <w:szCs w:val="17"/>
          <w:color w:val="000000"/>
        </w:rPr>
        <w:t>expire in June 2022, the successful renewal of this key gaming license through a competitive tender process was an important strategic focus for us. The renewal of this license would allow the Company to continue its casino operations in the world’s largest gaming market (pre-COVID) and generate strong long-term returns for shareholders.</w:t>
      </w:r>
    </w:p>
    <w:p>
      <w:pPr>
        <w:spacing w:after="0" w:line="3"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34 //</w:t>
      </w:r>
    </w:p>
    <w:p>
      <w:pPr>
        <w:sectPr>
          <w:pgSz w:w="11900" w:h="16838" w:orient="portrait"/>
          <w:cols w:equalWidth="0" w:num="1">
            <w:col w:w="10940"/>
          </w:cols>
          <w:pgMar w:left="320" w:top="473" w:right="6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60" w:right="80" w:hanging="845"/>
        <w:spacing w:after="0" w:line="242" w:lineRule="auto"/>
        <w:tabs>
          <w:tab w:leader="none" w:pos="1140" w:val="left"/>
        </w:tabs>
        <w:rPr>
          <w:sz w:val="20"/>
          <w:szCs w:val="20"/>
          <w:color w:val="auto"/>
        </w:rPr>
      </w:pPr>
      <w:r>
        <w:rPr>
          <w:rFonts w:ascii="Arial" w:cs="Arial" w:eastAsia="Arial" w:hAnsi="Arial"/>
          <w:sz w:val="17"/>
          <w:szCs w:val="17"/>
          <w:color w:val="6A1834"/>
        </w:rPr>
        <w:t>Goal 7 –</w:t>
        <w:tab/>
        <w:t xml:space="preserve">Wynn Resorts Development, Advancement of Design &amp; Development of Wynn UAE Project (weighted 5%): </w:t>
      </w:r>
      <w:r>
        <w:rPr>
          <w:rFonts w:ascii="Arial" w:cs="Arial" w:eastAsia="Arial" w:hAnsi="Arial"/>
          <w:sz w:val="17"/>
          <w:szCs w:val="17"/>
          <w:color w:val="000000"/>
        </w:rPr>
        <w:t>The Company’s</w:t>
      </w:r>
      <w:r>
        <w:rPr>
          <w:rFonts w:ascii="Arial" w:cs="Arial" w:eastAsia="Arial" w:hAnsi="Arial"/>
          <w:sz w:val="17"/>
          <w:szCs w:val="17"/>
          <w:color w:val="6A1834"/>
        </w:rPr>
        <w:t xml:space="preserve"> </w:t>
      </w:r>
      <w:r>
        <w:rPr>
          <w:rFonts w:ascii="Arial" w:cs="Arial" w:eastAsia="Arial" w:hAnsi="Arial"/>
          <w:sz w:val="17"/>
          <w:szCs w:val="17"/>
          <w:color w:val="000000"/>
        </w:rPr>
        <w:t>ability to develop new “greenfield” integrated resorts and cultivate new gaming markets is instrumental to the creation of long-term shareholder value. The Committee sought to incentivize management to focus on advancing the design and development of an integrated casino resort in the United Arab Emirates. The Committee expects the successful development of a casino resort in this region will further diversify the Company’s property portfolio, extend the Wynn brand internationally, and drive strong long-term returns for shareholders.</w:t>
      </w:r>
    </w:p>
    <w:p>
      <w:pPr>
        <w:spacing w:after="0" w:line="170" w:lineRule="exact"/>
        <w:rPr>
          <w:sz w:val="20"/>
          <w:szCs w:val="20"/>
          <w:color w:val="auto"/>
        </w:rPr>
      </w:pPr>
    </w:p>
    <w:p>
      <w:pPr>
        <w:ind w:left="320" w:right="60"/>
        <w:spacing w:after="0" w:line="245" w:lineRule="auto"/>
        <w:rPr>
          <w:sz w:val="20"/>
          <w:szCs w:val="20"/>
          <w:color w:val="auto"/>
        </w:rPr>
      </w:pPr>
      <w:r>
        <w:rPr>
          <w:rFonts w:ascii="Arial" w:cs="Arial" w:eastAsia="Arial" w:hAnsi="Arial"/>
          <w:sz w:val="17"/>
          <w:szCs w:val="17"/>
          <w:color w:val="auto"/>
        </w:rPr>
        <w:t>These awards were subject to (i) the limitations set forth in the Omnibus Plan, including the cash and stock grant limits and requirement of continued employment through the end of the calendar year performance period, and (ii) the Compensation Committee’s right, in its discretion, to reduce actual bonus amounts paid, taking into account other performance considerations, including corporate, property level and individual performance, as well as general macroeconomic conditions.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auto"/>
        </w:rPr>
        <w:t>2022 Annual incentive payout:</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reflects our performance against each of the 2022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6470650</wp:posOffset>
            </wp:positionH>
            <wp:positionV relativeFrom="paragraph">
              <wp:posOffset>223520</wp:posOffset>
            </wp:positionV>
            <wp:extent cx="825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5644515</wp:posOffset>
            </wp:positionH>
            <wp:positionV relativeFrom="paragraph">
              <wp:posOffset>223520</wp:posOffset>
            </wp:positionV>
            <wp:extent cx="825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4834890</wp:posOffset>
            </wp:positionH>
            <wp:positionV relativeFrom="paragraph">
              <wp:posOffset>223520</wp:posOffset>
            </wp:positionV>
            <wp:extent cx="825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223520</wp:posOffset>
            </wp:positionV>
            <wp:extent cx="825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223520</wp:posOffset>
            </wp:positionV>
            <wp:extent cx="825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223520</wp:posOffset>
            </wp:positionV>
            <wp:extent cx="825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pacing w:after="0" w:line="343" w:lineRule="exact"/>
        <w:rPr>
          <w:sz w:val="20"/>
          <w:szCs w:val="20"/>
          <w:color w:val="auto"/>
        </w:rPr>
      </w:pPr>
    </w:p>
    <w:tbl>
      <w:tblPr>
        <w:tblLayout w:type="fixed"/>
        <w:tblInd w:w="320" w:type="dxa"/>
        <w:tblCellMar>
          <w:top w:w="0" w:type="dxa"/>
          <w:left w:w="0" w:type="dxa"/>
          <w:bottom w:w="0" w:type="dxa"/>
          <w:right w:w="0" w:type="dxa"/>
        </w:tblCellMar>
      </w:tblPr>
      <w:tr>
        <w:trPr>
          <w:trHeight w:val="117"/>
        </w:trPr>
        <w:tc>
          <w:tcPr>
            <w:tcW w:w="600" w:type="dxa"/>
            <w:vAlign w:val="bottom"/>
            <w:vMerge w:val="restart"/>
          </w:tcPr>
          <w:p>
            <w:pPr>
              <w:ind w:left="60"/>
              <w:spacing w:after="0"/>
              <w:rPr>
                <w:sz w:val="20"/>
                <w:szCs w:val="20"/>
                <w:color w:val="auto"/>
              </w:rPr>
            </w:pPr>
            <w:r>
              <w:rPr>
                <w:rFonts w:ascii="Arial" w:cs="Arial" w:eastAsia="Arial" w:hAnsi="Arial"/>
                <w:sz w:val="10"/>
                <w:szCs w:val="10"/>
                <w:b w:val="1"/>
                <w:bCs w:val="1"/>
                <w:color w:val="6A1834"/>
              </w:rPr>
              <w:t>METRIC</w:t>
            </w:r>
          </w:p>
        </w:tc>
        <w:tc>
          <w:tcPr>
            <w:tcW w:w="3320" w:type="dxa"/>
            <w:vAlign w:val="bottom"/>
            <w:tcBorders>
              <w:right w:val="single" w:sz="8" w:color="E2EDED"/>
            </w:tcBorders>
          </w:tcPr>
          <w:p>
            <w:pPr>
              <w:spacing w:after="0"/>
              <w:rPr>
                <w:sz w:val="10"/>
                <w:szCs w:val="10"/>
                <w:color w:val="auto"/>
              </w:rPr>
            </w:pPr>
          </w:p>
        </w:tc>
        <w:tc>
          <w:tcPr>
            <w:tcW w:w="860" w:type="dxa"/>
            <w:vAlign w:val="bottom"/>
            <w:tcBorders>
              <w:right w:val="single" w:sz="8" w:color="E2EDED"/>
            </w:tcBorders>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right w:val="single" w:sz="8" w:color="E2EDED"/>
            </w:tcBorders>
          </w:tcPr>
          <w:p>
            <w:pPr>
              <w:jc w:val="right"/>
              <w:ind w:right="295"/>
              <w:spacing w:after="0"/>
              <w:rPr>
                <w:sz w:val="20"/>
                <w:szCs w:val="20"/>
                <w:color w:val="auto"/>
              </w:rPr>
            </w:pPr>
            <w:r>
              <w:rPr>
                <w:rFonts w:ascii="Arial" w:cs="Arial" w:eastAsia="Arial" w:hAnsi="Arial"/>
                <w:sz w:val="10"/>
                <w:szCs w:val="10"/>
                <w:b w:val="1"/>
                <w:bCs w:val="1"/>
                <w:color w:val="6A1834"/>
              </w:rPr>
              <w:t>THRESHOLD</w:t>
            </w:r>
          </w:p>
        </w:tc>
        <w:tc>
          <w:tcPr>
            <w:tcW w:w="160" w:type="dxa"/>
            <w:vAlign w:val="bottom"/>
          </w:tcPr>
          <w:p>
            <w:pPr>
              <w:spacing w:after="0"/>
              <w:rPr>
                <w:sz w:val="10"/>
                <w:szCs w:val="10"/>
                <w:color w:val="auto"/>
              </w:rPr>
            </w:pPr>
          </w:p>
        </w:tc>
        <w:tc>
          <w:tcPr>
            <w:tcW w:w="1140" w:type="dxa"/>
            <w:vAlign w:val="bottom"/>
            <w:tcBorders>
              <w:right w:val="single" w:sz="8" w:color="E2EDED"/>
            </w:tcBorders>
          </w:tcPr>
          <w:p>
            <w:pPr>
              <w:ind w:left="220"/>
              <w:spacing w:after="0"/>
              <w:rPr>
                <w:sz w:val="20"/>
                <w:szCs w:val="20"/>
                <w:color w:val="auto"/>
              </w:rPr>
            </w:pPr>
            <w:r>
              <w:rPr>
                <w:rFonts w:ascii="Arial" w:cs="Arial" w:eastAsia="Arial" w:hAnsi="Arial"/>
                <w:sz w:val="10"/>
                <w:szCs w:val="10"/>
                <w:b w:val="1"/>
                <w:bCs w:val="1"/>
                <w:color w:val="6A1834"/>
              </w:rPr>
              <w:t>TARGET</w:t>
            </w:r>
          </w:p>
        </w:tc>
        <w:tc>
          <w:tcPr>
            <w:tcW w:w="160" w:type="dxa"/>
            <w:vAlign w:val="bottom"/>
          </w:tcPr>
          <w:p>
            <w:pPr>
              <w:spacing w:after="0"/>
              <w:rPr>
                <w:sz w:val="10"/>
                <w:szCs w:val="10"/>
                <w:color w:val="auto"/>
              </w:rPr>
            </w:pPr>
          </w:p>
        </w:tc>
        <w:tc>
          <w:tcPr>
            <w:tcW w:w="1100" w:type="dxa"/>
            <w:vAlign w:val="bottom"/>
            <w:tcBorders>
              <w:right w:val="single" w:sz="8" w:color="E2EDED"/>
            </w:tcBorders>
          </w:tcPr>
          <w:p>
            <w:pPr>
              <w:jc w:val="right"/>
              <w:ind w:right="355"/>
              <w:spacing w:after="0"/>
              <w:rPr>
                <w:sz w:val="20"/>
                <w:szCs w:val="20"/>
                <w:color w:val="auto"/>
              </w:rPr>
            </w:pPr>
            <w:r>
              <w:rPr>
                <w:rFonts w:ascii="Arial" w:cs="Arial" w:eastAsia="Arial" w:hAnsi="Arial"/>
                <w:sz w:val="10"/>
                <w:szCs w:val="10"/>
                <w:b w:val="1"/>
                <w:bCs w:val="1"/>
                <w:color w:val="6A1834"/>
              </w:rPr>
              <w:t>MAXIMUM</w:t>
            </w:r>
          </w:p>
        </w:tc>
        <w:tc>
          <w:tcPr>
            <w:tcW w:w="180" w:type="dxa"/>
            <w:vAlign w:val="bottom"/>
          </w:tcPr>
          <w:p>
            <w:pPr>
              <w:spacing w:after="0"/>
              <w:rPr>
                <w:sz w:val="10"/>
                <w:szCs w:val="10"/>
                <w:color w:val="auto"/>
              </w:rPr>
            </w:pPr>
          </w:p>
        </w:tc>
        <w:tc>
          <w:tcPr>
            <w:tcW w:w="1120" w:type="dxa"/>
            <w:vAlign w:val="bottom"/>
            <w:tcBorders>
              <w:right w:val="single" w:sz="8" w:color="E2EDED"/>
            </w:tcBorders>
          </w:tcPr>
          <w:p>
            <w:pPr>
              <w:ind w:left="220"/>
              <w:spacing w:after="0"/>
              <w:rPr>
                <w:sz w:val="20"/>
                <w:szCs w:val="20"/>
                <w:color w:val="auto"/>
              </w:rPr>
            </w:pPr>
            <w:r>
              <w:rPr>
                <w:rFonts w:ascii="Arial" w:cs="Arial" w:eastAsia="Arial" w:hAnsi="Arial"/>
                <w:sz w:val="10"/>
                <w:szCs w:val="10"/>
                <w:b w:val="1"/>
                <w:bCs w:val="1"/>
                <w:color w:val="6A1834"/>
              </w:rPr>
              <w:t>ACTUAL</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0" w:type="dxa"/>
            <w:vAlign w:val="bottom"/>
            <w:vMerge w:val="continue"/>
          </w:tcPr>
          <w:p>
            <w:pPr>
              <w:spacing w:after="0"/>
              <w:rPr>
                <w:sz w:val="16"/>
                <w:szCs w:val="16"/>
                <w:color w:val="auto"/>
              </w:rPr>
            </w:pPr>
          </w:p>
        </w:tc>
        <w:tc>
          <w:tcPr>
            <w:tcW w:w="3320" w:type="dxa"/>
            <w:vAlign w:val="bottom"/>
            <w:tcBorders>
              <w:right w:val="single" w:sz="8" w:color="E2EDED"/>
            </w:tcBorders>
          </w:tcPr>
          <w:p>
            <w:pPr>
              <w:spacing w:after="0"/>
              <w:rPr>
                <w:sz w:val="16"/>
                <w:szCs w:val="16"/>
                <w:color w:val="auto"/>
              </w:rPr>
            </w:pPr>
          </w:p>
        </w:tc>
        <w:tc>
          <w:tcPr>
            <w:tcW w:w="860" w:type="dxa"/>
            <w:vAlign w:val="bottom"/>
            <w:tcBorders>
              <w:right w:val="single" w:sz="8" w:color="E2EDED"/>
            </w:tcBorders>
          </w:tcPr>
          <w:p>
            <w:pPr>
              <w:jc w:val="right"/>
              <w:ind w:right="53"/>
              <w:spacing w:after="0"/>
              <w:rPr>
                <w:sz w:val="20"/>
                <w:szCs w:val="20"/>
                <w:color w:val="auto"/>
              </w:rPr>
            </w:pPr>
            <w:r>
              <w:rPr>
                <w:rFonts w:ascii="Arial" w:cs="Arial" w:eastAsia="Arial" w:hAnsi="Arial"/>
                <w:sz w:val="10"/>
                <w:szCs w:val="10"/>
                <w:b w:val="1"/>
                <w:bCs w:val="1"/>
                <w:color w:val="6A1834"/>
              </w:rPr>
              <w:t>WEIGHTING</w:t>
            </w:r>
          </w:p>
        </w:tc>
        <w:tc>
          <w:tcPr>
            <w:tcW w:w="140" w:type="dxa"/>
            <w:vAlign w:val="bottom"/>
          </w:tcPr>
          <w:p>
            <w:pPr>
              <w:spacing w:after="0"/>
              <w:rPr>
                <w:sz w:val="16"/>
                <w:szCs w:val="16"/>
                <w:color w:val="auto"/>
              </w:rPr>
            </w:pPr>
          </w:p>
        </w:tc>
        <w:tc>
          <w:tcPr>
            <w:tcW w:w="1120" w:type="dxa"/>
            <w:vAlign w:val="bottom"/>
            <w:tcBorders>
              <w:right w:val="single" w:sz="8" w:color="E2EDED"/>
            </w:tcBorders>
          </w:tcPr>
          <w:p>
            <w:pPr>
              <w:jc w:val="right"/>
              <w:ind w:right="215"/>
              <w:spacing w:after="0"/>
              <w:rPr>
                <w:sz w:val="20"/>
                <w:szCs w:val="20"/>
                <w:color w:val="auto"/>
              </w:rPr>
            </w:pPr>
            <w:r>
              <w:rPr>
                <w:rFonts w:ascii="Arial" w:cs="Arial" w:eastAsia="Arial" w:hAnsi="Arial"/>
                <w:sz w:val="10"/>
                <w:szCs w:val="10"/>
                <w:b w:val="1"/>
                <w:bCs w:val="1"/>
                <w:color w:val="6A1834"/>
              </w:rPr>
              <w:t>PERFORMANCE</w:t>
            </w:r>
          </w:p>
        </w:tc>
        <w:tc>
          <w:tcPr>
            <w:tcW w:w="160" w:type="dxa"/>
            <w:vAlign w:val="bottom"/>
          </w:tcPr>
          <w:p>
            <w:pPr>
              <w:spacing w:after="0"/>
              <w:rPr>
                <w:sz w:val="16"/>
                <w:szCs w:val="16"/>
                <w:color w:val="auto"/>
              </w:rPr>
            </w:pPr>
          </w:p>
        </w:tc>
        <w:tc>
          <w:tcPr>
            <w:tcW w:w="1140" w:type="dxa"/>
            <w:vAlign w:val="bottom"/>
            <w:tcBorders>
              <w:right w:val="single" w:sz="8" w:color="E2EDED"/>
            </w:tcBorders>
          </w:tcPr>
          <w:p>
            <w:pPr>
              <w:ind w:left="40"/>
              <w:spacing w:after="0"/>
              <w:rPr>
                <w:sz w:val="20"/>
                <w:szCs w:val="20"/>
                <w:color w:val="auto"/>
              </w:rPr>
            </w:pPr>
            <w:r>
              <w:rPr>
                <w:rFonts w:ascii="Arial" w:cs="Arial" w:eastAsia="Arial" w:hAnsi="Arial"/>
                <w:sz w:val="10"/>
                <w:szCs w:val="10"/>
                <w:b w:val="1"/>
                <w:bCs w:val="1"/>
                <w:color w:val="6A1834"/>
              </w:rPr>
              <w:t>PERFORMANCE</w:t>
            </w:r>
          </w:p>
        </w:tc>
        <w:tc>
          <w:tcPr>
            <w:tcW w:w="160" w:type="dxa"/>
            <w:vAlign w:val="bottom"/>
          </w:tcPr>
          <w:p>
            <w:pPr>
              <w:spacing w:after="0"/>
              <w:rPr>
                <w:sz w:val="16"/>
                <w:szCs w:val="16"/>
                <w:color w:val="auto"/>
              </w:rPr>
            </w:pPr>
          </w:p>
        </w:tc>
        <w:tc>
          <w:tcPr>
            <w:tcW w:w="1100" w:type="dxa"/>
            <w:vAlign w:val="bottom"/>
            <w:tcBorders>
              <w:right w:val="single" w:sz="8" w:color="E2EDED"/>
            </w:tcBorders>
          </w:tcPr>
          <w:p>
            <w:pPr>
              <w:jc w:val="right"/>
              <w:ind w:right="195"/>
              <w:spacing w:after="0"/>
              <w:rPr>
                <w:sz w:val="20"/>
                <w:szCs w:val="20"/>
                <w:color w:val="auto"/>
              </w:rPr>
            </w:pPr>
            <w:r>
              <w:rPr>
                <w:rFonts w:ascii="Arial" w:cs="Arial" w:eastAsia="Arial" w:hAnsi="Arial"/>
                <w:sz w:val="10"/>
                <w:szCs w:val="10"/>
                <w:b w:val="1"/>
                <w:bCs w:val="1"/>
                <w:color w:val="6A1834"/>
              </w:rPr>
              <w:t>PERFORMANCE</w:t>
            </w:r>
          </w:p>
        </w:tc>
        <w:tc>
          <w:tcPr>
            <w:tcW w:w="180" w:type="dxa"/>
            <w:vAlign w:val="bottom"/>
          </w:tcPr>
          <w:p>
            <w:pPr>
              <w:spacing w:after="0"/>
              <w:rPr>
                <w:sz w:val="16"/>
                <w:szCs w:val="16"/>
                <w:color w:val="auto"/>
              </w:rPr>
            </w:pPr>
          </w:p>
        </w:tc>
        <w:tc>
          <w:tcPr>
            <w:tcW w:w="1120" w:type="dxa"/>
            <w:vAlign w:val="bottom"/>
            <w:tcBorders>
              <w:right w:val="single" w:sz="8" w:color="E2EDED"/>
            </w:tcBorders>
          </w:tcPr>
          <w:p>
            <w:pPr>
              <w:ind w:left="20"/>
              <w:spacing w:after="0"/>
              <w:rPr>
                <w:sz w:val="20"/>
                <w:szCs w:val="20"/>
                <w:color w:val="auto"/>
              </w:rPr>
            </w:pPr>
            <w:r>
              <w:rPr>
                <w:rFonts w:ascii="Arial" w:cs="Arial" w:eastAsia="Arial" w:hAnsi="Arial"/>
                <w:sz w:val="10"/>
                <w:szCs w:val="10"/>
                <w:b w:val="1"/>
                <w:bCs w:val="1"/>
                <w:color w:val="6A1834"/>
              </w:rPr>
              <w:t>PERFORMANCE</w:t>
            </w:r>
          </w:p>
        </w:tc>
        <w:tc>
          <w:tcPr>
            <w:tcW w:w="720" w:type="dxa"/>
            <w:vAlign w:val="bottom"/>
          </w:tcPr>
          <w:p>
            <w:pPr>
              <w:jc w:val="center"/>
              <w:spacing w:after="0"/>
              <w:rPr>
                <w:sz w:val="20"/>
                <w:szCs w:val="20"/>
                <w:color w:val="auto"/>
              </w:rPr>
            </w:pPr>
            <w:r>
              <w:rPr>
                <w:rFonts w:ascii="Arial" w:cs="Arial" w:eastAsia="Arial" w:hAnsi="Arial"/>
                <w:sz w:val="10"/>
                <w:szCs w:val="10"/>
                <w:b w:val="1"/>
                <w:bCs w:val="1"/>
                <w:color w:val="6A1834"/>
              </w:rPr>
              <w:t>OUTCOME</w:t>
            </w:r>
          </w:p>
        </w:tc>
        <w:tc>
          <w:tcPr>
            <w:tcW w:w="0" w:type="dxa"/>
            <w:vAlign w:val="bottom"/>
          </w:tcPr>
          <w:p>
            <w:pPr>
              <w:spacing w:after="0"/>
              <w:rPr>
                <w:sz w:val="1"/>
                <w:szCs w:val="1"/>
                <w:color w:val="auto"/>
              </w:rPr>
            </w:pPr>
          </w:p>
        </w:tc>
      </w:tr>
      <w:tr>
        <w:trPr>
          <w:trHeight w:val="226"/>
        </w:trPr>
        <w:tc>
          <w:tcPr>
            <w:tcW w:w="600" w:type="dxa"/>
            <w:vAlign w:val="bottom"/>
            <w:shd w:val="clear" w:color="auto" w:fill="E1D0D6"/>
          </w:tcPr>
          <w:p>
            <w:pPr>
              <w:ind w:left="60"/>
              <w:spacing w:after="0"/>
              <w:rPr>
                <w:sz w:val="20"/>
                <w:szCs w:val="20"/>
                <w:color w:val="auto"/>
              </w:rPr>
            </w:pPr>
            <w:r>
              <w:rPr>
                <w:rFonts w:ascii="Arial" w:cs="Arial" w:eastAsia="Arial" w:hAnsi="Arial"/>
                <w:sz w:val="14"/>
                <w:szCs w:val="14"/>
                <w:color w:val="auto"/>
              </w:rPr>
              <w:t>Goal 1 -</w:t>
            </w:r>
          </w:p>
        </w:tc>
        <w:tc>
          <w:tcPr>
            <w:tcW w:w="3320" w:type="dxa"/>
            <w:vAlign w:val="bottom"/>
            <w:tcBorders>
              <w:right w:val="single" w:sz="8" w:color="E1D0D6"/>
            </w:tcBorders>
            <w:shd w:val="clear" w:color="auto" w:fill="E1D0D6"/>
          </w:tcPr>
          <w:p>
            <w:pPr>
              <w:ind w:left="60"/>
              <w:spacing w:after="0"/>
              <w:rPr>
                <w:sz w:val="20"/>
                <w:szCs w:val="20"/>
                <w:color w:val="auto"/>
              </w:rPr>
            </w:pPr>
            <w:r>
              <w:rPr>
                <w:rFonts w:ascii="Arial" w:cs="Arial" w:eastAsia="Arial" w:hAnsi="Arial"/>
                <w:sz w:val="14"/>
                <w:szCs w:val="14"/>
                <w:color w:val="auto"/>
              </w:rPr>
              <w:t>Encore Boston Harbor</w:t>
            </w:r>
          </w:p>
        </w:tc>
        <w:tc>
          <w:tcPr>
            <w:tcW w:w="860" w:type="dxa"/>
            <w:vAlign w:val="bottom"/>
            <w:tcBorders>
              <w:right w:val="single" w:sz="8" w:color="E1D0D6"/>
            </w:tcBorders>
            <w:vMerge w:val="restart"/>
            <w:shd w:val="clear" w:color="auto" w:fill="E1D0D6"/>
          </w:tcPr>
          <w:p>
            <w:pPr>
              <w:jc w:val="right"/>
              <w:ind w:right="413"/>
              <w:spacing w:after="0"/>
              <w:rPr>
                <w:sz w:val="20"/>
                <w:szCs w:val="20"/>
                <w:color w:val="auto"/>
              </w:rPr>
            </w:pPr>
            <w:r>
              <w:rPr>
                <w:rFonts w:ascii="Arial" w:cs="Arial" w:eastAsia="Arial" w:hAnsi="Arial"/>
                <w:sz w:val="14"/>
                <w:szCs w:val="14"/>
                <w:color w:val="auto"/>
              </w:rPr>
              <w:t>15%</w:t>
            </w:r>
          </w:p>
        </w:tc>
        <w:tc>
          <w:tcPr>
            <w:tcW w:w="140" w:type="dxa"/>
            <w:vAlign w:val="bottom"/>
            <w:vMerge w:val="restart"/>
            <w:shd w:val="clear" w:color="auto" w:fill="E1D0D6"/>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E1D0D6"/>
            </w:tcBorders>
            <w:vMerge w:val="restart"/>
            <w:shd w:val="clear" w:color="auto" w:fill="E1D0D6"/>
          </w:tcPr>
          <w:p>
            <w:pPr>
              <w:jc w:val="right"/>
              <w:ind w:right="55"/>
              <w:spacing w:after="0"/>
              <w:rPr>
                <w:sz w:val="20"/>
                <w:szCs w:val="20"/>
                <w:color w:val="auto"/>
              </w:rPr>
            </w:pPr>
            <w:r>
              <w:rPr>
                <w:rFonts w:ascii="Arial" w:cs="Arial" w:eastAsia="Arial" w:hAnsi="Arial"/>
                <w:sz w:val="14"/>
                <w:szCs w:val="14"/>
                <w:color w:val="auto"/>
              </w:rPr>
              <w:t>210,000,000</w:t>
            </w:r>
          </w:p>
        </w:tc>
        <w:tc>
          <w:tcPr>
            <w:tcW w:w="160" w:type="dxa"/>
            <w:vAlign w:val="bottom"/>
            <w:vMerge w:val="restart"/>
            <w:shd w:val="clear" w:color="auto" w:fill="E1D0D6"/>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E1D0D6"/>
            </w:tcBorders>
            <w:vMerge w:val="restart"/>
            <w:shd w:val="clear" w:color="auto" w:fill="E1D0D6"/>
          </w:tcPr>
          <w:p>
            <w:pPr>
              <w:ind w:left="240"/>
              <w:spacing w:after="0"/>
              <w:rPr>
                <w:sz w:val="20"/>
                <w:szCs w:val="20"/>
                <w:color w:val="auto"/>
              </w:rPr>
            </w:pPr>
            <w:r>
              <w:rPr>
                <w:rFonts w:ascii="Arial" w:cs="Arial" w:eastAsia="Arial" w:hAnsi="Arial"/>
                <w:sz w:val="14"/>
                <w:szCs w:val="14"/>
                <w:color w:val="auto"/>
              </w:rPr>
              <w:t>225,000,000</w:t>
            </w:r>
          </w:p>
        </w:tc>
        <w:tc>
          <w:tcPr>
            <w:tcW w:w="160" w:type="dxa"/>
            <w:vAlign w:val="bottom"/>
            <w:vMerge w:val="restart"/>
            <w:shd w:val="clear" w:color="auto" w:fill="E1D0D6"/>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E1D0D6"/>
            </w:tcBorders>
            <w:vMerge w:val="restart"/>
            <w:shd w:val="clear" w:color="auto" w:fill="E1D0D6"/>
          </w:tcPr>
          <w:p>
            <w:pPr>
              <w:jc w:val="right"/>
              <w:ind w:right="35"/>
              <w:spacing w:after="0"/>
              <w:rPr>
                <w:sz w:val="20"/>
                <w:szCs w:val="20"/>
                <w:color w:val="auto"/>
              </w:rPr>
            </w:pPr>
            <w:r>
              <w:rPr>
                <w:rFonts w:ascii="Arial" w:cs="Arial" w:eastAsia="Arial" w:hAnsi="Arial"/>
                <w:sz w:val="14"/>
                <w:szCs w:val="14"/>
                <w:color w:val="auto"/>
              </w:rPr>
              <w:t>245,000,000</w:t>
            </w:r>
          </w:p>
        </w:tc>
        <w:tc>
          <w:tcPr>
            <w:tcW w:w="180" w:type="dxa"/>
            <w:vAlign w:val="bottom"/>
            <w:vMerge w:val="restart"/>
            <w:shd w:val="clear" w:color="auto" w:fill="E1D0D6"/>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E1D0D6"/>
            </w:tcBorders>
            <w:vMerge w:val="restart"/>
            <w:shd w:val="clear" w:color="auto" w:fill="E1D0D6"/>
          </w:tcPr>
          <w:p>
            <w:pPr>
              <w:ind w:left="240"/>
              <w:spacing w:after="0"/>
              <w:rPr>
                <w:sz w:val="20"/>
                <w:szCs w:val="20"/>
                <w:color w:val="auto"/>
              </w:rPr>
            </w:pPr>
            <w:r>
              <w:rPr>
                <w:rFonts w:ascii="Arial" w:cs="Arial" w:eastAsia="Arial" w:hAnsi="Arial"/>
                <w:sz w:val="14"/>
                <w:szCs w:val="14"/>
                <w:color w:val="auto"/>
              </w:rPr>
              <w:t>243,386,000</w:t>
            </w:r>
          </w:p>
        </w:tc>
        <w:tc>
          <w:tcPr>
            <w:tcW w:w="720" w:type="dxa"/>
            <w:vAlign w:val="bottom"/>
            <w:vMerge w:val="restart"/>
            <w:shd w:val="clear" w:color="auto" w:fill="E1D0D6"/>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87"/>
        </w:trPr>
        <w:tc>
          <w:tcPr>
            <w:tcW w:w="600" w:type="dxa"/>
            <w:vAlign w:val="bottom"/>
            <w:shd w:val="clear" w:color="auto" w:fill="E1D0D6"/>
          </w:tcPr>
          <w:p>
            <w:pPr>
              <w:spacing w:after="0"/>
              <w:rPr>
                <w:sz w:val="7"/>
                <w:szCs w:val="7"/>
                <w:color w:val="auto"/>
              </w:rPr>
            </w:pPr>
          </w:p>
        </w:tc>
        <w:tc>
          <w:tcPr>
            <w:tcW w:w="3320" w:type="dxa"/>
            <w:vAlign w:val="bottom"/>
            <w:tcBorders>
              <w:right w:val="single" w:sz="8" w:color="E1D0D6"/>
            </w:tcBorders>
            <w:vMerge w:val="restart"/>
            <w:shd w:val="clear" w:color="auto" w:fill="E1D0D6"/>
          </w:tcPr>
          <w:p>
            <w:pPr>
              <w:ind w:left="60"/>
              <w:spacing w:after="0"/>
              <w:rPr>
                <w:sz w:val="20"/>
                <w:szCs w:val="20"/>
                <w:color w:val="auto"/>
              </w:rPr>
            </w:pPr>
            <w:r>
              <w:rPr>
                <w:rFonts w:ascii="Arial" w:cs="Arial" w:eastAsia="Arial" w:hAnsi="Arial"/>
                <w:sz w:val="14"/>
                <w:szCs w:val="14"/>
                <w:color w:val="auto"/>
              </w:rPr>
              <w:t>2022 Adjusted Property EBITDAR</w:t>
            </w:r>
          </w:p>
        </w:tc>
        <w:tc>
          <w:tcPr>
            <w:tcW w:w="860" w:type="dxa"/>
            <w:vAlign w:val="bottom"/>
            <w:tcBorders>
              <w:right w:val="single" w:sz="8" w:color="E1D0D6"/>
            </w:tcBorders>
            <w:vMerge w:val="continue"/>
            <w:shd w:val="clear" w:color="auto" w:fill="E1D0D6"/>
          </w:tcPr>
          <w:p>
            <w:pPr>
              <w:spacing w:after="0"/>
              <w:rPr>
                <w:sz w:val="7"/>
                <w:szCs w:val="7"/>
                <w:color w:val="auto"/>
              </w:rPr>
            </w:pPr>
          </w:p>
        </w:tc>
        <w:tc>
          <w:tcPr>
            <w:tcW w:w="140" w:type="dxa"/>
            <w:vAlign w:val="bottom"/>
            <w:vMerge w:val="continue"/>
            <w:shd w:val="clear" w:color="auto" w:fill="E1D0D6"/>
          </w:tcPr>
          <w:p>
            <w:pPr>
              <w:spacing w:after="0"/>
              <w:rPr>
                <w:sz w:val="7"/>
                <w:szCs w:val="7"/>
                <w:color w:val="auto"/>
              </w:rPr>
            </w:pPr>
          </w:p>
        </w:tc>
        <w:tc>
          <w:tcPr>
            <w:tcW w:w="1120" w:type="dxa"/>
            <w:vAlign w:val="bottom"/>
            <w:tcBorders>
              <w:right w:val="single" w:sz="8" w:color="E1D0D6"/>
            </w:tcBorders>
            <w:vMerge w:val="continue"/>
            <w:shd w:val="clear" w:color="auto" w:fill="E1D0D6"/>
          </w:tcPr>
          <w:p>
            <w:pPr>
              <w:spacing w:after="0"/>
              <w:rPr>
                <w:sz w:val="7"/>
                <w:szCs w:val="7"/>
                <w:color w:val="auto"/>
              </w:rPr>
            </w:pPr>
          </w:p>
        </w:tc>
        <w:tc>
          <w:tcPr>
            <w:tcW w:w="160" w:type="dxa"/>
            <w:vAlign w:val="bottom"/>
            <w:vMerge w:val="continue"/>
            <w:shd w:val="clear" w:color="auto" w:fill="E1D0D6"/>
          </w:tcPr>
          <w:p>
            <w:pPr>
              <w:spacing w:after="0"/>
              <w:rPr>
                <w:sz w:val="7"/>
                <w:szCs w:val="7"/>
                <w:color w:val="auto"/>
              </w:rPr>
            </w:pPr>
          </w:p>
        </w:tc>
        <w:tc>
          <w:tcPr>
            <w:tcW w:w="1140" w:type="dxa"/>
            <w:vAlign w:val="bottom"/>
            <w:tcBorders>
              <w:right w:val="single" w:sz="8" w:color="E1D0D6"/>
            </w:tcBorders>
            <w:vMerge w:val="continue"/>
            <w:shd w:val="clear" w:color="auto" w:fill="E1D0D6"/>
          </w:tcPr>
          <w:p>
            <w:pPr>
              <w:spacing w:after="0"/>
              <w:rPr>
                <w:sz w:val="7"/>
                <w:szCs w:val="7"/>
                <w:color w:val="auto"/>
              </w:rPr>
            </w:pPr>
          </w:p>
        </w:tc>
        <w:tc>
          <w:tcPr>
            <w:tcW w:w="160" w:type="dxa"/>
            <w:vAlign w:val="bottom"/>
            <w:vMerge w:val="continue"/>
            <w:shd w:val="clear" w:color="auto" w:fill="E1D0D6"/>
          </w:tcPr>
          <w:p>
            <w:pPr>
              <w:spacing w:after="0"/>
              <w:rPr>
                <w:sz w:val="7"/>
                <w:szCs w:val="7"/>
                <w:color w:val="auto"/>
              </w:rPr>
            </w:pPr>
          </w:p>
        </w:tc>
        <w:tc>
          <w:tcPr>
            <w:tcW w:w="1100" w:type="dxa"/>
            <w:vAlign w:val="bottom"/>
            <w:tcBorders>
              <w:right w:val="single" w:sz="8" w:color="E1D0D6"/>
            </w:tcBorders>
            <w:vMerge w:val="continue"/>
            <w:shd w:val="clear" w:color="auto" w:fill="E1D0D6"/>
          </w:tcPr>
          <w:p>
            <w:pPr>
              <w:spacing w:after="0"/>
              <w:rPr>
                <w:sz w:val="7"/>
                <w:szCs w:val="7"/>
                <w:color w:val="auto"/>
              </w:rPr>
            </w:pPr>
          </w:p>
        </w:tc>
        <w:tc>
          <w:tcPr>
            <w:tcW w:w="180" w:type="dxa"/>
            <w:vAlign w:val="bottom"/>
            <w:vMerge w:val="continue"/>
            <w:shd w:val="clear" w:color="auto" w:fill="E1D0D6"/>
          </w:tcPr>
          <w:p>
            <w:pPr>
              <w:spacing w:after="0"/>
              <w:rPr>
                <w:sz w:val="7"/>
                <w:szCs w:val="7"/>
                <w:color w:val="auto"/>
              </w:rPr>
            </w:pPr>
          </w:p>
        </w:tc>
        <w:tc>
          <w:tcPr>
            <w:tcW w:w="1120" w:type="dxa"/>
            <w:vAlign w:val="bottom"/>
            <w:tcBorders>
              <w:right w:val="single" w:sz="8" w:color="E1D0D6"/>
            </w:tcBorders>
            <w:vMerge w:val="continue"/>
            <w:shd w:val="clear" w:color="auto" w:fill="E1D0D6"/>
          </w:tcPr>
          <w:p>
            <w:pPr>
              <w:spacing w:after="0"/>
              <w:rPr>
                <w:sz w:val="7"/>
                <w:szCs w:val="7"/>
                <w:color w:val="auto"/>
              </w:rPr>
            </w:pPr>
          </w:p>
        </w:tc>
        <w:tc>
          <w:tcPr>
            <w:tcW w:w="720" w:type="dxa"/>
            <w:vAlign w:val="bottom"/>
            <w:vMerge w:val="continue"/>
            <w:shd w:val="clear" w:color="auto" w:fill="E1D0D6"/>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600" w:type="dxa"/>
            <w:vAlign w:val="bottom"/>
            <w:tcBorders>
              <w:bottom w:val="single" w:sz="8" w:color="E1D0D6"/>
            </w:tcBorders>
            <w:shd w:val="clear" w:color="auto" w:fill="E1D0D6"/>
          </w:tcPr>
          <w:p>
            <w:pPr>
              <w:spacing w:after="0"/>
              <w:rPr>
                <w:sz w:val="8"/>
                <w:szCs w:val="8"/>
                <w:color w:val="auto"/>
              </w:rPr>
            </w:pPr>
          </w:p>
        </w:tc>
        <w:tc>
          <w:tcPr>
            <w:tcW w:w="3320" w:type="dxa"/>
            <w:vAlign w:val="bottom"/>
            <w:tcBorders>
              <w:bottom w:val="single" w:sz="8" w:color="E1D0D6"/>
              <w:right w:val="single" w:sz="8" w:color="E1D0D6"/>
            </w:tcBorders>
            <w:vMerge w:val="continue"/>
            <w:shd w:val="clear" w:color="auto" w:fill="E1D0D6"/>
          </w:tcPr>
          <w:p>
            <w:pPr>
              <w:spacing w:after="0"/>
              <w:rPr>
                <w:sz w:val="8"/>
                <w:szCs w:val="8"/>
                <w:color w:val="auto"/>
              </w:rPr>
            </w:pPr>
          </w:p>
        </w:tc>
        <w:tc>
          <w:tcPr>
            <w:tcW w:w="860" w:type="dxa"/>
            <w:vAlign w:val="bottom"/>
            <w:tcBorders>
              <w:bottom w:val="single" w:sz="8" w:color="E1D0D6"/>
              <w:right w:val="single" w:sz="8" w:color="E1D0D6"/>
            </w:tcBorders>
            <w:shd w:val="clear" w:color="auto" w:fill="E1D0D6"/>
          </w:tcPr>
          <w:p>
            <w:pPr>
              <w:spacing w:after="0"/>
              <w:rPr>
                <w:sz w:val="8"/>
                <w:szCs w:val="8"/>
                <w:color w:val="auto"/>
              </w:rPr>
            </w:pPr>
          </w:p>
        </w:tc>
        <w:tc>
          <w:tcPr>
            <w:tcW w:w="140" w:type="dxa"/>
            <w:vAlign w:val="bottom"/>
            <w:tcBorders>
              <w:bottom w:val="single" w:sz="8" w:color="E1D0D6"/>
            </w:tcBorders>
            <w:shd w:val="clear" w:color="auto" w:fill="E1D0D6"/>
          </w:tcPr>
          <w:p>
            <w:pPr>
              <w:spacing w:after="0"/>
              <w:rPr>
                <w:sz w:val="8"/>
                <w:szCs w:val="8"/>
                <w:color w:val="auto"/>
              </w:rPr>
            </w:pPr>
          </w:p>
        </w:tc>
        <w:tc>
          <w:tcPr>
            <w:tcW w:w="1120" w:type="dxa"/>
            <w:vAlign w:val="bottom"/>
            <w:tcBorders>
              <w:bottom w:val="single" w:sz="8" w:color="E1D0D6"/>
              <w:right w:val="single" w:sz="8" w:color="E1D0D6"/>
            </w:tcBorders>
            <w:shd w:val="clear" w:color="auto" w:fill="E1D0D6"/>
          </w:tcPr>
          <w:p>
            <w:pPr>
              <w:spacing w:after="0"/>
              <w:rPr>
                <w:sz w:val="8"/>
                <w:szCs w:val="8"/>
                <w:color w:val="auto"/>
              </w:rPr>
            </w:pPr>
          </w:p>
        </w:tc>
        <w:tc>
          <w:tcPr>
            <w:tcW w:w="160" w:type="dxa"/>
            <w:vAlign w:val="bottom"/>
            <w:tcBorders>
              <w:bottom w:val="single" w:sz="8" w:color="E1D0D6"/>
            </w:tcBorders>
            <w:shd w:val="clear" w:color="auto" w:fill="E1D0D6"/>
          </w:tcPr>
          <w:p>
            <w:pPr>
              <w:spacing w:after="0"/>
              <w:rPr>
                <w:sz w:val="8"/>
                <w:szCs w:val="8"/>
                <w:color w:val="auto"/>
              </w:rPr>
            </w:pPr>
          </w:p>
        </w:tc>
        <w:tc>
          <w:tcPr>
            <w:tcW w:w="1140" w:type="dxa"/>
            <w:vAlign w:val="bottom"/>
            <w:tcBorders>
              <w:bottom w:val="single" w:sz="8" w:color="E1D0D6"/>
              <w:right w:val="single" w:sz="8" w:color="E1D0D6"/>
            </w:tcBorders>
            <w:shd w:val="clear" w:color="auto" w:fill="E1D0D6"/>
          </w:tcPr>
          <w:p>
            <w:pPr>
              <w:spacing w:after="0"/>
              <w:rPr>
                <w:sz w:val="8"/>
                <w:szCs w:val="8"/>
                <w:color w:val="auto"/>
              </w:rPr>
            </w:pPr>
          </w:p>
        </w:tc>
        <w:tc>
          <w:tcPr>
            <w:tcW w:w="160" w:type="dxa"/>
            <w:vAlign w:val="bottom"/>
            <w:tcBorders>
              <w:bottom w:val="single" w:sz="8" w:color="E1D0D6"/>
            </w:tcBorders>
            <w:shd w:val="clear" w:color="auto" w:fill="E1D0D6"/>
          </w:tcPr>
          <w:p>
            <w:pPr>
              <w:spacing w:after="0"/>
              <w:rPr>
                <w:sz w:val="8"/>
                <w:szCs w:val="8"/>
                <w:color w:val="auto"/>
              </w:rPr>
            </w:pPr>
          </w:p>
        </w:tc>
        <w:tc>
          <w:tcPr>
            <w:tcW w:w="1100" w:type="dxa"/>
            <w:vAlign w:val="bottom"/>
            <w:tcBorders>
              <w:bottom w:val="single" w:sz="8" w:color="E1D0D6"/>
              <w:right w:val="single" w:sz="8" w:color="E1D0D6"/>
            </w:tcBorders>
            <w:shd w:val="clear" w:color="auto" w:fill="E1D0D6"/>
          </w:tcPr>
          <w:p>
            <w:pPr>
              <w:spacing w:after="0"/>
              <w:rPr>
                <w:sz w:val="8"/>
                <w:szCs w:val="8"/>
                <w:color w:val="auto"/>
              </w:rPr>
            </w:pPr>
          </w:p>
        </w:tc>
        <w:tc>
          <w:tcPr>
            <w:tcW w:w="180" w:type="dxa"/>
            <w:vAlign w:val="bottom"/>
            <w:tcBorders>
              <w:bottom w:val="single" w:sz="8" w:color="E1D0D6"/>
            </w:tcBorders>
            <w:shd w:val="clear" w:color="auto" w:fill="E1D0D6"/>
          </w:tcPr>
          <w:p>
            <w:pPr>
              <w:spacing w:after="0"/>
              <w:rPr>
                <w:sz w:val="8"/>
                <w:szCs w:val="8"/>
                <w:color w:val="auto"/>
              </w:rPr>
            </w:pPr>
          </w:p>
        </w:tc>
        <w:tc>
          <w:tcPr>
            <w:tcW w:w="1120" w:type="dxa"/>
            <w:vAlign w:val="bottom"/>
            <w:tcBorders>
              <w:bottom w:val="single" w:sz="8" w:color="E1D0D6"/>
              <w:right w:val="single" w:sz="8" w:color="E1D0D6"/>
            </w:tcBorders>
            <w:shd w:val="clear" w:color="auto" w:fill="E1D0D6"/>
          </w:tcPr>
          <w:p>
            <w:pPr>
              <w:spacing w:after="0"/>
              <w:rPr>
                <w:sz w:val="8"/>
                <w:szCs w:val="8"/>
                <w:color w:val="auto"/>
              </w:rPr>
            </w:pPr>
          </w:p>
        </w:tc>
        <w:tc>
          <w:tcPr>
            <w:tcW w:w="720" w:type="dxa"/>
            <w:vAlign w:val="bottom"/>
            <w:tcBorders>
              <w:bottom w:val="single" w:sz="8" w:color="E1D0D6"/>
            </w:tcBorders>
            <w:shd w:val="clear" w:color="auto" w:fill="E1D0D6"/>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600" w:type="dxa"/>
            <w:vAlign w:val="bottom"/>
          </w:tcPr>
          <w:p>
            <w:pPr>
              <w:ind w:left="60"/>
              <w:spacing w:after="0"/>
              <w:rPr>
                <w:sz w:val="20"/>
                <w:szCs w:val="20"/>
                <w:color w:val="auto"/>
              </w:rPr>
            </w:pPr>
            <w:r>
              <w:rPr>
                <w:rFonts w:ascii="Arial" w:cs="Arial" w:eastAsia="Arial" w:hAnsi="Arial"/>
                <w:sz w:val="14"/>
                <w:szCs w:val="14"/>
                <w:color w:val="auto"/>
              </w:rPr>
              <w:t>Goal 2 -</w:t>
            </w:r>
          </w:p>
        </w:tc>
        <w:tc>
          <w:tcPr>
            <w:tcW w:w="3320" w:type="dxa"/>
            <w:vAlign w:val="bottom"/>
            <w:tcBorders>
              <w:right w:val="single" w:sz="8" w:color="E2EDED"/>
            </w:tcBorders>
          </w:tcPr>
          <w:p>
            <w:pPr>
              <w:ind w:left="60"/>
              <w:spacing w:after="0"/>
              <w:rPr>
                <w:sz w:val="20"/>
                <w:szCs w:val="20"/>
                <w:color w:val="auto"/>
              </w:rPr>
            </w:pPr>
            <w:r>
              <w:rPr>
                <w:rFonts w:ascii="Arial" w:cs="Arial" w:eastAsia="Arial" w:hAnsi="Arial"/>
                <w:sz w:val="14"/>
                <w:szCs w:val="14"/>
                <w:color w:val="auto"/>
              </w:rPr>
              <w:t>Wynn Las Vegas,</w:t>
            </w:r>
          </w:p>
        </w:tc>
        <w:tc>
          <w:tcPr>
            <w:tcW w:w="860" w:type="dxa"/>
            <w:vAlign w:val="bottom"/>
            <w:tcBorders>
              <w:right w:val="single" w:sz="8" w:color="E2EDED"/>
            </w:tcBorders>
            <w:vMerge w:val="restart"/>
          </w:tcPr>
          <w:p>
            <w:pPr>
              <w:jc w:val="right"/>
              <w:ind w:right="413"/>
              <w:spacing w:after="0"/>
              <w:rPr>
                <w:sz w:val="20"/>
                <w:szCs w:val="20"/>
                <w:color w:val="auto"/>
              </w:rPr>
            </w:pPr>
            <w:r>
              <w:rPr>
                <w:rFonts w:ascii="Arial" w:cs="Arial" w:eastAsia="Arial" w:hAnsi="Arial"/>
                <w:sz w:val="14"/>
                <w:szCs w:val="14"/>
                <w:color w:val="auto"/>
              </w:rPr>
              <w:t>20%</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E2EDED"/>
            </w:tcBorders>
            <w:vMerge w:val="restart"/>
          </w:tcPr>
          <w:p>
            <w:pPr>
              <w:jc w:val="right"/>
              <w:ind w:right="55"/>
              <w:spacing w:after="0"/>
              <w:rPr>
                <w:sz w:val="20"/>
                <w:szCs w:val="20"/>
                <w:color w:val="auto"/>
              </w:rPr>
            </w:pPr>
            <w:r>
              <w:rPr>
                <w:rFonts w:ascii="Arial" w:cs="Arial" w:eastAsia="Arial" w:hAnsi="Arial"/>
                <w:sz w:val="14"/>
                <w:szCs w:val="14"/>
                <w:color w:val="auto"/>
              </w:rPr>
              <w:t>585,000,000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E2EDED"/>
            </w:tcBorders>
            <w:vMerge w:val="restart"/>
          </w:tcPr>
          <w:p>
            <w:pPr>
              <w:ind w:left="240"/>
              <w:spacing w:after="0"/>
              <w:rPr>
                <w:sz w:val="20"/>
                <w:szCs w:val="20"/>
                <w:color w:val="auto"/>
              </w:rPr>
            </w:pPr>
            <w:r>
              <w:rPr>
                <w:rFonts w:ascii="Arial" w:cs="Arial" w:eastAsia="Arial" w:hAnsi="Arial"/>
                <w:sz w:val="14"/>
                <w:szCs w:val="14"/>
                <w:color w:val="auto"/>
              </w:rPr>
              <w:t>625,000,000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E2EDED"/>
            </w:tcBorders>
            <w:vMerge w:val="restart"/>
          </w:tcPr>
          <w:p>
            <w:pPr>
              <w:jc w:val="right"/>
              <w:ind w:right="35"/>
              <w:spacing w:after="0"/>
              <w:rPr>
                <w:sz w:val="20"/>
                <w:szCs w:val="20"/>
                <w:color w:val="auto"/>
              </w:rPr>
            </w:pPr>
            <w:r>
              <w:rPr>
                <w:rFonts w:ascii="Arial" w:cs="Arial" w:eastAsia="Arial" w:hAnsi="Arial"/>
                <w:sz w:val="14"/>
                <w:szCs w:val="14"/>
                <w:color w:val="auto"/>
              </w:rPr>
              <w:t>650,000,000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E2EDED"/>
            </w:tcBorders>
            <w:vMerge w:val="restart"/>
          </w:tcPr>
          <w:p>
            <w:pPr>
              <w:ind w:left="240"/>
              <w:spacing w:after="0"/>
              <w:rPr>
                <w:sz w:val="20"/>
                <w:szCs w:val="20"/>
                <w:color w:val="auto"/>
              </w:rPr>
            </w:pPr>
            <w:r>
              <w:rPr>
                <w:rFonts w:ascii="Arial" w:cs="Arial" w:eastAsia="Arial" w:hAnsi="Arial"/>
                <w:sz w:val="14"/>
                <w:szCs w:val="14"/>
                <w:color w:val="auto"/>
              </w:rPr>
              <w:t>801,095,000</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8"/>
              </w:rPr>
              <w:t>Maximum</w:t>
            </w:r>
          </w:p>
        </w:tc>
        <w:tc>
          <w:tcPr>
            <w:tcW w:w="0" w:type="dxa"/>
            <w:vAlign w:val="bottom"/>
          </w:tcPr>
          <w:p>
            <w:pPr>
              <w:spacing w:after="0"/>
              <w:rPr>
                <w:sz w:val="1"/>
                <w:szCs w:val="1"/>
                <w:color w:val="auto"/>
              </w:rPr>
            </w:pPr>
          </w:p>
        </w:tc>
      </w:tr>
      <w:tr>
        <w:trPr>
          <w:trHeight w:val="87"/>
        </w:trPr>
        <w:tc>
          <w:tcPr>
            <w:tcW w:w="600" w:type="dxa"/>
            <w:vAlign w:val="bottom"/>
          </w:tcPr>
          <w:p>
            <w:pPr>
              <w:spacing w:after="0"/>
              <w:rPr>
                <w:sz w:val="7"/>
                <w:szCs w:val="7"/>
                <w:color w:val="auto"/>
              </w:rPr>
            </w:pPr>
          </w:p>
        </w:tc>
        <w:tc>
          <w:tcPr>
            <w:tcW w:w="3320" w:type="dxa"/>
            <w:vAlign w:val="bottom"/>
            <w:tcBorders>
              <w:right w:val="single" w:sz="8" w:color="E2EDED"/>
            </w:tcBorders>
            <w:vMerge w:val="restart"/>
          </w:tcPr>
          <w:p>
            <w:pPr>
              <w:ind w:left="60"/>
              <w:spacing w:after="0"/>
              <w:rPr>
                <w:sz w:val="20"/>
                <w:szCs w:val="20"/>
                <w:color w:val="auto"/>
              </w:rPr>
            </w:pPr>
            <w:r>
              <w:rPr>
                <w:rFonts w:ascii="Arial" w:cs="Arial" w:eastAsia="Arial" w:hAnsi="Arial"/>
                <w:sz w:val="14"/>
                <w:szCs w:val="14"/>
                <w:color w:val="auto"/>
              </w:rPr>
              <w:t>2022 Adjusted Property EBITDAR</w:t>
            </w:r>
          </w:p>
        </w:tc>
        <w:tc>
          <w:tcPr>
            <w:tcW w:w="860" w:type="dxa"/>
            <w:vAlign w:val="bottom"/>
            <w:tcBorders>
              <w:right w:val="single" w:sz="8" w:color="E2EDED"/>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120" w:type="dxa"/>
            <w:vAlign w:val="bottom"/>
            <w:tcBorders>
              <w:right w:val="single" w:sz="8" w:color="E2EDED"/>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140" w:type="dxa"/>
            <w:vAlign w:val="bottom"/>
            <w:tcBorders>
              <w:right w:val="single" w:sz="8" w:color="E2EDED"/>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100" w:type="dxa"/>
            <w:vAlign w:val="bottom"/>
            <w:tcBorders>
              <w:right w:val="single" w:sz="8" w:color="E2EDED"/>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120" w:type="dxa"/>
            <w:vAlign w:val="bottom"/>
            <w:tcBorders>
              <w:right w:val="single" w:sz="8" w:color="E2EDED"/>
            </w:tcBorders>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600" w:type="dxa"/>
            <w:vAlign w:val="bottom"/>
          </w:tcPr>
          <w:p>
            <w:pPr>
              <w:spacing w:after="0"/>
              <w:rPr>
                <w:sz w:val="10"/>
                <w:szCs w:val="10"/>
                <w:color w:val="auto"/>
              </w:rPr>
            </w:pPr>
          </w:p>
        </w:tc>
        <w:tc>
          <w:tcPr>
            <w:tcW w:w="3320" w:type="dxa"/>
            <w:vAlign w:val="bottom"/>
            <w:tcBorders>
              <w:right w:val="single" w:sz="8" w:color="E2EDED"/>
            </w:tcBorders>
            <w:vMerge w:val="continue"/>
          </w:tcPr>
          <w:p>
            <w:pPr>
              <w:spacing w:after="0"/>
              <w:rPr>
                <w:sz w:val="10"/>
                <w:szCs w:val="10"/>
                <w:color w:val="auto"/>
              </w:rPr>
            </w:pPr>
          </w:p>
        </w:tc>
        <w:tc>
          <w:tcPr>
            <w:tcW w:w="860" w:type="dxa"/>
            <w:vAlign w:val="bottom"/>
            <w:tcBorders>
              <w:right w:val="single" w:sz="8" w:color="E2EDED"/>
            </w:tcBorders>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right w:val="single" w:sz="8" w:color="E2EDED"/>
            </w:tcBorders>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Borders>
              <w:right w:val="single" w:sz="8" w:color="E2EDED"/>
            </w:tcBorders>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Borders>
              <w:right w:val="single" w:sz="8" w:color="E2EDED"/>
            </w:tcBorders>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Borders>
              <w:right w:val="single" w:sz="8" w:color="E2EDED"/>
            </w:tcBorders>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600" w:type="dxa"/>
            <w:vAlign w:val="bottom"/>
            <w:shd w:val="clear" w:color="auto" w:fill="E1D0D6"/>
          </w:tcPr>
          <w:p>
            <w:pPr>
              <w:ind w:left="60"/>
              <w:spacing w:after="0"/>
              <w:rPr>
                <w:sz w:val="20"/>
                <w:szCs w:val="20"/>
                <w:color w:val="auto"/>
              </w:rPr>
            </w:pPr>
            <w:r>
              <w:rPr>
                <w:rFonts w:ascii="Arial" w:cs="Arial" w:eastAsia="Arial" w:hAnsi="Arial"/>
                <w:sz w:val="14"/>
                <w:szCs w:val="14"/>
                <w:color w:val="auto"/>
              </w:rPr>
              <w:t>Goal 3 -</w:t>
            </w:r>
          </w:p>
        </w:tc>
        <w:tc>
          <w:tcPr>
            <w:tcW w:w="3320" w:type="dxa"/>
            <w:vAlign w:val="bottom"/>
            <w:tcBorders>
              <w:right w:val="single" w:sz="8" w:color="E1D0D6"/>
            </w:tcBorders>
            <w:shd w:val="clear" w:color="auto" w:fill="E1D0D6"/>
          </w:tcPr>
          <w:p>
            <w:pPr>
              <w:ind w:left="60"/>
              <w:spacing w:after="0"/>
              <w:rPr>
                <w:sz w:val="20"/>
                <w:szCs w:val="20"/>
                <w:color w:val="auto"/>
              </w:rPr>
            </w:pPr>
            <w:r>
              <w:rPr>
                <w:rFonts w:ascii="Arial" w:cs="Arial" w:eastAsia="Arial" w:hAnsi="Arial"/>
                <w:sz w:val="14"/>
                <w:szCs w:val="14"/>
                <w:color w:val="auto"/>
              </w:rPr>
              <w:t>Wynn Las Vegas,</w:t>
            </w:r>
          </w:p>
        </w:tc>
        <w:tc>
          <w:tcPr>
            <w:tcW w:w="860" w:type="dxa"/>
            <w:vAlign w:val="bottom"/>
            <w:tcBorders>
              <w:right w:val="single" w:sz="8" w:color="E1D0D6"/>
            </w:tcBorders>
            <w:vMerge w:val="restart"/>
            <w:shd w:val="clear" w:color="auto" w:fill="E1D0D6"/>
          </w:tcPr>
          <w:p>
            <w:pPr>
              <w:jc w:val="right"/>
              <w:ind w:right="413"/>
              <w:spacing w:after="0"/>
              <w:rPr>
                <w:sz w:val="20"/>
                <w:szCs w:val="20"/>
                <w:color w:val="auto"/>
              </w:rPr>
            </w:pPr>
            <w:r>
              <w:rPr>
                <w:rFonts w:ascii="Arial" w:cs="Arial" w:eastAsia="Arial" w:hAnsi="Arial"/>
                <w:sz w:val="14"/>
                <w:szCs w:val="14"/>
                <w:color w:val="auto"/>
              </w:rPr>
              <w:t>10%</w:t>
            </w:r>
          </w:p>
        </w:tc>
        <w:tc>
          <w:tcPr>
            <w:tcW w:w="140" w:type="dxa"/>
            <w:vAlign w:val="bottom"/>
            <w:shd w:val="clear" w:color="auto" w:fill="E1D0D6"/>
          </w:tcPr>
          <w:p>
            <w:pPr>
              <w:spacing w:after="0"/>
              <w:rPr>
                <w:sz w:val="19"/>
                <w:szCs w:val="19"/>
                <w:color w:val="auto"/>
              </w:rPr>
            </w:pPr>
          </w:p>
        </w:tc>
        <w:tc>
          <w:tcPr>
            <w:tcW w:w="1120" w:type="dxa"/>
            <w:vAlign w:val="bottom"/>
            <w:tcBorders>
              <w:right w:val="single" w:sz="8" w:color="E1D0D6"/>
            </w:tcBorders>
            <w:vMerge w:val="restart"/>
            <w:shd w:val="clear" w:color="auto" w:fill="E1D0D6"/>
          </w:tcPr>
          <w:p>
            <w:pPr>
              <w:jc w:val="center"/>
              <w:ind w:right="55"/>
              <w:spacing w:after="0"/>
              <w:rPr>
                <w:sz w:val="20"/>
                <w:szCs w:val="20"/>
                <w:color w:val="auto"/>
              </w:rPr>
            </w:pPr>
            <w:r>
              <w:rPr>
                <w:rFonts w:ascii="Arial" w:cs="Arial" w:eastAsia="Arial" w:hAnsi="Arial"/>
                <w:sz w:val="14"/>
                <w:szCs w:val="14"/>
                <w:color w:val="auto"/>
              </w:rPr>
              <w:t>10.75%</w:t>
            </w:r>
          </w:p>
        </w:tc>
        <w:tc>
          <w:tcPr>
            <w:tcW w:w="160" w:type="dxa"/>
            <w:vAlign w:val="bottom"/>
            <w:shd w:val="clear" w:color="auto" w:fill="E1D0D6"/>
          </w:tcPr>
          <w:p>
            <w:pPr>
              <w:spacing w:after="0"/>
              <w:rPr>
                <w:sz w:val="19"/>
                <w:szCs w:val="19"/>
                <w:color w:val="auto"/>
              </w:rPr>
            </w:pPr>
          </w:p>
        </w:tc>
        <w:tc>
          <w:tcPr>
            <w:tcW w:w="1140" w:type="dxa"/>
            <w:vAlign w:val="bottom"/>
            <w:tcBorders>
              <w:right w:val="single" w:sz="8" w:color="E1D0D6"/>
            </w:tcBorders>
            <w:vMerge w:val="restart"/>
            <w:shd w:val="clear" w:color="auto" w:fill="E1D0D6"/>
          </w:tcPr>
          <w:p>
            <w:pPr>
              <w:jc w:val="center"/>
              <w:ind w:right="75"/>
              <w:spacing w:after="0"/>
              <w:rPr>
                <w:sz w:val="20"/>
                <w:szCs w:val="20"/>
                <w:color w:val="auto"/>
              </w:rPr>
            </w:pPr>
            <w:r>
              <w:rPr>
                <w:rFonts w:ascii="Arial" w:cs="Arial" w:eastAsia="Arial" w:hAnsi="Arial"/>
                <w:sz w:val="14"/>
                <w:szCs w:val="14"/>
                <w:color w:val="auto"/>
              </w:rPr>
              <w:t>11.25%</w:t>
            </w:r>
          </w:p>
        </w:tc>
        <w:tc>
          <w:tcPr>
            <w:tcW w:w="160" w:type="dxa"/>
            <w:vAlign w:val="bottom"/>
            <w:shd w:val="clear" w:color="auto" w:fill="E1D0D6"/>
          </w:tcPr>
          <w:p>
            <w:pPr>
              <w:spacing w:after="0"/>
              <w:rPr>
                <w:sz w:val="19"/>
                <w:szCs w:val="19"/>
                <w:color w:val="auto"/>
              </w:rPr>
            </w:pPr>
          </w:p>
        </w:tc>
        <w:tc>
          <w:tcPr>
            <w:tcW w:w="1100" w:type="dxa"/>
            <w:vAlign w:val="bottom"/>
            <w:tcBorders>
              <w:right w:val="single" w:sz="8" w:color="E1D0D6"/>
            </w:tcBorders>
            <w:vMerge w:val="restart"/>
            <w:shd w:val="clear" w:color="auto" w:fill="E1D0D6"/>
          </w:tcPr>
          <w:p>
            <w:pPr>
              <w:jc w:val="center"/>
              <w:ind w:right="55"/>
              <w:spacing w:after="0"/>
              <w:rPr>
                <w:sz w:val="20"/>
                <w:szCs w:val="20"/>
                <w:color w:val="auto"/>
              </w:rPr>
            </w:pPr>
            <w:r>
              <w:rPr>
                <w:rFonts w:ascii="Arial" w:cs="Arial" w:eastAsia="Arial" w:hAnsi="Arial"/>
                <w:sz w:val="14"/>
                <w:szCs w:val="14"/>
                <w:color w:val="auto"/>
                <w:w w:val="96"/>
              </w:rPr>
              <w:t>12.25%</w:t>
            </w:r>
          </w:p>
        </w:tc>
        <w:tc>
          <w:tcPr>
            <w:tcW w:w="180" w:type="dxa"/>
            <w:vAlign w:val="bottom"/>
            <w:shd w:val="clear" w:color="auto" w:fill="E1D0D6"/>
          </w:tcPr>
          <w:p>
            <w:pPr>
              <w:spacing w:after="0"/>
              <w:rPr>
                <w:sz w:val="19"/>
                <w:szCs w:val="19"/>
                <w:color w:val="auto"/>
              </w:rPr>
            </w:pPr>
          </w:p>
        </w:tc>
        <w:tc>
          <w:tcPr>
            <w:tcW w:w="1120" w:type="dxa"/>
            <w:vAlign w:val="bottom"/>
            <w:tcBorders>
              <w:right w:val="single" w:sz="8" w:color="E1D0D6"/>
            </w:tcBorders>
            <w:vMerge w:val="restart"/>
            <w:shd w:val="clear" w:color="auto" w:fill="E1D0D6"/>
          </w:tcPr>
          <w:p>
            <w:pPr>
              <w:ind w:left="260"/>
              <w:spacing w:after="0"/>
              <w:rPr>
                <w:sz w:val="20"/>
                <w:szCs w:val="20"/>
                <w:color w:val="auto"/>
              </w:rPr>
            </w:pPr>
            <w:r>
              <w:rPr>
                <w:rFonts w:ascii="Arial" w:cs="Arial" w:eastAsia="Arial" w:hAnsi="Arial"/>
                <w:sz w:val="14"/>
                <w:szCs w:val="14"/>
                <w:color w:val="auto"/>
              </w:rPr>
              <w:t>12.27%</w:t>
            </w:r>
          </w:p>
        </w:tc>
        <w:tc>
          <w:tcPr>
            <w:tcW w:w="720" w:type="dxa"/>
            <w:vAlign w:val="bottom"/>
            <w:vMerge w:val="restart"/>
            <w:shd w:val="clear" w:color="auto" w:fill="E1D0D6"/>
          </w:tcPr>
          <w:p>
            <w:pPr>
              <w:jc w:val="center"/>
              <w:spacing w:after="0"/>
              <w:rPr>
                <w:sz w:val="20"/>
                <w:szCs w:val="20"/>
                <w:color w:val="auto"/>
              </w:rPr>
            </w:pPr>
            <w:r>
              <w:rPr>
                <w:rFonts w:ascii="Arial" w:cs="Arial" w:eastAsia="Arial" w:hAnsi="Arial"/>
                <w:sz w:val="14"/>
                <w:szCs w:val="14"/>
                <w:color w:val="auto"/>
                <w:w w:val="98"/>
              </w:rPr>
              <w:t>Maximum</w:t>
            </w:r>
          </w:p>
        </w:tc>
        <w:tc>
          <w:tcPr>
            <w:tcW w:w="0" w:type="dxa"/>
            <w:vAlign w:val="bottom"/>
          </w:tcPr>
          <w:p>
            <w:pPr>
              <w:spacing w:after="0"/>
              <w:rPr>
                <w:sz w:val="1"/>
                <w:szCs w:val="1"/>
                <w:color w:val="auto"/>
              </w:rPr>
            </w:pPr>
          </w:p>
        </w:tc>
      </w:tr>
      <w:tr>
        <w:trPr>
          <w:trHeight w:val="87"/>
        </w:trPr>
        <w:tc>
          <w:tcPr>
            <w:tcW w:w="600" w:type="dxa"/>
            <w:vAlign w:val="bottom"/>
            <w:shd w:val="clear" w:color="auto" w:fill="E1D0D6"/>
          </w:tcPr>
          <w:p>
            <w:pPr>
              <w:spacing w:after="0"/>
              <w:rPr>
                <w:sz w:val="7"/>
                <w:szCs w:val="7"/>
                <w:color w:val="auto"/>
              </w:rPr>
            </w:pPr>
          </w:p>
        </w:tc>
        <w:tc>
          <w:tcPr>
            <w:tcW w:w="3320" w:type="dxa"/>
            <w:vAlign w:val="bottom"/>
            <w:tcBorders>
              <w:right w:val="single" w:sz="8" w:color="E1D0D6"/>
            </w:tcBorders>
            <w:vMerge w:val="restart"/>
            <w:shd w:val="clear" w:color="auto" w:fill="E1D0D6"/>
          </w:tcPr>
          <w:p>
            <w:pPr>
              <w:ind w:left="60"/>
              <w:spacing w:after="0"/>
              <w:rPr>
                <w:sz w:val="20"/>
                <w:szCs w:val="20"/>
                <w:color w:val="auto"/>
              </w:rPr>
            </w:pPr>
            <w:r>
              <w:rPr>
                <w:rFonts w:ascii="Arial" w:cs="Arial" w:eastAsia="Arial" w:hAnsi="Arial"/>
                <w:sz w:val="14"/>
                <w:szCs w:val="14"/>
                <w:color w:val="auto"/>
              </w:rPr>
              <w:t>Market Share of Gross Gaming Revenues (1)</w:t>
            </w:r>
          </w:p>
        </w:tc>
        <w:tc>
          <w:tcPr>
            <w:tcW w:w="860" w:type="dxa"/>
            <w:vAlign w:val="bottom"/>
            <w:tcBorders>
              <w:right w:val="single" w:sz="8" w:color="E1D0D6"/>
            </w:tcBorders>
            <w:vMerge w:val="continue"/>
            <w:shd w:val="clear" w:color="auto" w:fill="E1D0D6"/>
          </w:tcPr>
          <w:p>
            <w:pPr>
              <w:spacing w:after="0"/>
              <w:rPr>
                <w:sz w:val="7"/>
                <w:szCs w:val="7"/>
                <w:color w:val="auto"/>
              </w:rPr>
            </w:pPr>
          </w:p>
        </w:tc>
        <w:tc>
          <w:tcPr>
            <w:tcW w:w="140" w:type="dxa"/>
            <w:vAlign w:val="bottom"/>
            <w:shd w:val="clear" w:color="auto" w:fill="E1D0D6"/>
          </w:tcPr>
          <w:p>
            <w:pPr>
              <w:spacing w:after="0"/>
              <w:rPr>
                <w:sz w:val="7"/>
                <w:szCs w:val="7"/>
                <w:color w:val="auto"/>
              </w:rPr>
            </w:pPr>
          </w:p>
        </w:tc>
        <w:tc>
          <w:tcPr>
            <w:tcW w:w="1120" w:type="dxa"/>
            <w:vAlign w:val="bottom"/>
            <w:tcBorders>
              <w:right w:val="single" w:sz="8" w:color="E1D0D6"/>
            </w:tcBorders>
            <w:vMerge w:val="continue"/>
            <w:shd w:val="clear" w:color="auto" w:fill="E1D0D6"/>
          </w:tcPr>
          <w:p>
            <w:pPr>
              <w:spacing w:after="0"/>
              <w:rPr>
                <w:sz w:val="7"/>
                <w:szCs w:val="7"/>
                <w:color w:val="auto"/>
              </w:rPr>
            </w:pPr>
          </w:p>
        </w:tc>
        <w:tc>
          <w:tcPr>
            <w:tcW w:w="160" w:type="dxa"/>
            <w:vAlign w:val="bottom"/>
            <w:shd w:val="clear" w:color="auto" w:fill="E1D0D6"/>
          </w:tcPr>
          <w:p>
            <w:pPr>
              <w:spacing w:after="0"/>
              <w:rPr>
                <w:sz w:val="7"/>
                <w:szCs w:val="7"/>
                <w:color w:val="auto"/>
              </w:rPr>
            </w:pPr>
          </w:p>
        </w:tc>
        <w:tc>
          <w:tcPr>
            <w:tcW w:w="1140" w:type="dxa"/>
            <w:vAlign w:val="bottom"/>
            <w:tcBorders>
              <w:right w:val="single" w:sz="8" w:color="E1D0D6"/>
            </w:tcBorders>
            <w:vMerge w:val="continue"/>
            <w:shd w:val="clear" w:color="auto" w:fill="E1D0D6"/>
          </w:tcPr>
          <w:p>
            <w:pPr>
              <w:spacing w:after="0"/>
              <w:rPr>
                <w:sz w:val="7"/>
                <w:szCs w:val="7"/>
                <w:color w:val="auto"/>
              </w:rPr>
            </w:pPr>
          </w:p>
        </w:tc>
        <w:tc>
          <w:tcPr>
            <w:tcW w:w="160" w:type="dxa"/>
            <w:vAlign w:val="bottom"/>
            <w:shd w:val="clear" w:color="auto" w:fill="E1D0D6"/>
          </w:tcPr>
          <w:p>
            <w:pPr>
              <w:spacing w:after="0"/>
              <w:rPr>
                <w:sz w:val="7"/>
                <w:szCs w:val="7"/>
                <w:color w:val="auto"/>
              </w:rPr>
            </w:pPr>
          </w:p>
        </w:tc>
        <w:tc>
          <w:tcPr>
            <w:tcW w:w="1100" w:type="dxa"/>
            <w:vAlign w:val="bottom"/>
            <w:tcBorders>
              <w:right w:val="single" w:sz="8" w:color="E1D0D6"/>
            </w:tcBorders>
            <w:vMerge w:val="continue"/>
            <w:shd w:val="clear" w:color="auto" w:fill="E1D0D6"/>
          </w:tcPr>
          <w:p>
            <w:pPr>
              <w:spacing w:after="0"/>
              <w:rPr>
                <w:sz w:val="7"/>
                <w:szCs w:val="7"/>
                <w:color w:val="auto"/>
              </w:rPr>
            </w:pPr>
          </w:p>
        </w:tc>
        <w:tc>
          <w:tcPr>
            <w:tcW w:w="180" w:type="dxa"/>
            <w:vAlign w:val="bottom"/>
            <w:shd w:val="clear" w:color="auto" w:fill="E1D0D6"/>
          </w:tcPr>
          <w:p>
            <w:pPr>
              <w:spacing w:after="0"/>
              <w:rPr>
                <w:sz w:val="7"/>
                <w:szCs w:val="7"/>
                <w:color w:val="auto"/>
              </w:rPr>
            </w:pPr>
          </w:p>
        </w:tc>
        <w:tc>
          <w:tcPr>
            <w:tcW w:w="1120" w:type="dxa"/>
            <w:vAlign w:val="bottom"/>
            <w:tcBorders>
              <w:right w:val="single" w:sz="8" w:color="E1D0D6"/>
            </w:tcBorders>
            <w:vMerge w:val="continue"/>
            <w:shd w:val="clear" w:color="auto" w:fill="E1D0D6"/>
          </w:tcPr>
          <w:p>
            <w:pPr>
              <w:spacing w:after="0"/>
              <w:rPr>
                <w:sz w:val="7"/>
                <w:szCs w:val="7"/>
                <w:color w:val="auto"/>
              </w:rPr>
            </w:pPr>
          </w:p>
        </w:tc>
        <w:tc>
          <w:tcPr>
            <w:tcW w:w="720" w:type="dxa"/>
            <w:vAlign w:val="bottom"/>
            <w:vMerge w:val="continue"/>
            <w:shd w:val="clear" w:color="auto" w:fill="E1D0D6"/>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600" w:type="dxa"/>
            <w:vAlign w:val="bottom"/>
            <w:tcBorders>
              <w:bottom w:val="single" w:sz="8" w:color="E1D0D6"/>
            </w:tcBorders>
            <w:shd w:val="clear" w:color="auto" w:fill="E1D0D6"/>
          </w:tcPr>
          <w:p>
            <w:pPr>
              <w:spacing w:after="0"/>
              <w:rPr>
                <w:sz w:val="8"/>
                <w:szCs w:val="8"/>
                <w:color w:val="auto"/>
              </w:rPr>
            </w:pPr>
          </w:p>
        </w:tc>
        <w:tc>
          <w:tcPr>
            <w:tcW w:w="3320" w:type="dxa"/>
            <w:vAlign w:val="bottom"/>
            <w:tcBorders>
              <w:bottom w:val="single" w:sz="8" w:color="E1D0D6"/>
              <w:right w:val="single" w:sz="8" w:color="E1D0D6"/>
            </w:tcBorders>
            <w:vMerge w:val="continue"/>
            <w:shd w:val="clear" w:color="auto" w:fill="E1D0D6"/>
          </w:tcPr>
          <w:p>
            <w:pPr>
              <w:spacing w:after="0"/>
              <w:rPr>
                <w:sz w:val="8"/>
                <w:szCs w:val="8"/>
                <w:color w:val="auto"/>
              </w:rPr>
            </w:pPr>
          </w:p>
        </w:tc>
        <w:tc>
          <w:tcPr>
            <w:tcW w:w="860" w:type="dxa"/>
            <w:vAlign w:val="bottom"/>
            <w:tcBorders>
              <w:bottom w:val="single" w:sz="8" w:color="E1D0D6"/>
              <w:right w:val="single" w:sz="8" w:color="E1D0D6"/>
            </w:tcBorders>
            <w:shd w:val="clear" w:color="auto" w:fill="E1D0D6"/>
          </w:tcPr>
          <w:p>
            <w:pPr>
              <w:spacing w:after="0"/>
              <w:rPr>
                <w:sz w:val="8"/>
                <w:szCs w:val="8"/>
                <w:color w:val="auto"/>
              </w:rPr>
            </w:pPr>
          </w:p>
        </w:tc>
        <w:tc>
          <w:tcPr>
            <w:tcW w:w="140" w:type="dxa"/>
            <w:vAlign w:val="bottom"/>
            <w:tcBorders>
              <w:bottom w:val="single" w:sz="8" w:color="E1D0D6"/>
            </w:tcBorders>
            <w:shd w:val="clear" w:color="auto" w:fill="E1D0D6"/>
          </w:tcPr>
          <w:p>
            <w:pPr>
              <w:spacing w:after="0"/>
              <w:rPr>
                <w:sz w:val="8"/>
                <w:szCs w:val="8"/>
                <w:color w:val="auto"/>
              </w:rPr>
            </w:pPr>
          </w:p>
        </w:tc>
        <w:tc>
          <w:tcPr>
            <w:tcW w:w="1120" w:type="dxa"/>
            <w:vAlign w:val="bottom"/>
            <w:tcBorders>
              <w:bottom w:val="single" w:sz="8" w:color="E1D0D6"/>
              <w:right w:val="single" w:sz="8" w:color="E1D0D6"/>
            </w:tcBorders>
            <w:shd w:val="clear" w:color="auto" w:fill="E1D0D6"/>
          </w:tcPr>
          <w:p>
            <w:pPr>
              <w:spacing w:after="0"/>
              <w:rPr>
                <w:sz w:val="8"/>
                <w:szCs w:val="8"/>
                <w:color w:val="auto"/>
              </w:rPr>
            </w:pPr>
          </w:p>
        </w:tc>
        <w:tc>
          <w:tcPr>
            <w:tcW w:w="160" w:type="dxa"/>
            <w:vAlign w:val="bottom"/>
            <w:tcBorders>
              <w:bottom w:val="single" w:sz="8" w:color="E1D0D6"/>
            </w:tcBorders>
            <w:shd w:val="clear" w:color="auto" w:fill="E1D0D6"/>
          </w:tcPr>
          <w:p>
            <w:pPr>
              <w:spacing w:after="0"/>
              <w:rPr>
                <w:sz w:val="8"/>
                <w:szCs w:val="8"/>
                <w:color w:val="auto"/>
              </w:rPr>
            </w:pPr>
          </w:p>
        </w:tc>
        <w:tc>
          <w:tcPr>
            <w:tcW w:w="1140" w:type="dxa"/>
            <w:vAlign w:val="bottom"/>
            <w:tcBorders>
              <w:bottom w:val="single" w:sz="8" w:color="E1D0D6"/>
              <w:right w:val="single" w:sz="8" w:color="E1D0D6"/>
            </w:tcBorders>
            <w:shd w:val="clear" w:color="auto" w:fill="E1D0D6"/>
          </w:tcPr>
          <w:p>
            <w:pPr>
              <w:spacing w:after="0"/>
              <w:rPr>
                <w:sz w:val="8"/>
                <w:szCs w:val="8"/>
                <w:color w:val="auto"/>
              </w:rPr>
            </w:pPr>
          </w:p>
        </w:tc>
        <w:tc>
          <w:tcPr>
            <w:tcW w:w="160" w:type="dxa"/>
            <w:vAlign w:val="bottom"/>
            <w:tcBorders>
              <w:bottom w:val="single" w:sz="8" w:color="E1D0D6"/>
            </w:tcBorders>
            <w:shd w:val="clear" w:color="auto" w:fill="E1D0D6"/>
          </w:tcPr>
          <w:p>
            <w:pPr>
              <w:spacing w:after="0"/>
              <w:rPr>
                <w:sz w:val="8"/>
                <w:szCs w:val="8"/>
                <w:color w:val="auto"/>
              </w:rPr>
            </w:pPr>
          </w:p>
        </w:tc>
        <w:tc>
          <w:tcPr>
            <w:tcW w:w="1100" w:type="dxa"/>
            <w:vAlign w:val="bottom"/>
            <w:tcBorders>
              <w:bottom w:val="single" w:sz="8" w:color="E1D0D6"/>
              <w:right w:val="single" w:sz="8" w:color="E1D0D6"/>
            </w:tcBorders>
            <w:shd w:val="clear" w:color="auto" w:fill="E1D0D6"/>
          </w:tcPr>
          <w:p>
            <w:pPr>
              <w:spacing w:after="0"/>
              <w:rPr>
                <w:sz w:val="8"/>
                <w:szCs w:val="8"/>
                <w:color w:val="auto"/>
              </w:rPr>
            </w:pPr>
          </w:p>
        </w:tc>
        <w:tc>
          <w:tcPr>
            <w:tcW w:w="180" w:type="dxa"/>
            <w:vAlign w:val="bottom"/>
            <w:tcBorders>
              <w:bottom w:val="single" w:sz="8" w:color="E1D0D6"/>
            </w:tcBorders>
            <w:shd w:val="clear" w:color="auto" w:fill="E1D0D6"/>
          </w:tcPr>
          <w:p>
            <w:pPr>
              <w:spacing w:after="0"/>
              <w:rPr>
                <w:sz w:val="8"/>
                <w:szCs w:val="8"/>
                <w:color w:val="auto"/>
              </w:rPr>
            </w:pPr>
          </w:p>
        </w:tc>
        <w:tc>
          <w:tcPr>
            <w:tcW w:w="1120" w:type="dxa"/>
            <w:vAlign w:val="bottom"/>
            <w:tcBorders>
              <w:bottom w:val="single" w:sz="8" w:color="E1D0D6"/>
              <w:right w:val="single" w:sz="8" w:color="E1D0D6"/>
            </w:tcBorders>
            <w:shd w:val="clear" w:color="auto" w:fill="E1D0D6"/>
          </w:tcPr>
          <w:p>
            <w:pPr>
              <w:spacing w:after="0"/>
              <w:rPr>
                <w:sz w:val="8"/>
                <w:szCs w:val="8"/>
                <w:color w:val="auto"/>
              </w:rPr>
            </w:pPr>
          </w:p>
        </w:tc>
        <w:tc>
          <w:tcPr>
            <w:tcW w:w="720" w:type="dxa"/>
            <w:vAlign w:val="bottom"/>
            <w:tcBorders>
              <w:bottom w:val="single" w:sz="8" w:color="E1D0D6"/>
            </w:tcBorders>
            <w:shd w:val="clear" w:color="auto" w:fill="E1D0D6"/>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600" w:type="dxa"/>
            <w:vAlign w:val="bottom"/>
          </w:tcPr>
          <w:p>
            <w:pPr>
              <w:ind w:left="60"/>
              <w:spacing w:after="0"/>
              <w:rPr>
                <w:sz w:val="20"/>
                <w:szCs w:val="20"/>
                <w:color w:val="auto"/>
              </w:rPr>
            </w:pPr>
            <w:r>
              <w:rPr>
                <w:rFonts w:ascii="Arial" w:cs="Arial" w:eastAsia="Arial" w:hAnsi="Arial"/>
                <w:sz w:val="14"/>
                <w:szCs w:val="14"/>
                <w:color w:val="auto"/>
              </w:rPr>
              <w:t>Goal 4 -</w:t>
            </w:r>
          </w:p>
        </w:tc>
        <w:tc>
          <w:tcPr>
            <w:tcW w:w="3320" w:type="dxa"/>
            <w:vAlign w:val="bottom"/>
            <w:tcBorders>
              <w:right w:val="single" w:sz="8" w:color="E2EDED"/>
            </w:tcBorders>
          </w:tcPr>
          <w:p>
            <w:pPr>
              <w:ind w:left="60"/>
              <w:spacing w:after="0"/>
              <w:rPr>
                <w:sz w:val="20"/>
                <w:szCs w:val="20"/>
                <w:color w:val="auto"/>
              </w:rPr>
            </w:pPr>
            <w:r>
              <w:rPr>
                <w:rFonts w:ascii="Arial" w:cs="Arial" w:eastAsia="Arial" w:hAnsi="Arial"/>
                <w:sz w:val="14"/>
                <w:szCs w:val="14"/>
                <w:color w:val="auto"/>
              </w:rPr>
              <w:t>Macau Operations,</w:t>
            </w:r>
          </w:p>
        </w:tc>
        <w:tc>
          <w:tcPr>
            <w:tcW w:w="860" w:type="dxa"/>
            <w:vAlign w:val="bottom"/>
            <w:tcBorders>
              <w:right w:val="single" w:sz="8" w:color="E2EDED"/>
            </w:tcBorders>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E2EDED"/>
            </w:tcBorders>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Borders>
              <w:right w:val="single" w:sz="8" w:color="E2EDED"/>
            </w:tcBorders>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Borders>
              <w:right w:val="single" w:sz="8" w:color="E2EDED"/>
            </w:tcBorders>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Borders>
              <w:right w:val="single" w:sz="8" w:color="E2EDED"/>
            </w:tcBorders>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3320" w:type="dxa"/>
            <w:vAlign w:val="bottom"/>
            <w:tcBorders>
              <w:right w:val="single" w:sz="8" w:color="E2EDED"/>
            </w:tcBorders>
          </w:tcPr>
          <w:p>
            <w:pPr>
              <w:ind w:left="60"/>
              <w:spacing w:after="0" w:line="156" w:lineRule="exact"/>
              <w:rPr>
                <w:sz w:val="20"/>
                <w:szCs w:val="20"/>
                <w:color w:val="auto"/>
              </w:rPr>
            </w:pPr>
            <w:r>
              <w:rPr>
                <w:rFonts w:ascii="Arial" w:cs="Arial" w:eastAsia="Arial" w:hAnsi="Arial"/>
                <w:sz w:val="14"/>
                <w:szCs w:val="14"/>
                <w:color w:val="auto"/>
              </w:rPr>
              <w:t>Market Share of Gross Gaming Revenues on Mass</w:t>
            </w:r>
          </w:p>
        </w:tc>
        <w:tc>
          <w:tcPr>
            <w:tcW w:w="860" w:type="dxa"/>
            <w:vAlign w:val="bottom"/>
            <w:tcBorders>
              <w:right w:val="single" w:sz="8" w:color="E2EDED"/>
            </w:tcBorders>
          </w:tcPr>
          <w:p>
            <w:pPr>
              <w:jc w:val="right"/>
              <w:ind w:right="413"/>
              <w:spacing w:after="0" w:line="156" w:lineRule="exact"/>
              <w:rPr>
                <w:sz w:val="20"/>
                <w:szCs w:val="20"/>
                <w:color w:val="auto"/>
              </w:rPr>
            </w:pPr>
            <w:r>
              <w:rPr>
                <w:rFonts w:ascii="Arial" w:cs="Arial" w:eastAsia="Arial" w:hAnsi="Arial"/>
                <w:sz w:val="14"/>
                <w:szCs w:val="14"/>
                <w:color w:val="auto"/>
              </w:rPr>
              <w:t>25%</w:t>
            </w:r>
          </w:p>
        </w:tc>
        <w:tc>
          <w:tcPr>
            <w:tcW w:w="140" w:type="dxa"/>
            <w:vAlign w:val="bottom"/>
          </w:tcPr>
          <w:p>
            <w:pPr>
              <w:spacing w:after="0"/>
              <w:rPr>
                <w:sz w:val="13"/>
                <w:szCs w:val="13"/>
                <w:color w:val="auto"/>
              </w:rPr>
            </w:pPr>
          </w:p>
        </w:tc>
        <w:tc>
          <w:tcPr>
            <w:tcW w:w="1120" w:type="dxa"/>
            <w:vAlign w:val="bottom"/>
            <w:tcBorders>
              <w:right w:val="single" w:sz="8" w:color="E2EDED"/>
            </w:tcBorders>
          </w:tcPr>
          <w:p>
            <w:pPr>
              <w:jc w:val="center"/>
              <w:ind w:right="55"/>
              <w:spacing w:after="0" w:line="156" w:lineRule="exact"/>
              <w:rPr>
                <w:sz w:val="20"/>
                <w:szCs w:val="20"/>
                <w:color w:val="auto"/>
              </w:rPr>
            </w:pPr>
            <w:r>
              <w:rPr>
                <w:rFonts w:ascii="Arial" w:cs="Arial" w:eastAsia="Arial" w:hAnsi="Arial"/>
                <w:sz w:val="14"/>
                <w:szCs w:val="14"/>
                <w:color w:val="auto"/>
              </w:rPr>
              <w:t>13.50%</w:t>
            </w:r>
          </w:p>
        </w:tc>
        <w:tc>
          <w:tcPr>
            <w:tcW w:w="160" w:type="dxa"/>
            <w:vAlign w:val="bottom"/>
          </w:tcPr>
          <w:p>
            <w:pPr>
              <w:spacing w:after="0"/>
              <w:rPr>
                <w:sz w:val="13"/>
                <w:szCs w:val="13"/>
                <w:color w:val="auto"/>
              </w:rPr>
            </w:pPr>
          </w:p>
        </w:tc>
        <w:tc>
          <w:tcPr>
            <w:tcW w:w="1140" w:type="dxa"/>
            <w:vAlign w:val="bottom"/>
            <w:tcBorders>
              <w:right w:val="single" w:sz="8" w:color="E2EDED"/>
            </w:tcBorders>
          </w:tcPr>
          <w:p>
            <w:pPr>
              <w:jc w:val="center"/>
              <w:ind w:right="75"/>
              <w:spacing w:after="0" w:line="156" w:lineRule="exact"/>
              <w:rPr>
                <w:sz w:val="20"/>
                <w:szCs w:val="20"/>
                <w:color w:val="auto"/>
              </w:rPr>
            </w:pPr>
            <w:r>
              <w:rPr>
                <w:rFonts w:ascii="Arial" w:cs="Arial" w:eastAsia="Arial" w:hAnsi="Arial"/>
                <w:sz w:val="14"/>
                <w:szCs w:val="14"/>
                <w:color w:val="auto"/>
              </w:rPr>
              <w:t>14.00%</w:t>
            </w:r>
          </w:p>
        </w:tc>
        <w:tc>
          <w:tcPr>
            <w:tcW w:w="160" w:type="dxa"/>
            <w:vAlign w:val="bottom"/>
          </w:tcPr>
          <w:p>
            <w:pPr>
              <w:spacing w:after="0"/>
              <w:rPr>
                <w:sz w:val="13"/>
                <w:szCs w:val="13"/>
                <w:color w:val="auto"/>
              </w:rPr>
            </w:pPr>
          </w:p>
        </w:tc>
        <w:tc>
          <w:tcPr>
            <w:tcW w:w="1100" w:type="dxa"/>
            <w:vAlign w:val="bottom"/>
            <w:tcBorders>
              <w:right w:val="single" w:sz="8" w:color="E2EDED"/>
            </w:tcBorders>
          </w:tcPr>
          <w:p>
            <w:pPr>
              <w:jc w:val="center"/>
              <w:ind w:right="55"/>
              <w:spacing w:after="0" w:line="156" w:lineRule="exact"/>
              <w:rPr>
                <w:sz w:val="20"/>
                <w:szCs w:val="20"/>
                <w:color w:val="auto"/>
              </w:rPr>
            </w:pPr>
            <w:r>
              <w:rPr>
                <w:rFonts w:ascii="Arial" w:cs="Arial" w:eastAsia="Arial" w:hAnsi="Arial"/>
                <w:sz w:val="14"/>
                <w:szCs w:val="14"/>
                <w:color w:val="auto"/>
                <w:w w:val="96"/>
              </w:rPr>
              <w:t>15.00%</w:t>
            </w:r>
          </w:p>
        </w:tc>
        <w:tc>
          <w:tcPr>
            <w:tcW w:w="180" w:type="dxa"/>
            <w:vAlign w:val="bottom"/>
          </w:tcPr>
          <w:p>
            <w:pPr>
              <w:spacing w:after="0"/>
              <w:rPr>
                <w:sz w:val="13"/>
                <w:szCs w:val="13"/>
                <w:color w:val="auto"/>
              </w:rPr>
            </w:pPr>
          </w:p>
        </w:tc>
        <w:tc>
          <w:tcPr>
            <w:tcW w:w="1120" w:type="dxa"/>
            <w:vAlign w:val="bottom"/>
            <w:tcBorders>
              <w:right w:val="single" w:sz="8" w:color="E2EDED"/>
            </w:tcBorders>
          </w:tcPr>
          <w:p>
            <w:pPr>
              <w:ind w:left="260"/>
              <w:spacing w:after="0" w:line="156" w:lineRule="exact"/>
              <w:rPr>
                <w:sz w:val="20"/>
                <w:szCs w:val="20"/>
                <w:color w:val="auto"/>
              </w:rPr>
            </w:pPr>
            <w:r>
              <w:rPr>
                <w:rFonts w:ascii="Arial" w:cs="Arial" w:eastAsia="Arial" w:hAnsi="Arial"/>
                <w:sz w:val="14"/>
                <w:szCs w:val="14"/>
                <w:color w:val="auto"/>
              </w:rPr>
              <w:t>13.80%</w:t>
            </w:r>
          </w:p>
        </w:tc>
        <w:tc>
          <w:tcPr>
            <w:tcW w:w="720" w:type="dxa"/>
            <w:vAlign w:val="bottom"/>
          </w:tcPr>
          <w:p>
            <w:pPr>
              <w:jc w:val="center"/>
              <w:spacing w:after="0" w:line="156" w:lineRule="exact"/>
              <w:rPr>
                <w:sz w:val="20"/>
                <w:szCs w:val="20"/>
                <w:color w:val="auto"/>
              </w:rPr>
            </w:pPr>
            <w:r>
              <w:rPr>
                <w:rFonts w:ascii="Arial" w:cs="Arial" w:eastAsia="Arial" w:hAnsi="Arial"/>
                <w:sz w:val="14"/>
                <w:szCs w:val="14"/>
                <w:color w:val="auto"/>
                <w:w w:val="99"/>
              </w:rPr>
              <w:t>Threshold</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17"/>
                <w:szCs w:val="17"/>
                <w:color w:val="auto"/>
              </w:rPr>
            </w:pPr>
          </w:p>
        </w:tc>
        <w:tc>
          <w:tcPr>
            <w:tcW w:w="3320" w:type="dxa"/>
            <w:vAlign w:val="bottom"/>
            <w:tcBorders>
              <w:right w:val="single" w:sz="8" w:color="E2EDED"/>
            </w:tcBorders>
          </w:tcPr>
          <w:p>
            <w:pPr>
              <w:ind w:left="60"/>
              <w:spacing w:after="0"/>
              <w:rPr>
                <w:sz w:val="20"/>
                <w:szCs w:val="20"/>
                <w:color w:val="auto"/>
              </w:rPr>
            </w:pPr>
            <w:r>
              <w:rPr>
                <w:rFonts w:ascii="Arial" w:cs="Arial" w:eastAsia="Arial" w:hAnsi="Arial"/>
                <w:sz w:val="14"/>
                <w:szCs w:val="14"/>
                <w:color w:val="auto"/>
              </w:rPr>
              <w:t>Table Games and Slot Machines (1)</w:t>
            </w:r>
          </w:p>
        </w:tc>
        <w:tc>
          <w:tcPr>
            <w:tcW w:w="860" w:type="dxa"/>
            <w:vAlign w:val="bottom"/>
            <w:tcBorders>
              <w:right w:val="single" w:sz="8" w:color="E2EDED"/>
            </w:tcBorders>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right w:val="single" w:sz="8" w:color="E2EDED"/>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right w:val="single" w:sz="8" w:color="E2EDED"/>
            </w:tcBorders>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right w:val="single" w:sz="8" w:color="E2EDED"/>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right w:val="single" w:sz="8" w:color="E2EDED"/>
            </w:tcBorders>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00" w:type="dxa"/>
            <w:vAlign w:val="bottom"/>
            <w:shd w:val="clear" w:color="auto" w:fill="E1D0D6"/>
          </w:tcPr>
          <w:p>
            <w:pPr>
              <w:ind w:left="60"/>
              <w:spacing w:after="0"/>
              <w:rPr>
                <w:sz w:val="20"/>
                <w:szCs w:val="20"/>
                <w:color w:val="auto"/>
              </w:rPr>
            </w:pPr>
            <w:r>
              <w:rPr>
                <w:rFonts w:ascii="Arial" w:cs="Arial" w:eastAsia="Arial" w:hAnsi="Arial"/>
                <w:sz w:val="14"/>
                <w:szCs w:val="14"/>
                <w:color w:val="auto"/>
              </w:rPr>
              <w:t>Goal 5 -</w:t>
            </w:r>
          </w:p>
        </w:tc>
        <w:tc>
          <w:tcPr>
            <w:tcW w:w="3320" w:type="dxa"/>
            <w:vAlign w:val="bottom"/>
            <w:tcBorders>
              <w:right w:val="single" w:sz="8" w:color="E1D0D6"/>
            </w:tcBorders>
            <w:shd w:val="clear" w:color="auto" w:fill="E1D0D6"/>
          </w:tcPr>
          <w:p>
            <w:pPr>
              <w:ind w:left="60"/>
              <w:spacing w:after="0"/>
              <w:rPr>
                <w:sz w:val="20"/>
                <w:szCs w:val="20"/>
                <w:color w:val="auto"/>
              </w:rPr>
            </w:pPr>
            <w:r>
              <w:rPr>
                <w:rFonts w:ascii="Arial" w:cs="Arial" w:eastAsia="Arial" w:hAnsi="Arial"/>
                <w:sz w:val="14"/>
                <w:szCs w:val="14"/>
                <w:color w:val="auto"/>
              </w:rPr>
              <w:t>Wynn Las Vegas,</w:t>
            </w:r>
          </w:p>
        </w:tc>
        <w:tc>
          <w:tcPr>
            <w:tcW w:w="860" w:type="dxa"/>
            <w:vAlign w:val="bottom"/>
            <w:tcBorders>
              <w:right w:val="single" w:sz="8" w:color="E1D0D6"/>
            </w:tcBorders>
            <w:vMerge w:val="restart"/>
            <w:shd w:val="clear" w:color="auto" w:fill="E1D0D6"/>
          </w:tcPr>
          <w:p>
            <w:pPr>
              <w:jc w:val="right"/>
              <w:ind w:right="413"/>
              <w:spacing w:after="0"/>
              <w:rPr>
                <w:sz w:val="20"/>
                <w:szCs w:val="20"/>
                <w:color w:val="auto"/>
              </w:rPr>
            </w:pPr>
            <w:r>
              <w:rPr>
                <w:rFonts w:ascii="Arial" w:cs="Arial" w:eastAsia="Arial" w:hAnsi="Arial"/>
                <w:sz w:val="14"/>
                <w:szCs w:val="14"/>
                <w:color w:val="auto"/>
              </w:rPr>
              <w:t>10%</w:t>
            </w:r>
          </w:p>
        </w:tc>
        <w:tc>
          <w:tcPr>
            <w:tcW w:w="140" w:type="dxa"/>
            <w:vAlign w:val="bottom"/>
            <w:shd w:val="clear" w:color="auto" w:fill="E1D0D6"/>
          </w:tcPr>
          <w:p>
            <w:pPr>
              <w:spacing w:after="0"/>
              <w:rPr>
                <w:sz w:val="19"/>
                <w:szCs w:val="19"/>
                <w:color w:val="auto"/>
              </w:rPr>
            </w:pPr>
          </w:p>
        </w:tc>
        <w:tc>
          <w:tcPr>
            <w:tcW w:w="1120" w:type="dxa"/>
            <w:vAlign w:val="bottom"/>
            <w:tcBorders>
              <w:right w:val="single" w:sz="8" w:color="E1D0D6"/>
            </w:tcBorders>
            <w:vMerge w:val="restart"/>
            <w:shd w:val="clear" w:color="auto" w:fill="E1D0D6"/>
          </w:tcPr>
          <w:p>
            <w:pPr>
              <w:jc w:val="center"/>
              <w:ind w:right="55"/>
              <w:spacing w:after="0"/>
              <w:rPr>
                <w:sz w:val="20"/>
                <w:szCs w:val="20"/>
                <w:color w:val="auto"/>
              </w:rPr>
            </w:pPr>
            <w:r>
              <w:rPr>
                <w:rFonts w:ascii="Arial" w:cs="Arial" w:eastAsia="Arial" w:hAnsi="Arial"/>
                <w:sz w:val="14"/>
                <w:szCs w:val="14"/>
                <w:color w:val="auto"/>
                <w:w w:val="84"/>
              </w:rPr>
              <w:t>-</w:t>
            </w:r>
          </w:p>
        </w:tc>
        <w:tc>
          <w:tcPr>
            <w:tcW w:w="160" w:type="dxa"/>
            <w:vAlign w:val="bottom"/>
            <w:shd w:val="clear" w:color="auto" w:fill="E1D0D6"/>
          </w:tcPr>
          <w:p>
            <w:pPr>
              <w:spacing w:after="0"/>
              <w:rPr>
                <w:sz w:val="19"/>
                <w:szCs w:val="19"/>
                <w:color w:val="auto"/>
              </w:rPr>
            </w:pPr>
          </w:p>
        </w:tc>
        <w:tc>
          <w:tcPr>
            <w:tcW w:w="1140" w:type="dxa"/>
            <w:vAlign w:val="bottom"/>
            <w:tcBorders>
              <w:right w:val="single" w:sz="8" w:color="E1D0D6"/>
            </w:tcBorders>
            <w:vMerge w:val="restart"/>
            <w:shd w:val="clear" w:color="auto" w:fill="E1D0D6"/>
          </w:tcPr>
          <w:p>
            <w:pPr>
              <w:jc w:val="center"/>
              <w:ind w:right="75"/>
              <w:spacing w:after="0"/>
              <w:rPr>
                <w:sz w:val="20"/>
                <w:szCs w:val="20"/>
                <w:color w:val="auto"/>
              </w:rPr>
            </w:pPr>
            <w:r>
              <w:rPr>
                <w:rFonts w:ascii="Arial" w:cs="Arial" w:eastAsia="Arial" w:hAnsi="Arial"/>
                <w:sz w:val="14"/>
                <w:szCs w:val="14"/>
                <w:color w:val="auto"/>
                <w:w w:val="98"/>
              </w:rPr>
              <w:t>Achievement</w:t>
            </w:r>
          </w:p>
        </w:tc>
        <w:tc>
          <w:tcPr>
            <w:tcW w:w="160" w:type="dxa"/>
            <w:vAlign w:val="bottom"/>
            <w:shd w:val="clear" w:color="auto" w:fill="E1D0D6"/>
          </w:tcPr>
          <w:p>
            <w:pPr>
              <w:spacing w:after="0"/>
              <w:rPr>
                <w:sz w:val="19"/>
                <w:szCs w:val="19"/>
                <w:color w:val="auto"/>
              </w:rPr>
            </w:pPr>
          </w:p>
        </w:tc>
        <w:tc>
          <w:tcPr>
            <w:tcW w:w="1100" w:type="dxa"/>
            <w:vAlign w:val="bottom"/>
            <w:tcBorders>
              <w:right w:val="single" w:sz="8" w:color="E1D0D6"/>
            </w:tcBorders>
            <w:vMerge w:val="restart"/>
            <w:shd w:val="clear" w:color="auto" w:fill="E1D0D6"/>
          </w:tcPr>
          <w:p>
            <w:pPr>
              <w:jc w:val="center"/>
              <w:ind w:right="55"/>
              <w:spacing w:after="0"/>
              <w:rPr>
                <w:sz w:val="20"/>
                <w:szCs w:val="20"/>
                <w:color w:val="auto"/>
              </w:rPr>
            </w:pPr>
            <w:r>
              <w:rPr>
                <w:rFonts w:ascii="Arial" w:cs="Arial" w:eastAsia="Arial" w:hAnsi="Arial"/>
                <w:sz w:val="14"/>
                <w:szCs w:val="14"/>
                <w:color w:val="auto"/>
              </w:rPr>
              <w:t>-</w:t>
            </w:r>
          </w:p>
        </w:tc>
        <w:tc>
          <w:tcPr>
            <w:tcW w:w="180" w:type="dxa"/>
            <w:vAlign w:val="bottom"/>
            <w:shd w:val="clear" w:color="auto" w:fill="E1D0D6"/>
          </w:tcPr>
          <w:p>
            <w:pPr>
              <w:spacing w:after="0"/>
              <w:rPr>
                <w:sz w:val="19"/>
                <w:szCs w:val="19"/>
                <w:color w:val="auto"/>
              </w:rPr>
            </w:pPr>
          </w:p>
        </w:tc>
        <w:tc>
          <w:tcPr>
            <w:tcW w:w="1120" w:type="dxa"/>
            <w:vAlign w:val="bottom"/>
            <w:tcBorders>
              <w:right w:val="single" w:sz="8" w:color="E1D0D6"/>
            </w:tcBorders>
            <w:vMerge w:val="restart"/>
            <w:shd w:val="clear" w:color="auto" w:fill="E1D0D6"/>
          </w:tcPr>
          <w:p>
            <w:pPr>
              <w:ind w:left="220"/>
              <w:spacing w:after="0"/>
              <w:rPr>
                <w:sz w:val="20"/>
                <w:szCs w:val="20"/>
                <w:color w:val="auto"/>
              </w:rPr>
            </w:pPr>
            <w:r>
              <w:rPr>
                <w:rFonts w:ascii="Arial" w:cs="Arial" w:eastAsia="Arial" w:hAnsi="Arial"/>
                <w:sz w:val="14"/>
                <w:szCs w:val="14"/>
                <w:color w:val="auto"/>
              </w:rPr>
              <w:t>Achieved</w:t>
            </w:r>
          </w:p>
        </w:tc>
        <w:tc>
          <w:tcPr>
            <w:tcW w:w="720" w:type="dxa"/>
            <w:vAlign w:val="bottom"/>
            <w:vMerge w:val="restart"/>
            <w:shd w:val="clear" w:color="auto" w:fill="E1D0D6"/>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87"/>
        </w:trPr>
        <w:tc>
          <w:tcPr>
            <w:tcW w:w="600" w:type="dxa"/>
            <w:vAlign w:val="bottom"/>
            <w:shd w:val="clear" w:color="auto" w:fill="E1D0D6"/>
          </w:tcPr>
          <w:p>
            <w:pPr>
              <w:spacing w:after="0"/>
              <w:rPr>
                <w:sz w:val="7"/>
                <w:szCs w:val="7"/>
                <w:color w:val="auto"/>
              </w:rPr>
            </w:pPr>
          </w:p>
        </w:tc>
        <w:tc>
          <w:tcPr>
            <w:tcW w:w="3320" w:type="dxa"/>
            <w:vAlign w:val="bottom"/>
            <w:tcBorders>
              <w:right w:val="single" w:sz="8" w:color="E1D0D6"/>
            </w:tcBorders>
            <w:vMerge w:val="restart"/>
            <w:shd w:val="clear" w:color="auto" w:fill="E1D0D6"/>
          </w:tcPr>
          <w:p>
            <w:pPr>
              <w:ind w:left="60"/>
              <w:spacing w:after="0"/>
              <w:rPr>
                <w:sz w:val="20"/>
                <w:szCs w:val="20"/>
                <w:color w:val="auto"/>
              </w:rPr>
            </w:pPr>
            <w:r>
              <w:rPr>
                <w:rFonts w:ascii="Arial" w:cs="Arial" w:eastAsia="Arial" w:hAnsi="Arial"/>
                <w:sz w:val="14"/>
                <w:szCs w:val="14"/>
                <w:color w:val="auto"/>
              </w:rPr>
              <w:t>Achievement of Forbes Five-Star (2)</w:t>
            </w:r>
          </w:p>
        </w:tc>
        <w:tc>
          <w:tcPr>
            <w:tcW w:w="860" w:type="dxa"/>
            <w:vAlign w:val="bottom"/>
            <w:tcBorders>
              <w:right w:val="single" w:sz="8" w:color="E1D0D6"/>
            </w:tcBorders>
            <w:vMerge w:val="continue"/>
            <w:shd w:val="clear" w:color="auto" w:fill="E1D0D6"/>
          </w:tcPr>
          <w:p>
            <w:pPr>
              <w:spacing w:after="0"/>
              <w:rPr>
                <w:sz w:val="7"/>
                <w:szCs w:val="7"/>
                <w:color w:val="auto"/>
              </w:rPr>
            </w:pPr>
          </w:p>
        </w:tc>
        <w:tc>
          <w:tcPr>
            <w:tcW w:w="140" w:type="dxa"/>
            <w:vAlign w:val="bottom"/>
            <w:shd w:val="clear" w:color="auto" w:fill="E1D0D6"/>
          </w:tcPr>
          <w:p>
            <w:pPr>
              <w:spacing w:after="0"/>
              <w:rPr>
                <w:sz w:val="7"/>
                <w:szCs w:val="7"/>
                <w:color w:val="auto"/>
              </w:rPr>
            </w:pPr>
          </w:p>
        </w:tc>
        <w:tc>
          <w:tcPr>
            <w:tcW w:w="1120" w:type="dxa"/>
            <w:vAlign w:val="bottom"/>
            <w:tcBorders>
              <w:right w:val="single" w:sz="8" w:color="E1D0D6"/>
            </w:tcBorders>
            <w:vMerge w:val="continue"/>
            <w:shd w:val="clear" w:color="auto" w:fill="E1D0D6"/>
          </w:tcPr>
          <w:p>
            <w:pPr>
              <w:spacing w:after="0"/>
              <w:rPr>
                <w:sz w:val="7"/>
                <w:szCs w:val="7"/>
                <w:color w:val="auto"/>
              </w:rPr>
            </w:pPr>
          </w:p>
        </w:tc>
        <w:tc>
          <w:tcPr>
            <w:tcW w:w="160" w:type="dxa"/>
            <w:vAlign w:val="bottom"/>
            <w:shd w:val="clear" w:color="auto" w:fill="E1D0D6"/>
          </w:tcPr>
          <w:p>
            <w:pPr>
              <w:spacing w:after="0"/>
              <w:rPr>
                <w:sz w:val="7"/>
                <w:szCs w:val="7"/>
                <w:color w:val="auto"/>
              </w:rPr>
            </w:pPr>
          </w:p>
        </w:tc>
        <w:tc>
          <w:tcPr>
            <w:tcW w:w="1140" w:type="dxa"/>
            <w:vAlign w:val="bottom"/>
            <w:tcBorders>
              <w:right w:val="single" w:sz="8" w:color="E1D0D6"/>
            </w:tcBorders>
            <w:vMerge w:val="continue"/>
            <w:shd w:val="clear" w:color="auto" w:fill="E1D0D6"/>
          </w:tcPr>
          <w:p>
            <w:pPr>
              <w:spacing w:after="0"/>
              <w:rPr>
                <w:sz w:val="7"/>
                <w:szCs w:val="7"/>
                <w:color w:val="auto"/>
              </w:rPr>
            </w:pPr>
          </w:p>
        </w:tc>
        <w:tc>
          <w:tcPr>
            <w:tcW w:w="160" w:type="dxa"/>
            <w:vAlign w:val="bottom"/>
            <w:shd w:val="clear" w:color="auto" w:fill="E1D0D6"/>
          </w:tcPr>
          <w:p>
            <w:pPr>
              <w:spacing w:after="0"/>
              <w:rPr>
                <w:sz w:val="7"/>
                <w:szCs w:val="7"/>
                <w:color w:val="auto"/>
              </w:rPr>
            </w:pPr>
          </w:p>
        </w:tc>
        <w:tc>
          <w:tcPr>
            <w:tcW w:w="1100" w:type="dxa"/>
            <w:vAlign w:val="bottom"/>
            <w:tcBorders>
              <w:right w:val="single" w:sz="8" w:color="E1D0D6"/>
            </w:tcBorders>
            <w:vMerge w:val="continue"/>
            <w:shd w:val="clear" w:color="auto" w:fill="E1D0D6"/>
          </w:tcPr>
          <w:p>
            <w:pPr>
              <w:spacing w:after="0"/>
              <w:rPr>
                <w:sz w:val="7"/>
                <w:szCs w:val="7"/>
                <w:color w:val="auto"/>
              </w:rPr>
            </w:pPr>
          </w:p>
        </w:tc>
        <w:tc>
          <w:tcPr>
            <w:tcW w:w="180" w:type="dxa"/>
            <w:vAlign w:val="bottom"/>
            <w:shd w:val="clear" w:color="auto" w:fill="E1D0D6"/>
          </w:tcPr>
          <w:p>
            <w:pPr>
              <w:spacing w:after="0"/>
              <w:rPr>
                <w:sz w:val="7"/>
                <w:szCs w:val="7"/>
                <w:color w:val="auto"/>
              </w:rPr>
            </w:pPr>
          </w:p>
        </w:tc>
        <w:tc>
          <w:tcPr>
            <w:tcW w:w="1120" w:type="dxa"/>
            <w:vAlign w:val="bottom"/>
            <w:tcBorders>
              <w:right w:val="single" w:sz="8" w:color="E1D0D6"/>
            </w:tcBorders>
            <w:vMerge w:val="continue"/>
            <w:shd w:val="clear" w:color="auto" w:fill="E1D0D6"/>
          </w:tcPr>
          <w:p>
            <w:pPr>
              <w:spacing w:after="0"/>
              <w:rPr>
                <w:sz w:val="7"/>
                <w:szCs w:val="7"/>
                <w:color w:val="auto"/>
              </w:rPr>
            </w:pPr>
          </w:p>
        </w:tc>
        <w:tc>
          <w:tcPr>
            <w:tcW w:w="720" w:type="dxa"/>
            <w:vAlign w:val="bottom"/>
            <w:vMerge w:val="continue"/>
            <w:shd w:val="clear" w:color="auto" w:fill="E1D0D6"/>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600" w:type="dxa"/>
            <w:vAlign w:val="bottom"/>
            <w:tcBorders>
              <w:bottom w:val="single" w:sz="8" w:color="E1D0D6"/>
            </w:tcBorders>
            <w:shd w:val="clear" w:color="auto" w:fill="E1D0D6"/>
          </w:tcPr>
          <w:p>
            <w:pPr>
              <w:spacing w:after="0"/>
              <w:rPr>
                <w:sz w:val="8"/>
                <w:szCs w:val="8"/>
                <w:color w:val="auto"/>
              </w:rPr>
            </w:pPr>
          </w:p>
        </w:tc>
        <w:tc>
          <w:tcPr>
            <w:tcW w:w="3320" w:type="dxa"/>
            <w:vAlign w:val="bottom"/>
            <w:tcBorders>
              <w:bottom w:val="single" w:sz="8" w:color="E1D0D6"/>
              <w:right w:val="single" w:sz="8" w:color="E1D0D6"/>
            </w:tcBorders>
            <w:vMerge w:val="continue"/>
            <w:shd w:val="clear" w:color="auto" w:fill="E1D0D6"/>
          </w:tcPr>
          <w:p>
            <w:pPr>
              <w:spacing w:after="0"/>
              <w:rPr>
                <w:sz w:val="8"/>
                <w:szCs w:val="8"/>
                <w:color w:val="auto"/>
              </w:rPr>
            </w:pPr>
          </w:p>
        </w:tc>
        <w:tc>
          <w:tcPr>
            <w:tcW w:w="860" w:type="dxa"/>
            <w:vAlign w:val="bottom"/>
            <w:tcBorders>
              <w:bottom w:val="single" w:sz="8" w:color="E1D0D6"/>
              <w:right w:val="single" w:sz="8" w:color="E1D0D6"/>
            </w:tcBorders>
            <w:shd w:val="clear" w:color="auto" w:fill="E1D0D6"/>
          </w:tcPr>
          <w:p>
            <w:pPr>
              <w:spacing w:after="0"/>
              <w:rPr>
                <w:sz w:val="8"/>
                <w:szCs w:val="8"/>
                <w:color w:val="auto"/>
              </w:rPr>
            </w:pPr>
          </w:p>
        </w:tc>
        <w:tc>
          <w:tcPr>
            <w:tcW w:w="140" w:type="dxa"/>
            <w:vAlign w:val="bottom"/>
            <w:tcBorders>
              <w:bottom w:val="single" w:sz="8" w:color="E1D0D6"/>
            </w:tcBorders>
            <w:shd w:val="clear" w:color="auto" w:fill="E1D0D6"/>
          </w:tcPr>
          <w:p>
            <w:pPr>
              <w:spacing w:after="0"/>
              <w:rPr>
                <w:sz w:val="8"/>
                <w:szCs w:val="8"/>
                <w:color w:val="auto"/>
              </w:rPr>
            </w:pPr>
          </w:p>
        </w:tc>
        <w:tc>
          <w:tcPr>
            <w:tcW w:w="1120" w:type="dxa"/>
            <w:vAlign w:val="bottom"/>
            <w:tcBorders>
              <w:bottom w:val="single" w:sz="8" w:color="E1D0D6"/>
              <w:right w:val="single" w:sz="8" w:color="E1D0D6"/>
            </w:tcBorders>
            <w:shd w:val="clear" w:color="auto" w:fill="E1D0D6"/>
          </w:tcPr>
          <w:p>
            <w:pPr>
              <w:spacing w:after="0"/>
              <w:rPr>
                <w:sz w:val="8"/>
                <w:szCs w:val="8"/>
                <w:color w:val="auto"/>
              </w:rPr>
            </w:pPr>
          </w:p>
        </w:tc>
        <w:tc>
          <w:tcPr>
            <w:tcW w:w="160" w:type="dxa"/>
            <w:vAlign w:val="bottom"/>
            <w:tcBorders>
              <w:bottom w:val="single" w:sz="8" w:color="E1D0D6"/>
            </w:tcBorders>
            <w:shd w:val="clear" w:color="auto" w:fill="E1D0D6"/>
          </w:tcPr>
          <w:p>
            <w:pPr>
              <w:spacing w:after="0"/>
              <w:rPr>
                <w:sz w:val="8"/>
                <w:szCs w:val="8"/>
                <w:color w:val="auto"/>
              </w:rPr>
            </w:pPr>
          </w:p>
        </w:tc>
        <w:tc>
          <w:tcPr>
            <w:tcW w:w="1140" w:type="dxa"/>
            <w:vAlign w:val="bottom"/>
            <w:tcBorders>
              <w:bottom w:val="single" w:sz="8" w:color="E1D0D6"/>
              <w:right w:val="single" w:sz="8" w:color="E1D0D6"/>
            </w:tcBorders>
            <w:shd w:val="clear" w:color="auto" w:fill="E1D0D6"/>
          </w:tcPr>
          <w:p>
            <w:pPr>
              <w:spacing w:after="0"/>
              <w:rPr>
                <w:sz w:val="8"/>
                <w:szCs w:val="8"/>
                <w:color w:val="auto"/>
              </w:rPr>
            </w:pPr>
          </w:p>
        </w:tc>
        <w:tc>
          <w:tcPr>
            <w:tcW w:w="160" w:type="dxa"/>
            <w:vAlign w:val="bottom"/>
            <w:tcBorders>
              <w:bottom w:val="single" w:sz="8" w:color="E1D0D6"/>
            </w:tcBorders>
            <w:shd w:val="clear" w:color="auto" w:fill="E1D0D6"/>
          </w:tcPr>
          <w:p>
            <w:pPr>
              <w:spacing w:after="0"/>
              <w:rPr>
                <w:sz w:val="8"/>
                <w:szCs w:val="8"/>
                <w:color w:val="auto"/>
              </w:rPr>
            </w:pPr>
          </w:p>
        </w:tc>
        <w:tc>
          <w:tcPr>
            <w:tcW w:w="1100" w:type="dxa"/>
            <w:vAlign w:val="bottom"/>
            <w:tcBorders>
              <w:bottom w:val="single" w:sz="8" w:color="E1D0D6"/>
              <w:right w:val="single" w:sz="8" w:color="E1D0D6"/>
            </w:tcBorders>
            <w:shd w:val="clear" w:color="auto" w:fill="E1D0D6"/>
          </w:tcPr>
          <w:p>
            <w:pPr>
              <w:spacing w:after="0"/>
              <w:rPr>
                <w:sz w:val="8"/>
                <w:szCs w:val="8"/>
                <w:color w:val="auto"/>
              </w:rPr>
            </w:pPr>
          </w:p>
        </w:tc>
        <w:tc>
          <w:tcPr>
            <w:tcW w:w="180" w:type="dxa"/>
            <w:vAlign w:val="bottom"/>
            <w:tcBorders>
              <w:bottom w:val="single" w:sz="8" w:color="E1D0D6"/>
            </w:tcBorders>
            <w:shd w:val="clear" w:color="auto" w:fill="E1D0D6"/>
          </w:tcPr>
          <w:p>
            <w:pPr>
              <w:spacing w:after="0"/>
              <w:rPr>
                <w:sz w:val="8"/>
                <w:szCs w:val="8"/>
                <w:color w:val="auto"/>
              </w:rPr>
            </w:pPr>
          </w:p>
        </w:tc>
        <w:tc>
          <w:tcPr>
            <w:tcW w:w="1120" w:type="dxa"/>
            <w:vAlign w:val="bottom"/>
            <w:tcBorders>
              <w:bottom w:val="single" w:sz="8" w:color="E1D0D6"/>
              <w:right w:val="single" w:sz="8" w:color="E1D0D6"/>
            </w:tcBorders>
            <w:shd w:val="clear" w:color="auto" w:fill="E1D0D6"/>
          </w:tcPr>
          <w:p>
            <w:pPr>
              <w:spacing w:after="0"/>
              <w:rPr>
                <w:sz w:val="8"/>
                <w:szCs w:val="8"/>
                <w:color w:val="auto"/>
              </w:rPr>
            </w:pPr>
          </w:p>
        </w:tc>
        <w:tc>
          <w:tcPr>
            <w:tcW w:w="720" w:type="dxa"/>
            <w:vAlign w:val="bottom"/>
            <w:tcBorders>
              <w:bottom w:val="single" w:sz="8" w:color="E1D0D6"/>
            </w:tcBorders>
            <w:shd w:val="clear" w:color="auto" w:fill="E1D0D6"/>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600" w:type="dxa"/>
            <w:vAlign w:val="bottom"/>
          </w:tcPr>
          <w:p>
            <w:pPr>
              <w:ind w:left="60"/>
              <w:spacing w:after="0"/>
              <w:rPr>
                <w:sz w:val="20"/>
                <w:szCs w:val="20"/>
                <w:color w:val="auto"/>
              </w:rPr>
            </w:pPr>
            <w:r>
              <w:rPr>
                <w:rFonts w:ascii="Arial" w:cs="Arial" w:eastAsia="Arial" w:hAnsi="Arial"/>
                <w:sz w:val="14"/>
                <w:szCs w:val="14"/>
                <w:color w:val="auto"/>
              </w:rPr>
              <w:t>Goal 6 -</w:t>
            </w:r>
          </w:p>
        </w:tc>
        <w:tc>
          <w:tcPr>
            <w:tcW w:w="3320" w:type="dxa"/>
            <w:vAlign w:val="bottom"/>
            <w:tcBorders>
              <w:right w:val="single" w:sz="8" w:color="E2EDED"/>
            </w:tcBorders>
          </w:tcPr>
          <w:p>
            <w:pPr>
              <w:ind w:left="60"/>
              <w:spacing w:after="0"/>
              <w:rPr>
                <w:sz w:val="20"/>
                <w:szCs w:val="20"/>
                <w:color w:val="auto"/>
              </w:rPr>
            </w:pPr>
            <w:r>
              <w:rPr>
                <w:rFonts w:ascii="Arial" w:cs="Arial" w:eastAsia="Arial" w:hAnsi="Arial"/>
                <w:sz w:val="14"/>
                <w:szCs w:val="14"/>
                <w:color w:val="auto"/>
              </w:rPr>
              <w:t>Macau Operations,</w:t>
            </w:r>
          </w:p>
        </w:tc>
        <w:tc>
          <w:tcPr>
            <w:tcW w:w="860" w:type="dxa"/>
            <w:vAlign w:val="bottom"/>
            <w:tcBorders>
              <w:right w:val="single" w:sz="8" w:color="E2EDED"/>
            </w:tcBorders>
            <w:vMerge w:val="restart"/>
          </w:tcPr>
          <w:p>
            <w:pPr>
              <w:jc w:val="right"/>
              <w:ind w:right="413"/>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9"/>
                <w:szCs w:val="19"/>
                <w:color w:val="auto"/>
              </w:rPr>
            </w:pPr>
          </w:p>
        </w:tc>
        <w:tc>
          <w:tcPr>
            <w:tcW w:w="1120" w:type="dxa"/>
            <w:vAlign w:val="bottom"/>
            <w:tcBorders>
              <w:right w:val="single" w:sz="8" w:color="E2EDED"/>
            </w:tcBorders>
            <w:vMerge w:val="restart"/>
          </w:tcPr>
          <w:p>
            <w:pPr>
              <w:jc w:val="center"/>
              <w:ind w:right="55"/>
              <w:spacing w:after="0"/>
              <w:rPr>
                <w:sz w:val="20"/>
                <w:szCs w:val="20"/>
                <w:color w:val="auto"/>
              </w:rPr>
            </w:pPr>
            <w:r>
              <w:rPr>
                <w:rFonts w:ascii="Arial" w:cs="Arial" w:eastAsia="Arial" w:hAnsi="Arial"/>
                <w:sz w:val="14"/>
                <w:szCs w:val="14"/>
                <w:color w:val="auto"/>
                <w:w w:val="84"/>
              </w:rPr>
              <w:t>-</w:t>
            </w:r>
          </w:p>
        </w:tc>
        <w:tc>
          <w:tcPr>
            <w:tcW w:w="160" w:type="dxa"/>
            <w:vAlign w:val="bottom"/>
          </w:tcPr>
          <w:p>
            <w:pPr>
              <w:spacing w:after="0"/>
              <w:rPr>
                <w:sz w:val="19"/>
                <w:szCs w:val="19"/>
                <w:color w:val="auto"/>
              </w:rPr>
            </w:pPr>
          </w:p>
        </w:tc>
        <w:tc>
          <w:tcPr>
            <w:tcW w:w="1140" w:type="dxa"/>
            <w:vAlign w:val="bottom"/>
            <w:tcBorders>
              <w:right w:val="single" w:sz="8" w:color="E2EDED"/>
            </w:tcBorders>
            <w:vMerge w:val="restart"/>
          </w:tcPr>
          <w:p>
            <w:pPr>
              <w:jc w:val="center"/>
              <w:ind w:right="75"/>
              <w:spacing w:after="0"/>
              <w:rPr>
                <w:sz w:val="20"/>
                <w:szCs w:val="20"/>
                <w:color w:val="auto"/>
              </w:rPr>
            </w:pPr>
            <w:r>
              <w:rPr>
                <w:rFonts w:ascii="Arial" w:cs="Arial" w:eastAsia="Arial" w:hAnsi="Arial"/>
                <w:sz w:val="14"/>
                <w:szCs w:val="14"/>
                <w:color w:val="auto"/>
                <w:w w:val="98"/>
              </w:rPr>
              <w:t>Achievement</w:t>
            </w:r>
          </w:p>
        </w:tc>
        <w:tc>
          <w:tcPr>
            <w:tcW w:w="160" w:type="dxa"/>
            <w:vAlign w:val="bottom"/>
          </w:tcPr>
          <w:p>
            <w:pPr>
              <w:spacing w:after="0"/>
              <w:rPr>
                <w:sz w:val="19"/>
                <w:szCs w:val="19"/>
                <w:color w:val="auto"/>
              </w:rPr>
            </w:pPr>
          </w:p>
        </w:tc>
        <w:tc>
          <w:tcPr>
            <w:tcW w:w="1100" w:type="dxa"/>
            <w:vAlign w:val="bottom"/>
            <w:tcBorders>
              <w:right w:val="single" w:sz="8" w:color="E2EDED"/>
            </w:tcBorders>
            <w:vMerge w:val="restart"/>
          </w:tcPr>
          <w:p>
            <w:pPr>
              <w:jc w:val="center"/>
              <w:ind w:right="55"/>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120" w:type="dxa"/>
            <w:vAlign w:val="bottom"/>
            <w:tcBorders>
              <w:right w:val="single" w:sz="8" w:color="E2EDED"/>
            </w:tcBorders>
            <w:vMerge w:val="restart"/>
          </w:tcPr>
          <w:p>
            <w:pPr>
              <w:ind w:left="220"/>
              <w:spacing w:after="0"/>
              <w:rPr>
                <w:sz w:val="20"/>
                <w:szCs w:val="20"/>
                <w:color w:val="auto"/>
              </w:rPr>
            </w:pPr>
            <w:r>
              <w:rPr>
                <w:rFonts w:ascii="Arial" w:cs="Arial" w:eastAsia="Arial" w:hAnsi="Arial"/>
                <w:sz w:val="14"/>
                <w:szCs w:val="14"/>
                <w:color w:val="auto"/>
              </w:rPr>
              <w:t>Achieved</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87"/>
        </w:trPr>
        <w:tc>
          <w:tcPr>
            <w:tcW w:w="600" w:type="dxa"/>
            <w:vAlign w:val="bottom"/>
          </w:tcPr>
          <w:p>
            <w:pPr>
              <w:spacing w:after="0"/>
              <w:rPr>
                <w:sz w:val="7"/>
                <w:szCs w:val="7"/>
                <w:color w:val="auto"/>
              </w:rPr>
            </w:pPr>
          </w:p>
        </w:tc>
        <w:tc>
          <w:tcPr>
            <w:tcW w:w="3320" w:type="dxa"/>
            <w:vAlign w:val="bottom"/>
            <w:tcBorders>
              <w:right w:val="single" w:sz="8" w:color="E2EDED"/>
            </w:tcBorders>
            <w:vMerge w:val="restart"/>
          </w:tcPr>
          <w:p>
            <w:pPr>
              <w:ind w:left="60"/>
              <w:spacing w:after="0"/>
              <w:rPr>
                <w:sz w:val="20"/>
                <w:szCs w:val="20"/>
                <w:color w:val="auto"/>
              </w:rPr>
            </w:pPr>
            <w:r>
              <w:rPr>
                <w:rFonts w:ascii="Arial" w:cs="Arial" w:eastAsia="Arial" w:hAnsi="Arial"/>
                <w:sz w:val="14"/>
                <w:szCs w:val="14"/>
                <w:color w:val="auto"/>
              </w:rPr>
              <w:t>Successful Concession Renewal (3)</w:t>
            </w:r>
          </w:p>
        </w:tc>
        <w:tc>
          <w:tcPr>
            <w:tcW w:w="860" w:type="dxa"/>
            <w:vAlign w:val="bottom"/>
            <w:tcBorders>
              <w:right w:val="single" w:sz="8" w:color="E2EDED"/>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Borders>
              <w:right w:val="single" w:sz="8" w:color="E2EDED"/>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Borders>
              <w:right w:val="single" w:sz="8" w:color="E2EDED"/>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Borders>
              <w:right w:val="single" w:sz="8" w:color="E2EDED"/>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Borders>
              <w:right w:val="single" w:sz="8" w:color="E2EDED"/>
            </w:tcBorders>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600" w:type="dxa"/>
            <w:vAlign w:val="bottom"/>
          </w:tcPr>
          <w:p>
            <w:pPr>
              <w:spacing w:after="0"/>
              <w:rPr>
                <w:sz w:val="10"/>
                <w:szCs w:val="10"/>
                <w:color w:val="auto"/>
              </w:rPr>
            </w:pPr>
          </w:p>
        </w:tc>
        <w:tc>
          <w:tcPr>
            <w:tcW w:w="3320" w:type="dxa"/>
            <w:vAlign w:val="bottom"/>
            <w:tcBorders>
              <w:right w:val="single" w:sz="8" w:color="E2EDED"/>
            </w:tcBorders>
            <w:vMerge w:val="continue"/>
          </w:tcPr>
          <w:p>
            <w:pPr>
              <w:spacing w:after="0"/>
              <w:rPr>
                <w:sz w:val="10"/>
                <w:szCs w:val="10"/>
                <w:color w:val="auto"/>
              </w:rPr>
            </w:pPr>
          </w:p>
        </w:tc>
        <w:tc>
          <w:tcPr>
            <w:tcW w:w="860" w:type="dxa"/>
            <w:vAlign w:val="bottom"/>
            <w:tcBorders>
              <w:right w:val="single" w:sz="8" w:color="E2EDED"/>
            </w:tcBorders>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right w:val="single" w:sz="8" w:color="E2EDED"/>
            </w:tcBorders>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Borders>
              <w:right w:val="single" w:sz="8" w:color="E2EDED"/>
            </w:tcBorders>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Borders>
              <w:right w:val="single" w:sz="8" w:color="E2EDED"/>
            </w:tcBorders>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Borders>
              <w:right w:val="single" w:sz="8" w:color="E2EDED"/>
            </w:tcBorders>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600" w:type="dxa"/>
            <w:vAlign w:val="bottom"/>
            <w:shd w:val="clear" w:color="auto" w:fill="E1D0D6"/>
          </w:tcPr>
          <w:p>
            <w:pPr>
              <w:ind w:left="60"/>
              <w:spacing w:after="0"/>
              <w:rPr>
                <w:sz w:val="20"/>
                <w:szCs w:val="20"/>
                <w:color w:val="auto"/>
              </w:rPr>
            </w:pPr>
            <w:r>
              <w:rPr>
                <w:rFonts w:ascii="Arial" w:cs="Arial" w:eastAsia="Arial" w:hAnsi="Arial"/>
                <w:sz w:val="14"/>
                <w:szCs w:val="14"/>
                <w:color w:val="auto"/>
              </w:rPr>
              <w:t>Goal 7 -</w:t>
            </w:r>
          </w:p>
        </w:tc>
        <w:tc>
          <w:tcPr>
            <w:tcW w:w="3320" w:type="dxa"/>
            <w:vAlign w:val="bottom"/>
            <w:tcBorders>
              <w:right w:val="single" w:sz="8" w:color="E1D0D6"/>
            </w:tcBorders>
            <w:shd w:val="clear" w:color="auto" w:fill="E1D0D6"/>
          </w:tcPr>
          <w:p>
            <w:pPr>
              <w:ind w:left="60"/>
              <w:spacing w:after="0"/>
              <w:rPr>
                <w:sz w:val="20"/>
                <w:szCs w:val="20"/>
                <w:color w:val="auto"/>
              </w:rPr>
            </w:pPr>
            <w:r>
              <w:rPr>
                <w:rFonts w:ascii="Arial" w:cs="Arial" w:eastAsia="Arial" w:hAnsi="Arial"/>
                <w:sz w:val="14"/>
                <w:szCs w:val="14"/>
                <w:color w:val="auto"/>
              </w:rPr>
              <w:t>Wynn Resorts Development,</w:t>
            </w:r>
          </w:p>
        </w:tc>
        <w:tc>
          <w:tcPr>
            <w:tcW w:w="860" w:type="dxa"/>
            <w:vAlign w:val="bottom"/>
            <w:tcBorders>
              <w:right w:val="single" w:sz="8" w:color="E1D0D6"/>
            </w:tcBorders>
            <w:shd w:val="clear" w:color="auto" w:fill="E1D0D6"/>
          </w:tcPr>
          <w:p>
            <w:pPr>
              <w:spacing w:after="0"/>
              <w:rPr>
                <w:sz w:val="19"/>
                <w:szCs w:val="19"/>
                <w:color w:val="auto"/>
              </w:rPr>
            </w:pPr>
          </w:p>
        </w:tc>
        <w:tc>
          <w:tcPr>
            <w:tcW w:w="140" w:type="dxa"/>
            <w:vAlign w:val="bottom"/>
            <w:shd w:val="clear" w:color="auto" w:fill="E1D0D6"/>
          </w:tcPr>
          <w:p>
            <w:pPr>
              <w:spacing w:after="0"/>
              <w:rPr>
                <w:sz w:val="19"/>
                <w:szCs w:val="19"/>
                <w:color w:val="auto"/>
              </w:rPr>
            </w:pPr>
          </w:p>
        </w:tc>
        <w:tc>
          <w:tcPr>
            <w:tcW w:w="1120" w:type="dxa"/>
            <w:vAlign w:val="bottom"/>
            <w:tcBorders>
              <w:right w:val="single" w:sz="8" w:color="E1D0D6"/>
            </w:tcBorders>
            <w:shd w:val="clear" w:color="auto" w:fill="E1D0D6"/>
          </w:tcPr>
          <w:p>
            <w:pPr>
              <w:spacing w:after="0"/>
              <w:rPr>
                <w:sz w:val="19"/>
                <w:szCs w:val="19"/>
                <w:color w:val="auto"/>
              </w:rPr>
            </w:pPr>
          </w:p>
        </w:tc>
        <w:tc>
          <w:tcPr>
            <w:tcW w:w="160" w:type="dxa"/>
            <w:vAlign w:val="bottom"/>
            <w:shd w:val="clear" w:color="auto" w:fill="E1D0D6"/>
          </w:tcPr>
          <w:p>
            <w:pPr>
              <w:spacing w:after="0"/>
              <w:rPr>
                <w:sz w:val="19"/>
                <w:szCs w:val="19"/>
                <w:color w:val="auto"/>
              </w:rPr>
            </w:pPr>
          </w:p>
        </w:tc>
        <w:tc>
          <w:tcPr>
            <w:tcW w:w="1140" w:type="dxa"/>
            <w:vAlign w:val="bottom"/>
            <w:tcBorders>
              <w:right w:val="single" w:sz="8" w:color="E1D0D6"/>
            </w:tcBorders>
            <w:shd w:val="clear" w:color="auto" w:fill="E1D0D6"/>
          </w:tcPr>
          <w:p>
            <w:pPr>
              <w:spacing w:after="0"/>
              <w:rPr>
                <w:sz w:val="19"/>
                <w:szCs w:val="19"/>
                <w:color w:val="auto"/>
              </w:rPr>
            </w:pPr>
          </w:p>
        </w:tc>
        <w:tc>
          <w:tcPr>
            <w:tcW w:w="160" w:type="dxa"/>
            <w:vAlign w:val="bottom"/>
            <w:shd w:val="clear" w:color="auto" w:fill="E1D0D6"/>
          </w:tcPr>
          <w:p>
            <w:pPr>
              <w:spacing w:after="0"/>
              <w:rPr>
                <w:sz w:val="19"/>
                <w:szCs w:val="19"/>
                <w:color w:val="auto"/>
              </w:rPr>
            </w:pPr>
          </w:p>
        </w:tc>
        <w:tc>
          <w:tcPr>
            <w:tcW w:w="1100" w:type="dxa"/>
            <w:vAlign w:val="bottom"/>
            <w:tcBorders>
              <w:right w:val="single" w:sz="8" w:color="E1D0D6"/>
            </w:tcBorders>
            <w:shd w:val="clear" w:color="auto" w:fill="E1D0D6"/>
          </w:tcPr>
          <w:p>
            <w:pPr>
              <w:spacing w:after="0"/>
              <w:rPr>
                <w:sz w:val="19"/>
                <w:szCs w:val="19"/>
                <w:color w:val="auto"/>
              </w:rPr>
            </w:pPr>
          </w:p>
        </w:tc>
        <w:tc>
          <w:tcPr>
            <w:tcW w:w="180" w:type="dxa"/>
            <w:vAlign w:val="bottom"/>
            <w:shd w:val="clear" w:color="auto" w:fill="E1D0D6"/>
          </w:tcPr>
          <w:p>
            <w:pPr>
              <w:spacing w:after="0"/>
              <w:rPr>
                <w:sz w:val="19"/>
                <w:szCs w:val="19"/>
                <w:color w:val="auto"/>
              </w:rPr>
            </w:pPr>
          </w:p>
        </w:tc>
        <w:tc>
          <w:tcPr>
            <w:tcW w:w="1120" w:type="dxa"/>
            <w:vAlign w:val="bottom"/>
            <w:tcBorders>
              <w:right w:val="single" w:sz="8" w:color="E1D0D6"/>
            </w:tcBorders>
            <w:shd w:val="clear" w:color="auto" w:fill="E1D0D6"/>
          </w:tcPr>
          <w:p>
            <w:pPr>
              <w:spacing w:after="0"/>
              <w:rPr>
                <w:sz w:val="19"/>
                <w:szCs w:val="19"/>
                <w:color w:val="auto"/>
              </w:rPr>
            </w:pPr>
          </w:p>
        </w:tc>
        <w:tc>
          <w:tcPr>
            <w:tcW w:w="720" w:type="dxa"/>
            <w:vAlign w:val="bottom"/>
            <w:shd w:val="clear" w:color="auto" w:fill="E1D0D6"/>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00" w:type="dxa"/>
            <w:vAlign w:val="bottom"/>
            <w:shd w:val="clear" w:color="auto" w:fill="E1D0D6"/>
          </w:tcPr>
          <w:p>
            <w:pPr>
              <w:spacing w:after="0"/>
              <w:rPr>
                <w:sz w:val="13"/>
                <w:szCs w:val="13"/>
                <w:color w:val="auto"/>
              </w:rPr>
            </w:pPr>
          </w:p>
        </w:tc>
        <w:tc>
          <w:tcPr>
            <w:tcW w:w="3320" w:type="dxa"/>
            <w:vAlign w:val="bottom"/>
            <w:tcBorders>
              <w:right w:val="single" w:sz="8" w:color="E1D0D6"/>
            </w:tcBorders>
            <w:shd w:val="clear" w:color="auto" w:fill="E1D0D6"/>
          </w:tcPr>
          <w:p>
            <w:pPr>
              <w:ind w:left="60"/>
              <w:spacing w:after="0" w:line="156" w:lineRule="exact"/>
              <w:rPr>
                <w:sz w:val="20"/>
                <w:szCs w:val="20"/>
                <w:color w:val="auto"/>
              </w:rPr>
            </w:pPr>
            <w:r>
              <w:rPr>
                <w:rFonts w:ascii="Arial" w:cs="Arial" w:eastAsia="Arial" w:hAnsi="Arial"/>
                <w:sz w:val="14"/>
                <w:szCs w:val="14"/>
                <w:color w:val="auto"/>
              </w:rPr>
              <w:t>Advancement of Design &amp; Development of Wynn</w:t>
            </w:r>
          </w:p>
        </w:tc>
        <w:tc>
          <w:tcPr>
            <w:tcW w:w="860" w:type="dxa"/>
            <w:vAlign w:val="bottom"/>
            <w:tcBorders>
              <w:right w:val="single" w:sz="8" w:color="E1D0D6"/>
            </w:tcBorders>
            <w:shd w:val="clear" w:color="auto" w:fill="E1D0D6"/>
          </w:tcPr>
          <w:p>
            <w:pPr>
              <w:jc w:val="right"/>
              <w:ind w:right="413"/>
              <w:spacing w:after="0" w:line="156" w:lineRule="exact"/>
              <w:rPr>
                <w:sz w:val="20"/>
                <w:szCs w:val="20"/>
                <w:color w:val="auto"/>
              </w:rPr>
            </w:pPr>
            <w:r>
              <w:rPr>
                <w:rFonts w:ascii="Arial" w:cs="Arial" w:eastAsia="Arial" w:hAnsi="Arial"/>
                <w:sz w:val="14"/>
                <w:szCs w:val="14"/>
                <w:color w:val="auto"/>
              </w:rPr>
              <w:t>5%</w:t>
            </w:r>
          </w:p>
        </w:tc>
        <w:tc>
          <w:tcPr>
            <w:tcW w:w="140" w:type="dxa"/>
            <w:vAlign w:val="bottom"/>
            <w:shd w:val="clear" w:color="auto" w:fill="E1D0D6"/>
          </w:tcPr>
          <w:p>
            <w:pPr>
              <w:spacing w:after="0"/>
              <w:rPr>
                <w:sz w:val="13"/>
                <w:szCs w:val="13"/>
                <w:color w:val="auto"/>
              </w:rPr>
            </w:pPr>
          </w:p>
        </w:tc>
        <w:tc>
          <w:tcPr>
            <w:tcW w:w="1120" w:type="dxa"/>
            <w:vAlign w:val="bottom"/>
            <w:tcBorders>
              <w:right w:val="single" w:sz="8" w:color="E1D0D6"/>
            </w:tcBorders>
            <w:shd w:val="clear" w:color="auto" w:fill="E1D0D6"/>
          </w:tcPr>
          <w:p>
            <w:pPr>
              <w:jc w:val="center"/>
              <w:ind w:right="55"/>
              <w:spacing w:after="0" w:line="156" w:lineRule="exact"/>
              <w:rPr>
                <w:sz w:val="20"/>
                <w:szCs w:val="20"/>
                <w:color w:val="auto"/>
              </w:rPr>
            </w:pPr>
            <w:r>
              <w:rPr>
                <w:rFonts w:ascii="Arial" w:cs="Arial" w:eastAsia="Arial" w:hAnsi="Arial"/>
                <w:sz w:val="14"/>
                <w:szCs w:val="14"/>
                <w:color w:val="auto"/>
                <w:w w:val="84"/>
              </w:rPr>
              <w:t>-</w:t>
            </w:r>
          </w:p>
        </w:tc>
        <w:tc>
          <w:tcPr>
            <w:tcW w:w="160" w:type="dxa"/>
            <w:vAlign w:val="bottom"/>
            <w:shd w:val="clear" w:color="auto" w:fill="E1D0D6"/>
          </w:tcPr>
          <w:p>
            <w:pPr>
              <w:spacing w:after="0"/>
              <w:rPr>
                <w:sz w:val="13"/>
                <w:szCs w:val="13"/>
                <w:color w:val="auto"/>
              </w:rPr>
            </w:pPr>
          </w:p>
        </w:tc>
        <w:tc>
          <w:tcPr>
            <w:tcW w:w="1140" w:type="dxa"/>
            <w:vAlign w:val="bottom"/>
            <w:tcBorders>
              <w:right w:val="single" w:sz="8" w:color="E1D0D6"/>
            </w:tcBorders>
            <w:shd w:val="clear" w:color="auto" w:fill="E1D0D6"/>
          </w:tcPr>
          <w:p>
            <w:pPr>
              <w:jc w:val="center"/>
              <w:ind w:right="75"/>
              <w:spacing w:after="0" w:line="156" w:lineRule="exact"/>
              <w:rPr>
                <w:sz w:val="20"/>
                <w:szCs w:val="20"/>
                <w:color w:val="auto"/>
              </w:rPr>
            </w:pPr>
            <w:r>
              <w:rPr>
                <w:rFonts w:ascii="Arial" w:cs="Arial" w:eastAsia="Arial" w:hAnsi="Arial"/>
                <w:sz w:val="14"/>
                <w:szCs w:val="14"/>
                <w:color w:val="auto"/>
                <w:w w:val="98"/>
              </w:rPr>
              <w:t>Achievement</w:t>
            </w:r>
          </w:p>
        </w:tc>
        <w:tc>
          <w:tcPr>
            <w:tcW w:w="160" w:type="dxa"/>
            <w:vAlign w:val="bottom"/>
            <w:shd w:val="clear" w:color="auto" w:fill="E1D0D6"/>
          </w:tcPr>
          <w:p>
            <w:pPr>
              <w:spacing w:after="0"/>
              <w:rPr>
                <w:sz w:val="13"/>
                <w:szCs w:val="13"/>
                <w:color w:val="auto"/>
              </w:rPr>
            </w:pPr>
          </w:p>
        </w:tc>
        <w:tc>
          <w:tcPr>
            <w:tcW w:w="1100" w:type="dxa"/>
            <w:vAlign w:val="bottom"/>
            <w:tcBorders>
              <w:right w:val="single" w:sz="8" w:color="E1D0D6"/>
            </w:tcBorders>
            <w:shd w:val="clear" w:color="auto" w:fill="E1D0D6"/>
          </w:tcPr>
          <w:p>
            <w:pPr>
              <w:jc w:val="center"/>
              <w:ind w:right="55"/>
              <w:spacing w:after="0" w:line="156" w:lineRule="exact"/>
              <w:rPr>
                <w:sz w:val="20"/>
                <w:szCs w:val="20"/>
                <w:color w:val="auto"/>
              </w:rPr>
            </w:pPr>
            <w:r>
              <w:rPr>
                <w:rFonts w:ascii="Arial" w:cs="Arial" w:eastAsia="Arial" w:hAnsi="Arial"/>
                <w:sz w:val="14"/>
                <w:szCs w:val="14"/>
                <w:color w:val="auto"/>
              </w:rPr>
              <w:t>-</w:t>
            </w:r>
          </w:p>
        </w:tc>
        <w:tc>
          <w:tcPr>
            <w:tcW w:w="180" w:type="dxa"/>
            <w:vAlign w:val="bottom"/>
            <w:shd w:val="clear" w:color="auto" w:fill="E1D0D6"/>
          </w:tcPr>
          <w:p>
            <w:pPr>
              <w:spacing w:after="0"/>
              <w:rPr>
                <w:sz w:val="13"/>
                <w:szCs w:val="13"/>
                <w:color w:val="auto"/>
              </w:rPr>
            </w:pPr>
          </w:p>
        </w:tc>
        <w:tc>
          <w:tcPr>
            <w:tcW w:w="1120" w:type="dxa"/>
            <w:vAlign w:val="bottom"/>
            <w:tcBorders>
              <w:right w:val="single" w:sz="8" w:color="E1D0D6"/>
            </w:tcBorders>
            <w:shd w:val="clear" w:color="auto" w:fill="E1D0D6"/>
          </w:tcPr>
          <w:p>
            <w:pPr>
              <w:ind w:left="220"/>
              <w:spacing w:after="0" w:line="156" w:lineRule="exact"/>
              <w:rPr>
                <w:sz w:val="20"/>
                <w:szCs w:val="20"/>
                <w:color w:val="auto"/>
              </w:rPr>
            </w:pPr>
            <w:r>
              <w:rPr>
                <w:rFonts w:ascii="Arial" w:cs="Arial" w:eastAsia="Arial" w:hAnsi="Arial"/>
                <w:sz w:val="14"/>
                <w:szCs w:val="14"/>
                <w:color w:val="auto"/>
              </w:rPr>
              <w:t>Achieved</w:t>
            </w:r>
          </w:p>
        </w:tc>
        <w:tc>
          <w:tcPr>
            <w:tcW w:w="720" w:type="dxa"/>
            <w:vAlign w:val="bottom"/>
            <w:shd w:val="clear" w:color="auto" w:fill="E1D0D6"/>
          </w:tcPr>
          <w:p>
            <w:pPr>
              <w:jc w:val="center"/>
              <w:spacing w:after="0" w:line="156" w:lineRule="exact"/>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166"/>
        </w:trPr>
        <w:tc>
          <w:tcPr>
            <w:tcW w:w="600" w:type="dxa"/>
            <w:vAlign w:val="bottom"/>
            <w:shd w:val="clear" w:color="auto" w:fill="E1D0D6"/>
          </w:tcPr>
          <w:p>
            <w:pPr>
              <w:spacing w:after="0"/>
              <w:rPr>
                <w:sz w:val="14"/>
                <w:szCs w:val="14"/>
                <w:color w:val="auto"/>
              </w:rPr>
            </w:pPr>
          </w:p>
        </w:tc>
        <w:tc>
          <w:tcPr>
            <w:tcW w:w="3320" w:type="dxa"/>
            <w:vAlign w:val="bottom"/>
            <w:tcBorders>
              <w:right w:val="single" w:sz="8" w:color="E1D0D6"/>
            </w:tcBorders>
            <w:shd w:val="clear" w:color="auto" w:fill="E1D0D6"/>
          </w:tcPr>
          <w:p>
            <w:pPr>
              <w:ind w:left="60"/>
              <w:spacing w:after="0"/>
              <w:rPr>
                <w:sz w:val="20"/>
                <w:szCs w:val="20"/>
                <w:color w:val="auto"/>
              </w:rPr>
            </w:pPr>
            <w:r>
              <w:rPr>
                <w:rFonts w:ascii="Arial" w:cs="Arial" w:eastAsia="Arial" w:hAnsi="Arial"/>
                <w:sz w:val="14"/>
                <w:szCs w:val="14"/>
                <w:color w:val="auto"/>
              </w:rPr>
              <w:t>UAE Project (4)</w:t>
            </w:r>
          </w:p>
        </w:tc>
        <w:tc>
          <w:tcPr>
            <w:tcW w:w="860" w:type="dxa"/>
            <w:vAlign w:val="bottom"/>
            <w:tcBorders>
              <w:right w:val="single" w:sz="8" w:color="E1D0D6"/>
            </w:tcBorders>
            <w:shd w:val="clear" w:color="auto" w:fill="E1D0D6"/>
          </w:tcPr>
          <w:p>
            <w:pPr>
              <w:spacing w:after="0"/>
              <w:rPr>
                <w:sz w:val="14"/>
                <w:szCs w:val="14"/>
                <w:color w:val="auto"/>
              </w:rPr>
            </w:pPr>
          </w:p>
        </w:tc>
        <w:tc>
          <w:tcPr>
            <w:tcW w:w="140" w:type="dxa"/>
            <w:vAlign w:val="bottom"/>
            <w:shd w:val="clear" w:color="auto" w:fill="E1D0D6"/>
          </w:tcPr>
          <w:p>
            <w:pPr>
              <w:spacing w:after="0"/>
              <w:rPr>
                <w:sz w:val="14"/>
                <w:szCs w:val="14"/>
                <w:color w:val="auto"/>
              </w:rPr>
            </w:pPr>
          </w:p>
        </w:tc>
        <w:tc>
          <w:tcPr>
            <w:tcW w:w="1120" w:type="dxa"/>
            <w:vAlign w:val="bottom"/>
            <w:tcBorders>
              <w:right w:val="single" w:sz="8" w:color="E1D0D6"/>
            </w:tcBorders>
            <w:shd w:val="clear" w:color="auto" w:fill="E1D0D6"/>
          </w:tcPr>
          <w:p>
            <w:pPr>
              <w:spacing w:after="0"/>
              <w:rPr>
                <w:sz w:val="14"/>
                <w:szCs w:val="14"/>
                <w:color w:val="auto"/>
              </w:rPr>
            </w:pPr>
          </w:p>
        </w:tc>
        <w:tc>
          <w:tcPr>
            <w:tcW w:w="160" w:type="dxa"/>
            <w:vAlign w:val="bottom"/>
            <w:shd w:val="clear" w:color="auto" w:fill="E1D0D6"/>
          </w:tcPr>
          <w:p>
            <w:pPr>
              <w:spacing w:after="0"/>
              <w:rPr>
                <w:sz w:val="14"/>
                <w:szCs w:val="14"/>
                <w:color w:val="auto"/>
              </w:rPr>
            </w:pPr>
          </w:p>
        </w:tc>
        <w:tc>
          <w:tcPr>
            <w:tcW w:w="1140" w:type="dxa"/>
            <w:vAlign w:val="bottom"/>
            <w:tcBorders>
              <w:right w:val="single" w:sz="8" w:color="E1D0D6"/>
            </w:tcBorders>
            <w:shd w:val="clear" w:color="auto" w:fill="E1D0D6"/>
          </w:tcPr>
          <w:p>
            <w:pPr>
              <w:spacing w:after="0"/>
              <w:rPr>
                <w:sz w:val="14"/>
                <w:szCs w:val="14"/>
                <w:color w:val="auto"/>
              </w:rPr>
            </w:pPr>
          </w:p>
        </w:tc>
        <w:tc>
          <w:tcPr>
            <w:tcW w:w="160" w:type="dxa"/>
            <w:vAlign w:val="bottom"/>
            <w:shd w:val="clear" w:color="auto" w:fill="E1D0D6"/>
          </w:tcPr>
          <w:p>
            <w:pPr>
              <w:spacing w:after="0"/>
              <w:rPr>
                <w:sz w:val="14"/>
                <w:szCs w:val="14"/>
                <w:color w:val="auto"/>
              </w:rPr>
            </w:pPr>
          </w:p>
        </w:tc>
        <w:tc>
          <w:tcPr>
            <w:tcW w:w="1100" w:type="dxa"/>
            <w:vAlign w:val="bottom"/>
            <w:tcBorders>
              <w:right w:val="single" w:sz="8" w:color="E1D0D6"/>
            </w:tcBorders>
            <w:shd w:val="clear" w:color="auto" w:fill="E1D0D6"/>
          </w:tcPr>
          <w:p>
            <w:pPr>
              <w:spacing w:after="0"/>
              <w:rPr>
                <w:sz w:val="14"/>
                <w:szCs w:val="14"/>
                <w:color w:val="auto"/>
              </w:rPr>
            </w:pPr>
          </w:p>
        </w:tc>
        <w:tc>
          <w:tcPr>
            <w:tcW w:w="180" w:type="dxa"/>
            <w:vAlign w:val="bottom"/>
            <w:shd w:val="clear" w:color="auto" w:fill="E1D0D6"/>
          </w:tcPr>
          <w:p>
            <w:pPr>
              <w:spacing w:after="0"/>
              <w:rPr>
                <w:sz w:val="14"/>
                <w:szCs w:val="14"/>
                <w:color w:val="auto"/>
              </w:rPr>
            </w:pPr>
          </w:p>
        </w:tc>
        <w:tc>
          <w:tcPr>
            <w:tcW w:w="1120" w:type="dxa"/>
            <w:vAlign w:val="bottom"/>
            <w:tcBorders>
              <w:right w:val="single" w:sz="8" w:color="E1D0D6"/>
            </w:tcBorders>
            <w:shd w:val="clear" w:color="auto" w:fill="E1D0D6"/>
          </w:tcPr>
          <w:p>
            <w:pPr>
              <w:spacing w:after="0"/>
              <w:rPr>
                <w:sz w:val="14"/>
                <w:szCs w:val="14"/>
                <w:color w:val="auto"/>
              </w:rPr>
            </w:pPr>
          </w:p>
        </w:tc>
        <w:tc>
          <w:tcPr>
            <w:tcW w:w="720" w:type="dxa"/>
            <w:vAlign w:val="bottom"/>
            <w:shd w:val="clear" w:color="auto" w:fill="E1D0D6"/>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0" w:type="dxa"/>
            <w:vAlign w:val="bottom"/>
            <w:shd w:val="clear" w:color="auto" w:fill="E1D0D6"/>
          </w:tcPr>
          <w:p>
            <w:pPr>
              <w:spacing w:after="0"/>
              <w:rPr>
                <w:sz w:val="3"/>
                <w:szCs w:val="3"/>
                <w:color w:val="auto"/>
              </w:rPr>
            </w:pPr>
          </w:p>
        </w:tc>
        <w:tc>
          <w:tcPr>
            <w:tcW w:w="3320" w:type="dxa"/>
            <w:vAlign w:val="bottom"/>
            <w:tcBorders>
              <w:right w:val="single" w:sz="8" w:color="E1D0D6"/>
            </w:tcBorders>
            <w:shd w:val="clear" w:color="auto" w:fill="E1D0D6"/>
          </w:tcPr>
          <w:p>
            <w:pPr>
              <w:spacing w:after="0"/>
              <w:rPr>
                <w:sz w:val="3"/>
                <w:szCs w:val="3"/>
                <w:color w:val="auto"/>
              </w:rPr>
            </w:pPr>
          </w:p>
        </w:tc>
        <w:tc>
          <w:tcPr>
            <w:tcW w:w="860" w:type="dxa"/>
            <w:vAlign w:val="bottom"/>
            <w:tcBorders>
              <w:right w:val="single" w:sz="8" w:color="E1D0D6"/>
            </w:tcBorders>
            <w:shd w:val="clear" w:color="auto" w:fill="E1D0D6"/>
          </w:tcPr>
          <w:p>
            <w:pPr>
              <w:spacing w:after="0"/>
              <w:rPr>
                <w:sz w:val="3"/>
                <w:szCs w:val="3"/>
                <w:color w:val="auto"/>
              </w:rPr>
            </w:pPr>
          </w:p>
        </w:tc>
        <w:tc>
          <w:tcPr>
            <w:tcW w:w="140" w:type="dxa"/>
            <w:vAlign w:val="bottom"/>
            <w:shd w:val="clear" w:color="auto" w:fill="E1D0D6"/>
          </w:tcPr>
          <w:p>
            <w:pPr>
              <w:spacing w:after="0"/>
              <w:rPr>
                <w:sz w:val="3"/>
                <w:szCs w:val="3"/>
                <w:color w:val="auto"/>
              </w:rPr>
            </w:pPr>
          </w:p>
        </w:tc>
        <w:tc>
          <w:tcPr>
            <w:tcW w:w="1120" w:type="dxa"/>
            <w:vAlign w:val="bottom"/>
            <w:tcBorders>
              <w:right w:val="single" w:sz="8" w:color="E1D0D6"/>
            </w:tcBorders>
            <w:shd w:val="clear" w:color="auto" w:fill="E1D0D6"/>
          </w:tcPr>
          <w:p>
            <w:pPr>
              <w:spacing w:after="0"/>
              <w:rPr>
                <w:sz w:val="3"/>
                <w:szCs w:val="3"/>
                <w:color w:val="auto"/>
              </w:rPr>
            </w:pPr>
          </w:p>
        </w:tc>
        <w:tc>
          <w:tcPr>
            <w:tcW w:w="160" w:type="dxa"/>
            <w:vAlign w:val="bottom"/>
            <w:shd w:val="clear" w:color="auto" w:fill="E1D0D6"/>
          </w:tcPr>
          <w:p>
            <w:pPr>
              <w:spacing w:after="0"/>
              <w:rPr>
                <w:sz w:val="3"/>
                <w:szCs w:val="3"/>
                <w:color w:val="auto"/>
              </w:rPr>
            </w:pPr>
          </w:p>
        </w:tc>
        <w:tc>
          <w:tcPr>
            <w:tcW w:w="1140" w:type="dxa"/>
            <w:vAlign w:val="bottom"/>
            <w:tcBorders>
              <w:right w:val="single" w:sz="8" w:color="E1D0D6"/>
            </w:tcBorders>
            <w:shd w:val="clear" w:color="auto" w:fill="E1D0D6"/>
          </w:tcPr>
          <w:p>
            <w:pPr>
              <w:spacing w:after="0"/>
              <w:rPr>
                <w:sz w:val="3"/>
                <w:szCs w:val="3"/>
                <w:color w:val="auto"/>
              </w:rPr>
            </w:pPr>
          </w:p>
        </w:tc>
        <w:tc>
          <w:tcPr>
            <w:tcW w:w="160" w:type="dxa"/>
            <w:vAlign w:val="bottom"/>
            <w:shd w:val="clear" w:color="auto" w:fill="E1D0D6"/>
          </w:tcPr>
          <w:p>
            <w:pPr>
              <w:spacing w:after="0"/>
              <w:rPr>
                <w:sz w:val="3"/>
                <w:szCs w:val="3"/>
                <w:color w:val="auto"/>
              </w:rPr>
            </w:pPr>
          </w:p>
        </w:tc>
        <w:tc>
          <w:tcPr>
            <w:tcW w:w="1100" w:type="dxa"/>
            <w:vAlign w:val="bottom"/>
            <w:tcBorders>
              <w:right w:val="single" w:sz="8" w:color="E1D0D6"/>
            </w:tcBorders>
            <w:shd w:val="clear" w:color="auto" w:fill="E1D0D6"/>
          </w:tcPr>
          <w:p>
            <w:pPr>
              <w:spacing w:after="0"/>
              <w:rPr>
                <w:sz w:val="3"/>
                <w:szCs w:val="3"/>
                <w:color w:val="auto"/>
              </w:rPr>
            </w:pPr>
          </w:p>
        </w:tc>
        <w:tc>
          <w:tcPr>
            <w:tcW w:w="180" w:type="dxa"/>
            <w:vAlign w:val="bottom"/>
            <w:shd w:val="clear" w:color="auto" w:fill="E1D0D6"/>
          </w:tcPr>
          <w:p>
            <w:pPr>
              <w:spacing w:after="0"/>
              <w:rPr>
                <w:sz w:val="3"/>
                <w:szCs w:val="3"/>
                <w:color w:val="auto"/>
              </w:rPr>
            </w:pPr>
          </w:p>
        </w:tc>
        <w:tc>
          <w:tcPr>
            <w:tcW w:w="1120" w:type="dxa"/>
            <w:vAlign w:val="bottom"/>
            <w:tcBorders>
              <w:right w:val="single" w:sz="8" w:color="E1D0D6"/>
            </w:tcBorders>
            <w:shd w:val="clear" w:color="auto" w:fill="E1D0D6"/>
          </w:tcPr>
          <w:p>
            <w:pPr>
              <w:spacing w:after="0"/>
              <w:rPr>
                <w:sz w:val="3"/>
                <w:szCs w:val="3"/>
                <w:color w:val="auto"/>
              </w:rPr>
            </w:pPr>
          </w:p>
        </w:tc>
        <w:tc>
          <w:tcPr>
            <w:tcW w:w="720" w:type="dxa"/>
            <w:vAlign w:val="bottom"/>
            <w:shd w:val="clear" w:color="auto" w:fill="E1D0D6"/>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184"/>
        <w:spacing w:after="0"/>
        <w:tabs>
          <w:tab w:leader="none" w:pos="5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Market share is normalized for swings in hold percentage, which the Compensation Committee believes necessary so that management does not unduly benefit from favorable swings in “luck.”</w:t>
      </w:r>
    </w:p>
    <w:p>
      <w:pPr>
        <w:spacing w:after="0" w:line="96" w:lineRule="exact"/>
        <w:rPr>
          <w:rFonts w:ascii="Arial" w:cs="Arial" w:eastAsia="Arial" w:hAnsi="Arial"/>
          <w:sz w:val="12"/>
          <w:szCs w:val="12"/>
          <w:color w:val="auto"/>
        </w:rPr>
      </w:pPr>
    </w:p>
    <w:p>
      <w:pPr>
        <w:ind w:left="320" w:right="20" w:hanging="4"/>
        <w:spacing w:after="0" w:line="235" w:lineRule="auto"/>
        <w:tabs>
          <w:tab w:leader="none" w:pos="502"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 2022, Wynn Las Vegas and Encore at Wynn Las Vegas have each earned Five-Star status on the 2022 Forbes Travel Guide Star Rating list and are the largest and second largest Five-Star resorts in the world, respectively. Wynn Las Vegas and Encore at Wynn Las Vegas collectively received seven Forbes Five-Star awards in 2022, the most of any resorts in North America. As a result, the Compensation Committee approved the payout of this goal at target.</w:t>
      </w:r>
    </w:p>
    <w:p>
      <w:pPr>
        <w:spacing w:after="0" w:line="88" w:lineRule="exact"/>
        <w:rPr>
          <w:rFonts w:ascii="Arial" w:cs="Arial" w:eastAsia="Arial" w:hAnsi="Arial"/>
          <w:sz w:val="12"/>
          <w:szCs w:val="12"/>
          <w:color w:val="auto"/>
        </w:rPr>
      </w:pPr>
    </w:p>
    <w:p>
      <w:pPr>
        <w:ind w:left="320" w:right="400" w:hanging="4"/>
        <w:spacing w:after="0" w:line="239" w:lineRule="auto"/>
        <w:tabs>
          <w:tab w:leader="none" w:pos="502" w:val="left"/>
        </w:tabs>
        <w:numPr>
          <w:ilvl w:val="0"/>
          <w:numId w:val="26"/>
        </w:numPr>
        <w:rPr>
          <w:rFonts w:ascii="Arial" w:cs="Arial" w:eastAsia="Arial" w:hAnsi="Arial"/>
          <w:sz w:val="12"/>
          <w:szCs w:val="12"/>
          <w:color w:val="auto"/>
        </w:rPr>
      </w:pPr>
      <w:r>
        <w:rPr>
          <w:rFonts w:ascii="Arial" w:cs="Arial" w:eastAsia="Arial" w:hAnsi="Arial"/>
          <w:sz w:val="12"/>
          <w:szCs w:val="12"/>
          <w:color w:val="auto"/>
        </w:rPr>
        <w:t>Wynn Resorts (Macau), S.A., the concessionaire, was awarded a 10-year concession to operate games of chance in December 2022; as such, the Compensation Committee approved the payout of this goal at target.</w:t>
      </w:r>
    </w:p>
    <w:p>
      <w:pPr>
        <w:spacing w:after="0" w:line="89" w:lineRule="exact"/>
        <w:rPr>
          <w:rFonts w:ascii="Arial" w:cs="Arial" w:eastAsia="Arial" w:hAnsi="Arial"/>
          <w:sz w:val="12"/>
          <w:szCs w:val="12"/>
          <w:color w:val="auto"/>
        </w:rPr>
      </w:pPr>
    </w:p>
    <w:p>
      <w:pPr>
        <w:ind w:left="320" w:right="520" w:hanging="4"/>
        <w:spacing w:after="0" w:line="239" w:lineRule="auto"/>
        <w:tabs>
          <w:tab w:leader="none" w:pos="502" w:val="left"/>
        </w:tabs>
        <w:numPr>
          <w:ilvl w:val="0"/>
          <w:numId w:val="26"/>
        </w:numPr>
        <w:rPr>
          <w:rFonts w:ascii="Arial" w:cs="Arial" w:eastAsia="Arial" w:hAnsi="Arial"/>
          <w:sz w:val="12"/>
          <w:szCs w:val="12"/>
          <w:color w:val="auto"/>
        </w:rPr>
      </w:pPr>
      <w:r>
        <w:rPr>
          <w:rFonts w:ascii="Arial" w:cs="Arial" w:eastAsia="Arial" w:hAnsi="Arial"/>
          <w:sz w:val="12"/>
          <w:szCs w:val="12"/>
          <w:color w:val="auto"/>
        </w:rPr>
        <w:t>During 2022, management advanced the design and development of the Wynn UAE Project, which included making the initial investment in the joint venture; as such, the Compensation Committee approved the payout of this goal at target.</w:t>
      </w:r>
    </w:p>
    <w:p>
      <w:pPr>
        <w:spacing w:after="0" w:line="138" w:lineRule="exact"/>
        <w:rPr>
          <w:rFonts w:ascii="Arial" w:cs="Arial" w:eastAsia="Arial" w:hAnsi="Arial"/>
          <w:sz w:val="12"/>
          <w:szCs w:val="12"/>
          <w:color w:val="auto"/>
        </w:rPr>
      </w:pPr>
    </w:p>
    <w:p>
      <w:pPr>
        <w:ind w:left="5680" w:hanging="164"/>
        <w:spacing w:after="0"/>
        <w:tabs>
          <w:tab w:leader="none" w:pos="56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35 //</w:t>
      </w:r>
    </w:p>
    <w:p>
      <w:pPr>
        <w:sectPr>
          <w:pgSz w:w="11900" w:h="16838" w:orient="portrait"/>
          <w:cols w:equalWidth="0" w:num="1">
            <w:col w:w="10940"/>
          </w:cols>
          <w:pgMar w:left="320" w:top="473" w:right="6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3714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8015" cy="371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right="60"/>
        <w:spacing w:after="0" w:line="256" w:lineRule="auto"/>
        <w:rPr>
          <w:sz w:val="20"/>
          <w:szCs w:val="20"/>
          <w:color w:val="auto"/>
        </w:rPr>
      </w:pPr>
      <w:r>
        <w:rPr>
          <w:rFonts w:ascii="Arial" w:cs="Arial" w:eastAsia="Arial" w:hAnsi="Arial"/>
          <w:sz w:val="17"/>
          <w:szCs w:val="17"/>
          <w:color w:val="auto"/>
        </w:rPr>
        <w:t>In January 2023, the Compensation Committee established the following 2022 annual incentive award payouts split equally between cash and stock:</w:t>
      </w:r>
    </w:p>
    <w:p>
      <w:pPr>
        <w:spacing w:after="0" w:line="182"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3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right w:val="single" w:sz="8" w:color="A8BCBF"/>
            </w:tcBorders>
          </w:tcPr>
          <w:p>
            <w:pPr>
              <w:spacing w:after="0"/>
              <w:rPr>
                <w:sz w:val="13"/>
                <w:szCs w:val="13"/>
                <w:color w:val="auto"/>
              </w:rPr>
            </w:pPr>
          </w:p>
        </w:tc>
        <w:tc>
          <w:tcPr>
            <w:tcW w:w="1140" w:type="dxa"/>
            <w:vAlign w:val="bottom"/>
          </w:tcPr>
          <w:p>
            <w:pPr>
              <w:spacing w:after="0"/>
              <w:rPr>
                <w:sz w:val="13"/>
                <w:szCs w:val="13"/>
                <w:color w:val="auto"/>
              </w:rPr>
            </w:pPr>
          </w:p>
        </w:tc>
        <w:tc>
          <w:tcPr>
            <w:tcW w:w="1460" w:type="dxa"/>
            <w:vAlign w:val="bottom"/>
            <w:gridSpan w:val="2"/>
          </w:tcPr>
          <w:p>
            <w:pPr>
              <w:jc w:val="right"/>
              <w:ind w:right="62"/>
              <w:spacing w:after="0"/>
              <w:rPr>
                <w:sz w:val="20"/>
                <w:szCs w:val="20"/>
                <w:color w:val="auto"/>
              </w:rPr>
            </w:pPr>
            <w:r>
              <w:rPr>
                <w:rFonts w:ascii="Arial" w:cs="Arial" w:eastAsia="Arial" w:hAnsi="Arial"/>
                <w:sz w:val="10"/>
                <w:szCs w:val="10"/>
                <w:b w:val="1"/>
                <w:bCs w:val="1"/>
                <w:color w:val="6A1834"/>
              </w:rPr>
              <w:t>ACTUAL AWARD</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3700" w:type="dxa"/>
            <w:vAlign w:val="bottom"/>
            <w:vMerge w:val="restart"/>
          </w:tcPr>
          <w:p>
            <w:pPr>
              <w:ind w:left="60"/>
              <w:spacing w:after="0"/>
              <w:rPr>
                <w:sz w:val="20"/>
                <w:szCs w:val="20"/>
                <w:color w:val="auto"/>
              </w:rPr>
            </w:pPr>
            <w:r>
              <w:rPr>
                <w:rFonts w:ascii="Arial" w:cs="Arial" w:eastAsia="Arial" w:hAnsi="Arial"/>
                <w:sz w:val="10"/>
                <w:szCs w:val="10"/>
                <w:b w:val="1"/>
                <w:bCs w:val="1"/>
                <w:color w:val="6A1834"/>
              </w:rPr>
              <w:t>NAMED EXECUTIVE OFFICER (1)</w:t>
            </w:r>
          </w:p>
        </w:tc>
        <w:tc>
          <w:tcPr>
            <w:tcW w:w="2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Arial" w:cs="Arial" w:eastAsia="Arial" w:hAnsi="Arial"/>
                <w:sz w:val="10"/>
                <w:szCs w:val="10"/>
                <w:b w:val="1"/>
                <w:bCs w:val="1"/>
                <w:color w:val="6A1834"/>
              </w:rPr>
              <w:t>THRESHOLD</w:t>
            </w:r>
          </w:p>
        </w:tc>
        <w:tc>
          <w:tcPr>
            <w:tcW w:w="20" w:type="dxa"/>
            <w:vAlign w:val="bottom"/>
          </w:tcPr>
          <w:p>
            <w:pPr>
              <w:spacing w:after="0"/>
              <w:rPr>
                <w:sz w:val="9"/>
                <w:szCs w:val="9"/>
                <w:color w:val="auto"/>
              </w:rPr>
            </w:pPr>
          </w:p>
        </w:tc>
        <w:tc>
          <w:tcPr>
            <w:tcW w:w="800" w:type="dxa"/>
            <w:vAlign w:val="bottom"/>
            <w:vMerge w:val="restart"/>
          </w:tcPr>
          <w:p>
            <w:pPr>
              <w:ind w:left="220"/>
              <w:spacing w:after="0"/>
              <w:rPr>
                <w:sz w:val="20"/>
                <w:szCs w:val="20"/>
                <w:color w:val="auto"/>
              </w:rPr>
            </w:pPr>
            <w:r>
              <w:rPr>
                <w:rFonts w:ascii="Arial" w:cs="Arial" w:eastAsia="Arial" w:hAnsi="Arial"/>
                <w:sz w:val="10"/>
                <w:szCs w:val="10"/>
                <w:b w:val="1"/>
                <w:bCs w:val="1"/>
                <w:color w:val="6A1834"/>
              </w:rPr>
              <w:t>TARGET</w:t>
            </w:r>
          </w:p>
        </w:tc>
        <w:tc>
          <w:tcPr>
            <w:tcW w:w="20" w:type="dxa"/>
            <w:vAlign w:val="bottom"/>
          </w:tcPr>
          <w:p>
            <w:pPr>
              <w:spacing w:after="0"/>
              <w:rPr>
                <w:sz w:val="9"/>
                <w:szCs w:val="9"/>
                <w:color w:val="auto"/>
              </w:rPr>
            </w:pPr>
          </w:p>
        </w:tc>
        <w:tc>
          <w:tcPr>
            <w:tcW w:w="900" w:type="dxa"/>
            <w:vAlign w:val="bottom"/>
            <w:tcBorders>
              <w:right w:val="single" w:sz="8" w:color="A8BCBF"/>
            </w:tcBorders>
            <w:vMerge w:val="restart"/>
          </w:tcPr>
          <w:p>
            <w:pPr>
              <w:jc w:val="center"/>
              <w:spacing w:after="0"/>
              <w:rPr>
                <w:sz w:val="20"/>
                <w:szCs w:val="20"/>
                <w:color w:val="auto"/>
              </w:rPr>
            </w:pPr>
            <w:r>
              <w:rPr>
                <w:rFonts w:ascii="Arial" w:cs="Arial" w:eastAsia="Arial" w:hAnsi="Arial"/>
                <w:sz w:val="10"/>
                <w:szCs w:val="10"/>
                <w:b w:val="1"/>
                <w:bCs w:val="1"/>
                <w:color w:val="6A1834"/>
              </w:rPr>
              <w:t>MAXIMUM</w:t>
            </w:r>
          </w:p>
        </w:tc>
        <w:tc>
          <w:tcPr>
            <w:tcW w:w="1140" w:type="dxa"/>
            <w:vAlign w:val="bottom"/>
            <w:vMerge w:val="restart"/>
          </w:tcPr>
          <w:p>
            <w:pPr>
              <w:jc w:val="center"/>
              <w:spacing w:after="0"/>
              <w:rPr>
                <w:sz w:val="20"/>
                <w:szCs w:val="20"/>
                <w:color w:val="auto"/>
              </w:rPr>
            </w:pPr>
            <w:r>
              <w:rPr>
                <w:rFonts w:ascii="Arial" w:cs="Arial" w:eastAsia="Arial" w:hAnsi="Arial"/>
                <w:sz w:val="10"/>
                <w:szCs w:val="10"/>
                <w:b w:val="1"/>
                <w:bCs w:val="1"/>
                <w:color w:val="6A1834"/>
              </w:rPr>
              <w:t>PERCENTAGE</w:t>
            </w:r>
          </w:p>
        </w:tc>
        <w:tc>
          <w:tcPr>
            <w:tcW w:w="480" w:type="dxa"/>
            <w:vAlign w:val="bottom"/>
          </w:tcPr>
          <w:p>
            <w:pPr>
              <w:spacing w:after="0"/>
              <w:rPr>
                <w:sz w:val="9"/>
                <w:szCs w:val="9"/>
                <w:color w:val="auto"/>
              </w:rPr>
            </w:pPr>
          </w:p>
        </w:tc>
        <w:tc>
          <w:tcPr>
            <w:tcW w:w="980" w:type="dxa"/>
            <w:vAlign w:val="bottom"/>
            <w:vMerge w:val="restart"/>
          </w:tcPr>
          <w:p>
            <w:pPr>
              <w:jc w:val="right"/>
              <w:ind w:right="562"/>
              <w:spacing w:after="0"/>
              <w:rPr>
                <w:sz w:val="20"/>
                <w:szCs w:val="20"/>
                <w:color w:val="auto"/>
              </w:rPr>
            </w:pPr>
            <w:r>
              <w:rPr>
                <w:rFonts w:ascii="Arial" w:cs="Arial" w:eastAsia="Arial" w:hAnsi="Arial"/>
                <w:sz w:val="10"/>
                <w:szCs w:val="10"/>
                <w:b w:val="1"/>
                <w:bCs w:val="1"/>
                <w:color w:val="6A1834"/>
              </w:rPr>
              <w:t>CASH</w:t>
            </w:r>
          </w:p>
        </w:tc>
        <w:tc>
          <w:tcPr>
            <w:tcW w:w="20" w:type="dxa"/>
            <w:vAlign w:val="bottom"/>
          </w:tcPr>
          <w:p>
            <w:pPr>
              <w:spacing w:after="0"/>
              <w:rPr>
                <w:sz w:val="9"/>
                <w:szCs w:val="9"/>
                <w:color w:val="auto"/>
              </w:rPr>
            </w:pPr>
          </w:p>
        </w:tc>
        <w:tc>
          <w:tcPr>
            <w:tcW w:w="1480" w:type="dxa"/>
            <w:vAlign w:val="bottom"/>
            <w:gridSpan w:val="2"/>
            <w:vMerge w:val="restart"/>
          </w:tcPr>
          <w:p>
            <w:pPr>
              <w:ind w:left="400"/>
              <w:spacing w:after="0"/>
              <w:rPr>
                <w:sz w:val="20"/>
                <w:szCs w:val="20"/>
                <w:color w:val="auto"/>
              </w:rPr>
            </w:pPr>
            <w:r>
              <w:rPr>
                <w:rFonts w:ascii="Arial" w:cs="Arial" w:eastAsia="Arial" w:hAnsi="Arial"/>
                <w:sz w:val="10"/>
                <w:szCs w:val="10"/>
                <w:b w:val="1"/>
                <w:bCs w:val="1"/>
                <w:color w:val="6A1834"/>
              </w:rPr>
              <w:t>EQUITY (2)</w:t>
            </w:r>
          </w:p>
        </w:tc>
        <w:tc>
          <w:tcPr>
            <w:tcW w:w="0" w:type="dxa"/>
            <w:vAlign w:val="bottom"/>
          </w:tcPr>
          <w:p>
            <w:pPr>
              <w:spacing w:after="0"/>
              <w:rPr>
                <w:sz w:val="1"/>
                <w:szCs w:val="1"/>
                <w:color w:val="auto"/>
              </w:rPr>
            </w:pPr>
          </w:p>
        </w:tc>
      </w:tr>
      <w:tr>
        <w:trPr>
          <w:trHeight w:val="147"/>
        </w:trPr>
        <w:tc>
          <w:tcPr>
            <w:tcW w:w="3700" w:type="dxa"/>
            <w:vAlign w:val="bottom"/>
            <w:vMerge w:val="continue"/>
          </w:tcPr>
          <w:p>
            <w:pPr>
              <w:spacing w:after="0"/>
              <w:rPr>
                <w:sz w:val="12"/>
                <w:szCs w:val="12"/>
                <w:color w:val="auto"/>
              </w:rPr>
            </w:pPr>
          </w:p>
        </w:tc>
        <w:tc>
          <w:tcPr>
            <w:tcW w:w="20" w:type="dxa"/>
            <w:vAlign w:val="bottom"/>
            <w:shd w:val="clear" w:color="auto" w:fill="A8BCBF"/>
          </w:tcPr>
          <w:p>
            <w:pPr>
              <w:spacing w:after="0"/>
              <w:rPr>
                <w:sz w:val="12"/>
                <w:szCs w:val="12"/>
                <w:color w:val="auto"/>
              </w:rPr>
            </w:pPr>
          </w:p>
        </w:tc>
        <w:tc>
          <w:tcPr>
            <w:tcW w:w="1060" w:type="dxa"/>
            <w:vAlign w:val="bottom"/>
            <w:vMerge w:val="continue"/>
          </w:tcPr>
          <w:p>
            <w:pPr>
              <w:spacing w:after="0"/>
              <w:rPr>
                <w:sz w:val="12"/>
                <w:szCs w:val="12"/>
                <w:color w:val="auto"/>
              </w:rPr>
            </w:pPr>
          </w:p>
        </w:tc>
        <w:tc>
          <w:tcPr>
            <w:tcW w:w="20" w:type="dxa"/>
            <w:vAlign w:val="bottom"/>
            <w:shd w:val="clear" w:color="auto" w:fill="A8BCBF"/>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shd w:val="clear" w:color="auto" w:fill="A8BCBF"/>
          </w:tcPr>
          <w:p>
            <w:pPr>
              <w:spacing w:after="0"/>
              <w:rPr>
                <w:sz w:val="12"/>
                <w:szCs w:val="12"/>
                <w:color w:val="auto"/>
              </w:rPr>
            </w:pPr>
          </w:p>
        </w:tc>
        <w:tc>
          <w:tcPr>
            <w:tcW w:w="900" w:type="dxa"/>
            <w:vAlign w:val="bottom"/>
            <w:tcBorders>
              <w:right w:val="single" w:sz="8" w:color="A8BCBF"/>
            </w:tcBorders>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480" w:type="dxa"/>
            <w:vAlign w:val="bottom"/>
            <w:tcBorders>
              <w:left w:val="single" w:sz="8" w:color="A8BCBF"/>
            </w:tcBorders>
          </w:tcPr>
          <w:p>
            <w:pPr>
              <w:spacing w:after="0"/>
              <w:rPr>
                <w:sz w:val="12"/>
                <w:szCs w:val="12"/>
                <w:color w:val="auto"/>
              </w:rPr>
            </w:pPr>
          </w:p>
        </w:tc>
        <w:tc>
          <w:tcPr>
            <w:tcW w:w="980" w:type="dxa"/>
            <w:vAlign w:val="bottom"/>
            <w:vMerge w:val="continue"/>
          </w:tcPr>
          <w:p>
            <w:pPr>
              <w:spacing w:after="0"/>
              <w:rPr>
                <w:sz w:val="12"/>
                <w:szCs w:val="12"/>
                <w:color w:val="auto"/>
              </w:rPr>
            </w:pPr>
          </w:p>
        </w:tc>
        <w:tc>
          <w:tcPr>
            <w:tcW w:w="20" w:type="dxa"/>
            <w:vAlign w:val="bottom"/>
            <w:shd w:val="clear" w:color="auto" w:fill="A8BCBF"/>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700" w:type="dxa"/>
            <w:vAlign w:val="bottom"/>
          </w:tcPr>
          <w:p>
            <w:pPr>
              <w:spacing w:after="0"/>
              <w:rPr>
                <w:sz w:val="4"/>
                <w:szCs w:val="4"/>
                <w:color w:val="auto"/>
              </w:rPr>
            </w:pPr>
          </w:p>
        </w:tc>
        <w:tc>
          <w:tcPr>
            <w:tcW w:w="20" w:type="dxa"/>
            <w:vAlign w:val="bottom"/>
            <w:shd w:val="clear" w:color="auto" w:fill="A8BCBF"/>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shd w:val="clear" w:color="auto" w:fill="A8BCBF"/>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shd w:val="clear" w:color="auto" w:fill="A8BCBF"/>
          </w:tcPr>
          <w:p>
            <w:pPr>
              <w:spacing w:after="0"/>
              <w:rPr>
                <w:sz w:val="4"/>
                <w:szCs w:val="4"/>
                <w:color w:val="auto"/>
              </w:rPr>
            </w:pPr>
          </w:p>
        </w:tc>
        <w:tc>
          <w:tcPr>
            <w:tcW w:w="900" w:type="dxa"/>
            <w:vAlign w:val="bottom"/>
            <w:tcBorders>
              <w:right w:val="single" w:sz="8" w:color="A8BCBF"/>
            </w:tcBorders>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left w:val="single" w:sz="8" w:color="A8BCBF"/>
            </w:tcBorders>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shd w:val="clear" w:color="auto" w:fill="A8BCBF"/>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3700" w:type="dxa"/>
            <w:vAlign w:val="bottom"/>
            <w:tcBorders>
              <w:bottom w:val="single" w:sz="8" w:color="E1D0D6"/>
            </w:tcBorders>
            <w:shd w:val="clear" w:color="auto" w:fill="E1D0D6"/>
          </w:tcPr>
          <w:p>
            <w:pPr>
              <w:ind w:left="60"/>
              <w:spacing w:after="0"/>
              <w:rPr>
                <w:sz w:val="20"/>
                <w:szCs w:val="20"/>
                <w:color w:val="auto"/>
              </w:rPr>
            </w:pPr>
            <w:r>
              <w:rPr>
                <w:rFonts w:ascii="Arial" w:cs="Arial" w:eastAsia="Arial" w:hAnsi="Arial"/>
                <w:sz w:val="17"/>
                <w:szCs w:val="17"/>
                <w:color w:val="auto"/>
              </w:rPr>
              <w:t>Craig S. Billings</w:t>
            </w:r>
          </w:p>
        </w:tc>
        <w:tc>
          <w:tcPr>
            <w:tcW w:w="20" w:type="dxa"/>
            <w:vAlign w:val="bottom"/>
            <w:tcBorders>
              <w:bottom w:val="single" w:sz="8" w:color="A8BCBF"/>
            </w:tcBorders>
            <w:shd w:val="clear" w:color="auto" w:fill="A8BCBF"/>
          </w:tcPr>
          <w:p>
            <w:pPr>
              <w:spacing w:after="0"/>
              <w:rPr>
                <w:sz w:val="24"/>
                <w:szCs w:val="24"/>
                <w:color w:val="auto"/>
              </w:rPr>
            </w:pPr>
          </w:p>
        </w:tc>
        <w:tc>
          <w:tcPr>
            <w:tcW w:w="1060" w:type="dxa"/>
            <w:vAlign w:val="bottom"/>
            <w:tcBorders>
              <w:bottom w:val="single" w:sz="8" w:color="E1D0D6"/>
            </w:tcBorders>
            <w:shd w:val="clear" w:color="auto" w:fill="E1D0D6"/>
          </w:tcPr>
          <w:p>
            <w:pPr>
              <w:jc w:val="center"/>
              <w:ind w:left="22"/>
              <w:spacing w:after="0"/>
              <w:rPr>
                <w:sz w:val="20"/>
                <w:szCs w:val="20"/>
                <w:color w:val="auto"/>
              </w:rPr>
            </w:pPr>
            <w:r>
              <w:rPr>
                <w:rFonts w:ascii="Arial" w:cs="Arial" w:eastAsia="Arial" w:hAnsi="Arial"/>
                <w:sz w:val="17"/>
                <w:szCs w:val="17"/>
                <w:color w:val="auto"/>
              </w:rPr>
              <w:t>160%</w:t>
            </w:r>
          </w:p>
        </w:tc>
        <w:tc>
          <w:tcPr>
            <w:tcW w:w="20" w:type="dxa"/>
            <w:vAlign w:val="bottom"/>
            <w:tcBorders>
              <w:bottom w:val="single" w:sz="8" w:color="A8BCBF"/>
            </w:tcBorders>
            <w:shd w:val="clear" w:color="auto" w:fill="A8BCBF"/>
          </w:tcPr>
          <w:p>
            <w:pPr>
              <w:spacing w:after="0"/>
              <w:rPr>
                <w:sz w:val="24"/>
                <w:szCs w:val="24"/>
                <w:color w:val="auto"/>
              </w:rPr>
            </w:pPr>
          </w:p>
        </w:tc>
        <w:tc>
          <w:tcPr>
            <w:tcW w:w="800" w:type="dxa"/>
            <w:vAlign w:val="bottom"/>
            <w:tcBorders>
              <w:bottom w:val="single" w:sz="8" w:color="E1D0D6"/>
            </w:tcBorders>
            <w:shd w:val="clear" w:color="auto" w:fill="E1D0D6"/>
          </w:tcPr>
          <w:p>
            <w:pPr>
              <w:ind w:left="220"/>
              <w:spacing w:after="0"/>
              <w:rPr>
                <w:sz w:val="20"/>
                <w:szCs w:val="20"/>
                <w:color w:val="auto"/>
              </w:rPr>
            </w:pPr>
            <w:r>
              <w:rPr>
                <w:rFonts w:ascii="Arial" w:cs="Arial" w:eastAsia="Arial" w:hAnsi="Arial"/>
                <w:sz w:val="17"/>
                <w:szCs w:val="17"/>
                <w:color w:val="auto"/>
              </w:rPr>
              <w:t>200%</w:t>
            </w:r>
          </w:p>
        </w:tc>
        <w:tc>
          <w:tcPr>
            <w:tcW w:w="20" w:type="dxa"/>
            <w:vAlign w:val="bottom"/>
            <w:tcBorders>
              <w:bottom w:val="single" w:sz="8" w:color="A8BCBF"/>
            </w:tcBorders>
            <w:shd w:val="clear" w:color="auto" w:fill="A8BCBF"/>
          </w:tcPr>
          <w:p>
            <w:pPr>
              <w:spacing w:after="0"/>
              <w:rPr>
                <w:sz w:val="24"/>
                <w:szCs w:val="24"/>
                <w:color w:val="auto"/>
              </w:rPr>
            </w:pPr>
          </w:p>
        </w:tc>
        <w:tc>
          <w:tcPr>
            <w:tcW w:w="900" w:type="dxa"/>
            <w:vAlign w:val="bottom"/>
            <w:tcBorders>
              <w:bottom w:val="single" w:sz="8" w:color="E1D0D6"/>
              <w:right w:val="single" w:sz="8" w:color="A8BCBF"/>
            </w:tcBorders>
            <w:shd w:val="clear" w:color="auto" w:fill="E1D0D6"/>
          </w:tcPr>
          <w:p>
            <w:pPr>
              <w:jc w:val="center"/>
              <w:spacing w:after="0"/>
              <w:rPr>
                <w:sz w:val="20"/>
                <w:szCs w:val="20"/>
                <w:color w:val="auto"/>
              </w:rPr>
            </w:pPr>
            <w:r>
              <w:rPr>
                <w:rFonts w:ascii="Arial" w:cs="Arial" w:eastAsia="Arial" w:hAnsi="Arial"/>
                <w:sz w:val="17"/>
                <w:szCs w:val="17"/>
                <w:color w:val="auto"/>
              </w:rPr>
              <w:t>240%</w:t>
            </w:r>
          </w:p>
        </w:tc>
        <w:tc>
          <w:tcPr>
            <w:tcW w:w="1140" w:type="dxa"/>
            <w:vAlign w:val="bottom"/>
            <w:tcBorders>
              <w:bottom w:val="single" w:sz="8" w:color="E1D0D6"/>
            </w:tcBorders>
            <w:shd w:val="clear" w:color="auto" w:fill="E1D0D6"/>
          </w:tcPr>
          <w:p>
            <w:pPr>
              <w:jc w:val="center"/>
              <w:ind w:left="22"/>
              <w:spacing w:after="0"/>
              <w:rPr>
                <w:sz w:val="20"/>
                <w:szCs w:val="20"/>
                <w:color w:val="auto"/>
              </w:rPr>
            </w:pPr>
            <w:r>
              <w:rPr>
                <w:rFonts w:ascii="Arial" w:cs="Arial" w:eastAsia="Arial" w:hAnsi="Arial"/>
                <w:sz w:val="17"/>
                <w:szCs w:val="17"/>
                <w:color w:val="auto"/>
              </w:rPr>
              <w:t>203%</w:t>
            </w:r>
          </w:p>
        </w:tc>
        <w:tc>
          <w:tcPr>
            <w:tcW w:w="480" w:type="dxa"/>
            <w:vAlign w:val="bottom"/>
            <w:tcBorders>
              <w:left w:val="single" w:sz="8" w:color="A8BCBF"/>
              <w:bottom w:val="single" w:sz="8" w:color="E1D0D6"/>
            </w:tcBorders>
            <w:shd w:val="clear" w:color="auto" w:fill="E1D0D6"/>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E1D0D6"/>
            </w:tcBorders>
            <w:shd w:val="clear" w:color="auto" w:fill="E1D0D6"/>
          </w:tcPr>
          <w:p>
            <w:pPr>
              <w:jc w:val="right"/>
              <w:ind w:right="122"/>
              <w:spacing w:after="0"/>
              <w:rPr>
                <w:sz w:val="20"/>
                <w:szCs w:val="20"/>
                <w:color w:val="auto"/>
              </w:rPr>
            </w:pPr>
            <w:r>
              <w:rPr>
                <w:rFonts w:ascii="Arial" w:cs="Arial" w:eastAsia="Arial" w:hAnsi="Arial"/>
                <w:sz w:val="17"/>
                <w:szCs w:val="17"/>
                <w:color w:val="auto"/>
              </w:rPr>
              <w:t>1,825,715</w:t>
            </w:r>
          </w:p>
        </w:tc>
        <w:tc>
          <w:tcPr>
            <w:tcW w:w="20" w:type="dxa"/>
            <w:vAlign w:val="bottom"/>
            <w:tcBorders>
              <w:bottom w:val="single" w:sz="8" w:color="A8BCBF"/>
            </w:tcBorders>
            <w:shd w:val="clear" w:color="auto" w:fill="A8BCBF"/>
          </w:tcPr>
          <w:p>
            <w:pPr>
              <w:spacing w:after="0"/>
              <w:rPr>
                <w:sz w:val="24"/>
                <w:szCs w:val="24"/>
                <w:color w:val="auto"/>
              </w:rPr>
            </w:pPr>
          </w:p>
        </w:tc>
        <w:tc>
          <w:tcPr>
            <w:tcW w:w="500" w:type="dxa"/>
            <w:vAlign w:val="bottom"/>
            <w:tcBorders>
              <w:bottom w:val="single" w:sz="8" w:color="E1D0D6"/>
            </w:tcBorders>
            <w:shd w:val="clear" w:color="auto" w:fill="E1D0D6"/>
          </w:tcPr>
          <w:p>
            <w:pPr>
              <w:ind w:left="400"/>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E1D0D6"/>
            </w:tcBorders>
            <w:shd w:val="clear" w:color="auto" w:fill="E1D0D6"/>
          </w:tcPr>
          <w:p>
            <w:pPr>
              <w:jc w:val="right"/>
              <w:ind w:right="133"/>
              <w:spacing w:after="0"/>
              <w:rPr>
                <w:sz w:val="20"/>
                <w:szCs w:val="20"/>
                <w:color w:val="auto"/>
              </w:rPr>
            </w:pPr>
            <w:r>
              <w:rPr>
                <w:rFonts w:ascii="Arial" w:cs="Arial" w:eastAsia="Arial" w:hAnsi="Arial"/>
                <w:sz w:val="17"/>
                <w:szCs w:val="17"/>
                <w:color w:val="auto"/>
                <w:w w:val="97"/>
              </w:rPr>
              <w:t>1,825,715</w:t>
            </w:r>
          </w:p>
        </w:tc>
        <w:tc>
          <w:tcPr>
            <w:tcW w:w="0" w:type="dxa"/>
            <w:vAlign w:val="bottom"/>
          </w:tcPr>
          <w:p>
            <w:pPr>
              <w:spacing w:after="0"/>
              <w:rPr>
                <w:sz w:val="1"/>
                <w:szCs w:val="1"/>
                <w:color w:val="auto"/>
              </w:rPr>
            </w:pPr>
          </w:p>
        </w:tc>
      </w:tr>
      <w:tr>
        <w:trPr>
          <w:trHeight w:val="247"/>
        </w:trPr>
        <w:tc>
          <w:tcPr>
            <w:tcW w:w="3700" w:type="dxa"/>
            <w:vAlign w:val="bottom"/>
          </w:tcPr>
          <w:p>
            <w:pPr>
              <w:ind w:left="60"/>
              <w:spacing w:after="0"/>
              <w:rPr>
                <w:sz w:val="20"/>
                <w:szCs w:val="20"/>
                <w:color w:val="auto"/>
              </w:rPr>
            </w:pPr>
            <w:r>
              <w:rPr>
                <w:rFonts w:ascii="Arial" w:cs="Arial" w:eastAsia="Arial" w:hAnsi="Arial"/>
                <w:sz w:val="17"/>
                <w:szCs w:val="17"/>
                <w:color w:val="auto"/>
              </w:rPr>
              <w:t>Julie M . Cameron-Doe</w:t>
            </w:r>
          </w:p>
        </w:tc>
        <w:tc>
          <w:tcPr>
            <w:tcW w:w="20" w:type="dxa"/>
            <w:vAlign w:val="bottom"/>
            <w:shd w:val="clear" w:color="auto" w:fill="A8BCBF"/>
          </w:tcPr>
          <w:p>
            <w:pPr>
              <w:spacing w:after="0"/>
              <w:rPr>
                <w:sz w:val="21"/>
                <w:szCs w:val="21"/>
                <w:color w:val="auto"/>
              </w:rPr>
            </w:pPr>
          </w:p>
        </w:tc>
        <w:tc>
          <w:tcPr>
            <w:tcW w:w="1060" w:type="dxa"/>
            <w:vAlign w:val="bottom"/>
          </w:tcPr>
          <w:p>
            <w:pPr>
              <w:jc w:val="center"/>
              <w:ind w:left="22"/>
              <w:spacing w:after="0"/>
              <w:rPr>
                <w:sz w:val="20"/>
                <w:szCs w:val="20"/>
                <w:color w:val="auto"/>
              </w:rPr>
            </w:pPr>
            <w:r>
              <w:rPr>
                <w:rFonts w:ascii="Arial" w:cs="Arial" w:eastAsia="Arial" w:hAnsi="Arial"/>
                <w:sz w:val="17"/>
                <w:szCs w:val="17"/>
                <w:color w:val="auto"/>
              </w:rPr>
              <w:t>160%</w:t>
            </w:r>
          </w:p>
        </w:tc>
        <w:tc>
          <w:tcPr>
            <w:tcW w:w="20" w:type="dxa"/>
            <w:vAlign w:val="bottom"/>
            <w:shd w:val="clear" w:color="auto" w:fill="A8BCBF"/>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7"/>
                <w:szCs w:val="17"/>
                <w:color w:val="auto"/>
              </w:rPr>
              <w:t>200%</w:t>
            </w:r>
          </w:p>
        </w:tc>
        <w:tc>
          <w:tcPr>
            <w:tcW w:w="20" w:type="dxa"/>
            <w:vAlign w:val="bottom"/>
            <w:shd w:val="clear" w:color="auto" w:fill="A8BCBF"/>
          </w:tcPr>
          <w:p>
            <w:pPr>
              <w:spacing w:after="0"/>
              <w:rPr>
                <w:sz w:val="21"/>
                <w:szCs w:val="21"/>
                <w:color w:val="auto"/>
              </w:rPr>
            </w:pPr>
          </w:p>
        </w:tc>
        <w:tc>
          <w:tcPr>
            <w:tcW w:w="900" w:type="dxa"/>
            <w:vAlign w:val="bottom"/>
            <w:tcBorders>
              <w:right w:val="single" w:sz="8" w:color="A8BCBF"/>
            </w:tcBorders>
          </w:tcPr>
          <w:p>
            <w:pPr>
              <w:jc w:val="center"/>
              <w:spacing w:after="0"/>
              <w:rPr>
                <w:sz w:val="20"/>
                <w:szCs w:val="20"/>
                <w:color w:val="auto"/>
              </w:rPr>
            </w:pPr>
            <w:r>
              <w:rPr>
                <w:rFonts w:ascii="Arial" w:cs="Arial" w:eastAsia="Arial" w:hAnsi="Arial"/>
                <w:sz w:val="17"/>
                <w:szCs w:val="17"/>
                <w:color w:val="auto"/>
              </w:rPr>
              <w:t>240%</w:t>
            </w:r>
          </w:p>
        </w:tc>
        <w:tc>
          <w:tcPr>
            <w:tcW w:w="1140" w:type="dxa"/>
            <w:vAlign w:val="bottom"/>
          </w:tcPr>
          <w:p>
            <w:pPr>
              <w:jc w:val="center"/>
              <w:ind w:left="22"/>
              <w:spacing w:after="0"/>
              <w:rPr>
                <w:sz w:val="20"/>
                <w:szCs w:val="20"/>
                <w:color w:val="auto"/>
              </w:rPr>
            </w:pPr>
            <w:r>
              <w:rPr>
                <w:rFonts w:ascii="Arial" w:cs="Arial" w:eastAsia="Arial" w:hAnsi="Arial"/>
                <w:sz w:val="17"/>
                <w:szCs w:val="17"/>
                <w:color w:val="auto"/>
              </w:rPr>
              <w:t>203%</w:t>
            </w:r>
          </w:p>
        </w:tc>
        <w:tc>
          <w:tcPr>
            <w:tcW w:w="480" w:type="dxa"/>
            <w:vAlign w:val="bottom"/>
            <w:tcBorders>
              <w:left w:val="single" w:sz="8" w:color="A8BCBF"/>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22"/>
              <w:spacing w:after="0"/>
              <w:rPr>
                <w:sz w:val="20"/>
                <w:szCs w:val="20"/>
                <w:color w:val="auto"/>
              </w:rPr>
            </w:pPr>
            <w:r>
              <w:rPr>
                <w:rFonts w:ascii="Arial" w:cs="Arial" w:eastAsia="Arial" w:hAnsi="Arial"/>
                <w:sz w:val="17"/>
                <w:szCs w:val="17"/>
                <w:color w:val="auto"/>
              </w:rPr>
              <w:t>912,857</w:t>
            </w:r>
          </w:p>
        </w:tc>
        <w:tc>
          <w:tcPr>
            <w:tcW w:w="20" w:type="dxa"/>
            <w:vAlign w:val="bottom"/>
            <w:shd w:val="clear" w:color="auto" w:fill="A8BCBF"/>
          </w:tcPr>
          <w:p>
            <w:pPr>
              <w:spacing w:after="0"/>
              <w:rPr>
                <w:sz w:val="21"/>
                <w:szCs w:val="21"/>
                <w:color w:val="auto"/>
              </w:rPr>
            </w:pPr>
          </w:p>
        </w:tc>
        <w:tc>
          <w:tcPr>
            <w:tcW w:w="500" w:type="dxa"/>
            <w:vAlign w:val="bottom"/>
          </w:tcPr>
          <w:p>
            <w:pPr>
              <w:ind w:left="400"/>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133"/>
              <w:spacing w:after="0"/>
              <w:rPr>
                <w:sz w:val="20"/>
                <w:szCs w:val="20"/>
                <w:color w:val="auto"/>
              </w:rPr>
            </w:pPr>
            <w:r>
              <w:rPr>
                <w:rFonts w:ascii="Arial" w:cs="Arial" w:eastAsia="Arial" w:hAnsi="Arial"/>
                <w:sz w:val="17"/>
                <w:szCs w:val="17"/>
                <w:color w:val="auto"/>
              </w:rPr>
              <w:t>912,857</w:t>
            </w:r>
          </w:p>
        </w:tc>
        <w:tc>
          <w:tcPr>
            <w:tcW w:w="0" w:type="dxa"/>
            <w:vAlign w:val="bottom"/>
          </w:tcPr>
          <w:p>
            <w:pPr>
              <w:spacing w:after="0"/>
              <w:rPr>
                <w:sz w:val="1"/>
                <w:szCs w:val="1"/>
                <w:color w:val="auto"/>
              </w:rPr>
            </w:pPr>
          </w:p>
        </w:tc>
      </w:tr>
      <w:tr>
        <w:trPr>
          <w:trHeight w:val="52"/>
        </w:trPr>
        <w:tc>
          <w:tcPr>
            <w:tcW w:w="3700" w:type="dxa"/>
            <w:vAlign w:val="bottom"/>
          </w:tcPr>
          <w:p>
            <w:pPr>
              <w:spacing w:after="0"/>
              <w:rPr>
                <w:sz w:val="4"/>
                <w:szCs w:val="4"/>
                <w:color w:val="auto"/>
              </w:rPr>
            </w:pPr>
          </w:p>
        </w:tc>
        <w:tc>
          <w:tcPr>
            <w:tcW w:w="20" w:type="dxa"/>
            <w:vAlign w:val="bottom"/>
            <w:shd w:val="clear" w:color="auto" w:fill="A8BCBF"/>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shd w:val="clear" w:color="auto" w:fill="A8BCBF"/>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shd w:val="clear" w:color="auto" w:fill="A8BCBF"/>
          </w:tcPr>
          <w:p>
            <w:pPr>
              <w:spacing w:after="0"/>
              <w:rPr>
                <w:sz w:val="4"/>
                <w:szCs w:val="4"/>
                <w:color w:val="auto"/>
              </w:rPr>
            </w:pPr>
          </w:p>
        </w:tc>
        <w:tc>
          <w:tcPr>
            <w:tcW w:w="900" w:type="dxa"/>
            <w:vAlign w:val="bottom"/>
            <w:tcBorders>
              <w:right w:val="single" w:sz="8" w:color="A8BCBF"/>
            </w:tcBorders>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left w:val="single" w:sz="8" w:color="A8BCBF"/>
            </w:tcBorders>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shd w:val="clear" w:color="auto" w:fill="A8BCBF"/>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3700" w:type="dxa"/>
            <w:vAlign w:val="bottom"/>
            <w:shd w:val="clear" w:color="auto" w:fill="E1D0D6"/>
          </w:tcPr>
          <w:p>
            <w:pPr>
              <w:ind w:left="60"/>
              <w:spacing w:after="0"/>
              <w:rPr>
                <w:sz w:val="20"/>
                <w:szCs w:val="20"/>
                <w:color w:val="auto"/>
              </w:rPr>
            </w:pPr>
            <w:r>
              <w:rPr>
                <w:rFonts w:ascii="Arial" w:cs="Arial" w:eastAsia="Arial" w:hAnsi="Arial"/>
                <w:sz w:val="17"/>
                <w:szCs w:val="17"/>
                <w:color w:val="auto"/>
              </w:rPr>
              <w:t>Ellen F. Whittemore</w:t>
            </w:r>
          </w:p>
        </w:tc>
        <w:tc>
          <w:tcPr>
            <w:tcW w:w="20" w:type="dxa"/>
            <w:vAlign w:val="bottom"/>
            <w:shd w:val="clear" w:color="auto" w:fill="A8BCBF"/>
          </w:tcPr>
          <w:p>
            <w:pPr>
              <w:spacing w:after="0"/>
              <w:rPr>
                <w:sz w:val="21"/>
                <w:szCs w:val="21"/>
                <w:color w:val="auto"/>
              </w:rPr>
            </w:pPr>
          </w:p>
        </w:tc>
        <w:tc>
          <w:tcPr>
            <w:tcW w:w="1060" w:type="dxa"/>
            <w:vAlign w:val="bottom"/>
            <w:shd w:val="clear" w:color="auto" w:fill="E1D0D6"/>
          </w:tcPr>
          <w:p>
            <w:pPr>
              <w:jc w:val="center"/>
              <w:ind w:left="22"/>
              <w:spacing w:after="0"/>
              <w:rPr>
                <w:sz w:val="20"/>
                <w:szCs w:val="20"/>
                <w:color w:val="auto"/>
              </w:rPr>
            </w:pPr>
            <w:r>
              <w:rPr>
                <w:rFonts w:ascii="Arial" w:cs="Arial" w:eastAsia="Arial" w:hAnsi="Arial"/>
                <w:sz w:val="17"/>
                <w:szCs w:val="17"/>
                <w:color w:val="auto"/>
              </w:rPr>
              <w:t>160%</w:t>
            </w:r>
          </w:p>
        </w:tc>
        <w:tc>
          <w:tcPr>
            <w:tcW w:w="20" w:type="dxa"/>
            <w:vAlign w:val="bottom"/>
            <w:shd w:val="clear" w:color="auto" w:fill="A8BCBF"/>
          </w:tcPr>
          <w:p>
            <w:pPr>
              <w:spacing w:after="0"/>
              <w:rPr>
                <w:sz w:val="21"/>
                <w:szCs w:val="21"/>
                <w:color w:val="auto"/>
              </w:rPr>
            </w:pPr>
          </w:p>
        </w:tc>
        <w:tc>
          <w:tcPr>
            <w:tcW w:w="800" w:type="dxa"/>
            <w:vAlign w:val="bottom"/>
            <w:shd w:val="clear" w:color="auto" w:fill="E1D0D6"/>
          </w:tcPr>
          <w:p>
            <w:pPr>
              <w:ind w:left="220"/>
              <w:spacing w:after="0"/>
              <w:rPr>
                <w:sz w:val="20"/>
                <w:szCs w:val="20"/>
                <w:color w:val="auto"/>
              </w:rPr>
            </w:pPr>
            <w:r>
              <w:rPr>
                <w:rFonts w:ascii="Arial" w:cs="Arial" w:eastAsia="Arial" w:hAnsi="Arial"/>
                <w:sz w:val="17"/>
                <w:szCs w:val="17"/>
                <w:color w:val="auto"/>
              </w:rPr>
              <w:t>200%</w:t>
            </w:r>
          </w:p>
        </w:tc>
        <w:tc>
          <w:tcPr>
            <w:tcW w:w="20" w:type="dxa"/>
            <w:vAlign w:val="bottom"/>
            <w:shd w:val="clear" w:color="auto" w:fill="A8BCBF"/>
          </w:tcPr>
          <w:p>
            <w:pPr>
              <w:spacing w:after="0"/>
              <w:rPr>
                <w:sz w:val="21"/>
                <w:szCs w:val="21"/>
                <w:color w:val="auto"/>
              </w:rPr>
            </w:pPr>
          </w:p>
        </w:tc>
        <w:tc>
          <w:tcPr>
            <w:tcW w:w="900" w:type="dxa"/>
            <w:vAlign w:val="bottom"/>
            <w:tcBorders>
              <w:right w:val="single" w:sz="8" w:color="A8BCBF"/>
            </w:tcBorders>
            <w:shd w:val="clear" w:color="auto" w:fill="E1D0D6"/>
          </w:tcPr>
          <w:p>
            <w:pPr>
              <w:jc w:val="center"/>
              <w:spacing w:after="0"/>
              <w:rPr>
                <w:sz w:val="20"/>
                <w:szCs w:val="20"/>
                <w:color w:val="auto"/>
              </w:rPr>
            </w:pPr>
            <w:r>
              <w:rPr>
                <w:rFonts w:ascii="Arial" w:cs="Arial" w:eastAsia="Arial" w:hAnsi="Arial"/>
                <w:sz w:val="17"/>
                <w:szCs w:val="17"/>
                <w:color w:val="auto"/>
              </w:rPr>
              <w:t>240%</w:t>
            </w:r>
          </w:p>
        </w:tc>
        <w:tc>
          <w:tcPr>
            <w:tcW w:w="1140" w:type="dxa"/>
            <w:vAlign w:val="bottom"/>
            <w:shd w:val="clear" w:color="auto" w:fill="E1D0D6"/>
          </w:tcPr>
          <w:p>
            <w:pPr>
              <w:jc w:val="center"/>
              <w:ind w:left="22"/>
              <w:spacing w:after="0"/>
              <w:rPr>
                <w:sz w:val="20"/>
                <w:szCs w:val="20"/>
                <w:color w:val="auto"/>
              </w:rPr>
            </w:pPr>
            <w:r>
              <w:rPr>
                <w:rFonts w:ascii="Arial" w:cs="Arial" w:eastAsia="Arial" w:hAnsi="Arial"/>
                <w:sz w:val="17"/>
                <w:szCs w:val="17"/>
                <w:color w:val="auto"/>
              </w:rPr>
              <w:t>203%</w:t>
            </w:r>
          </w:p>
        </w:tc>
        <w:tc>
          <w:tcPr>
            <w:tcW w:w="480" w:type="dxa"/>
            <w:vAlign w:val="bottom"/>
            <w:tcBorders>
              <w:left w:val="single" w:sz="8" w:color="A8BCBF"/>
            </w:tcBorders>
            <w:shd w:val="clear" w:color="auto" w:fill="E1D0D6"/>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E1D0D6"/>
          </w:tcPr>
          <w:p>
            <w:pPr>
              <w:jc w:val="right"/>
              <w:ind w:right="122"/>
              <w:spacing w:after="0"/>
              <w:rPr>
                <w:sz w:val="20"/>
                <w:szCs w:val="20"/>
                <w:color w:val="auto"/>
              </w:rPr>
            </w:pPr>
            <w:r>
              <w:rPr>
                <w:rFonts w:ascii="Arial" w:cs="Arial" w:eastAsia="Arial" w:hAnsi="Arial"/>
                <w:sz w:val="17"/>
                <w:szCs w:val="17"/>
                <w:color w:val="auto"/>
              </w:rPr>
              <w:t>912,857</w:t>
            </w:r>
          </w:p>
        </w:tc>
        <w:tc>
          <w:tcPr>
            <w:tcW w:w="20" w:type="dxa"/>
            <w:vAlign w:val="bottom"/>
            <w:shd w:val="clear" w:color="auto" w:fill="A8BCBF"/>
          </w:tcPr>
          <w:p>
            <w:pPr>
              <w:spacing w:after="0"/>
              <w:rPr>
                <w:sz w:val="21"/>
                <w:szCs w:val="21"/>
                <w:color w:val="auto"/>
              </w:rPr>
            </w:pPr>
          </w:p>
        </w:tc>
        <w:tc>
          <w:tcPr>
            <w:tcW w:w="500" w:type="dxa"/>
            <w:vAlign w:val="bottom"/>
            <w:shd w:val="clear" w:color="auto" w:fill="E1D0D6"/>
          </w:tcPr>
          <w:p>
            <w:pPr>
              <w:ind w:left="40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E1D0D6"/>
          </w:tcPr>
          <w:p>
            <w:pPr>
              <w:jc w:val="right"/>
              <w:ind w:right="133"/>
              <w:spacing w:after="0"/>
              <w:rPr>
                <w:sz w:val="20"/>
                <w:szCs w:val="20"/>
                <w:color w:val="auto"/>
              </w:rPr>
            </w:pPr>
            <w:r>
              <w:rPr>
                <w:rFonts w:ascii="Arial" w:cs="Arial" w:eastAsia="Arial" w:hAnsi="Arial"/>
                <w:sz w:val="17"/>
                <w:szCs w:val="17"/>
                <w:color w:val="auto"/>
              </w:rPr>
              <w:t>912,857</w:t>
            </w:r>
          </w:p>
        </w:tc>
        <w:tc>
          <w:tcPr>
            <w:tcW w:w="0" w:type="dxa"/>
            <w:vAlign w:val="bottom"/>
          </w:tcPr>
          <w:p>
            <w:pPr>
              <w:spacing w:after="0"/>
              <w:rPr>
                <w:sz w:val="1"/>
                <w:szCs w:val="1"/>
                <w:color w:val="auto"/>
              </w:rPr>
            </w:pPr>
          </w:p>
        </w:tc>
      </w:tr>
      <w:tr>
        <w:trPr>
          <w:trHeight w:val="52"/>
        </w:trPr>
        <w:tc>
          <w:tcPr>
            <w:tcW w:w="3700" w:type="dxa"/>
            <w:vAlign w:val="bottom"/>
            <w:shd w:val="clear" w:color="auto" w:fill="E1D0D6"/>
          </w:tcPr>
          <w:p>
            <w:pPr>
              <w:spacing w:after="0"/>
              <w:rPr>
                <w:sz w:val="4"/>
                <w:szCs w:val="4"/>
                <w:color w:val="auto"/>
              </w:rPr>
            </w:pPr>
          </w:p>
        </w:tc>
        <w:tc>
          <w:tcPr>
            <w:tcW w:w="20" w:type="dxa"/>
            <w:vAlign w:val="bottom"/>
            <w:shd w:val="clear" w:color="auto" w:fill="A8BCBF"/>
          </w:tcPr>
          <w:p>
            <w:pPr>
              <w:spacing w:after="0"/>
              <w:rPr>
                <w:sz w:val="4"/>
                <w:szCs w:val="4"/>
                <w:color w:val="auto"/>
              </w:rPr>
            </w:pPr>
          </w:p>
        </w:tc>
        <w:tc>
          <w:tcPr>
            <w:tcW w:w="1060" w:type="dxa"/>
            <w:vAlign w:val="bottom"/>
            <w:shd w:val="clear" w:color="auto" w:fill="E1D0D6"/>
          </w:tcPr>
          <w:p>
            <w:pPr>
              <w:spacing w:after="0"/>
              <w:rPr>
                <w:sz w:val="4"/>
                <w:szCs w:val="4"/>
                <w:color w:val="auto"/>
              </w:rPr>
            </w:pPr>
          </w:p>
        </w:tc>
        <w:tc>
          <w:tcPr>
            <w:tcW w:w="20" w:type="dxa"/>
            <w:vAlign w:val="bottom"/>
            <w:shd w:val="clear" w:color="auto" w:fill="A8BCBF"/>
          </w:tcPr>
          <w:p>
            <w:pPr>
              <w:spacing w:after="0"/>
              <w:rPr>
                <w:sz w:val="4"/>
                <w:szCs w:val="4"/>
                <w:color w:val="auto"/>
              </w:rPr>
            </w:pPr>
          </w:p>
        </w:tc>
        <w:tc>
          <w:tcPr>
            <w:tcW w:w="800" w:type="dxa"/>
            <w:vAlign w:val="bottom"/>
            <w:shd w:val="clear" w:color="auto" w:fill="E1D0D6"/>
          </w:tcPr>
          <w:p>
            <w:pPr>
              <w:spacing w:after="0"/>
              <w:rPr>
                <w:sz w:val="4"/>
                <w:szCs w:val="4"/>
                <w:color w:val="auto"/>
              </w:rPr>
            </w:pPr>
          </w:p>
        </w:tc>
        <w:tc>
          <w:tcPr>
            <w:tcW w:w="20" w:type="dxa"/>
            <w:vAlign w:val="bottom"/>
            <w:shd w:val="clear" w:color="auto" w:fill="A8BCBF"/>
          </w:tcPr>
          <w:p>
            <w:pPr>
              <w:spacing w:after="0"/>
              <w:rPr>
                <w:sz w:val="4"/>
                <w:szCs w:val="4"/>
                <w:color w:val="auto"/>
              </w:rPr>
            </w:pPr>
          </w:p>
        </w:tc>
        <w:tc>
          <w:tcPr>
            <w:tcW w:w="900" w:type="dxa"/>
            <w:vAlign w:val="bottom"/>
            <w:tcBorders>
              <w:right w:val="single" w:sz="8" w:color="A8BCBF"/>
            </w:tcBorders>
            <w:shd w:val="clear" w:color="auto" w:fill="E1D0D6"/>
          </w:tcPr>
          <w:p>
            <w:pPr>
              <w:spacing w:after="0"/>
              <w:rPr>
                <w:sz w:val="4"/>
                <w:szCs w:val="4"/>
                <w:color w:val="auto"/>
              </w:rPr>
            </w:pPr>
          </w:p>
        </w:tc>
        <w:tc>
          <w:tcPr>
            <w:tcW w:w="1140" w:type="dxa"/>
            <w:vAlign w:val="bottom"/>
            <w:shd w:val="clear" w:color="auto" w:fill="E1D0D6"/>
          </w:tcPr>
          <w:p>
            <w:pPr>
              <w:spacing w:after="0"/>
              <w:rPr>
                <w:sz w:val="4"/>
                <w:szCs w:val="4"/>
                <w:color w:val="auto"/>
              </w:rPr>
            </w:pPr>
          </w:p>
        </w:tc>
        <w:tc>
          <w:tcPr>
            <w:tcW w:w="480" w:type="dxa"/>
            <w:vAlign w:val="bottom"/>
            <w:tcBorders>
              <w:left w:val="single" w:sz="8" w:color="A8BCBF"/>
            </w:tcBorders>
            <w:shd w:val="clear" w:color="auto" w:fill="E1D0D6"/>
          </w:tcPr>
          <w:p>
            <w:pPr>
              <w:spacing w:after="0"/>
              <w:rPr>
                <w:sz w:val="4"/>
                <w:szCs w:val="4"/>
                <w:color w:val="auto"/>
              </w:rPr>
            </w:pPr>
          </w:p>
        </w:tc>
        <w:tc>
          <w:tcPr>
            <w:tcW w:w="980" w:type="dxa"/>
            <w:vAlign w:val="bottom"/>
            <w:shd w:val="clear" w:color="auto" w:fill="E1D0D6"/>
          </w:tcPr>
          <w:p>
            <w:pPr>
              <w:spacing w:after="0"/>
              <w:rPr>
                <w:sz w:val="4"/>
                <w:szCs w:val="4"/>
                <w:color w:val="auto"/>
              </w:rPr>
            </w:pPr>
          </w:p>
        </w:tc>
        <w:tc>
          <w:tcPr>
            <w:tcW w:w="20" w:type="dxa"/>
            <w:vAlign w:val="bottom"/>
            <w:shd w:val="clear" w:color="auto" w:fill="A8BCBF"/>
          </w:tcPr>
          <w:p>
            <w:pPr>
              <w:spacing w:after="0"/>
              <w:rPr>
                <w:sz w:val="4"/>
                <w:szCs w:val="4"/>
                <w:color w:val="auto"/>
              </w:rPr>
            </w:pPr>
          </w:p>
        </w:tc>
        <w:tc>
          <w:tcPr>
            <w:tcW w:w="500" w:type="dxa"/>
            <w:vAlign w:val="bottom"/>
            <w:shd w:val="clear" w:color="auto" w:fill="E1D0D6"/>
          </w:tcPr>
          <w:p>
            <w:pPr>
              <w:spacing w:after="0"/>
              <w:rPr>
                <w:sz w:val="4"/>
                <w:szCs w:val="4"/>
                <w:color w:val="auto"/>
              </w:rPr>
            </w:pPr>
          </w:p>
        </w:tc>
        <w:tc>
          <w:tcPr>
            <w:tcW w:w="980" w:type="dxa"/>
            <w:vAlign w:val="bottom"/>
            <w:shd w:val="clear" w:color="auto" w:fill="E1D0D6"/>
          </w:tcPr>
          <w:p>
            <w:pPr>
              <w:spacing w:after="0"/>
              <w:rPr>
                <w:sz w:val="4"/>
                <w:szCs w:val="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20" w:right="60" w:hanging="4"/>
        <w:spacing w:after="0" w:line="239" w:lineRule="auto"/>
        <w:tabs>
          <w:tab w:leader="none" w:pos="502" w:val="left"/>
        </w:tabs>
        <w:numPr>
          <w:ilvl w:val="0"/>
          <w:numId w:val="27"/>
        </w:numPr>
        <w:rPr>
          <w:rFonts w:ascii="Arial" w:cs="Arial" w:eastAsia="Arial" w:hAnsi="Arial"/>
          <w:sz w:val="12"/>
          <w:szCs w:val="12"/>
          <w:color w:val="auto"/>
        </w:rPr>
      </w:pPr>
      <w:r>
        <w:rPr>
          <w:rFonts w:ascii="Arial" w:cs="Arial" w:eastAsia="Arial" w:hAnsi="Arial"/>
          <w:sz w:val="12"/>
          <w:szCs w:val="12"/>
          <w:color w:val="auto"/>
        </w:rPr>
        <w:t>Mr. Maddox is not included in this table as he was paid in accordance with the Maddox Termination Agreement on January 31, 2022. Refer to the sections titled “Summary Compensation Tables” and “Payments Made Upon Termination” for further discussion.</w:t>
      </w:r>
    </w:p>
    <w:p>
      <w:pPr>
        <w:spacing w:after="0" w:line="89" w:lineRule="exact"/>
        <w:rPr>
          <w:rFonts w:ascii="Arial" w:cs="Arial" w:eastAsia="Arial" w:hAnsi="Arial"/>
          <w:sz w:val="12"/>
          <w:szCs w:val="12"/>
          <w:color w:val="auto"/>
        </w:rPr>
      </w:pPr>
    </w:p>
    <w:p>
      <w:pPr>
        <w:ind w:left="500" w:hanging="184"/>
        <w:spacing w:after="0"/>
        <w:tabs>
          <w:tab w:leader="none" w:pos="5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amounts set forth in this column reflect the aggregate grant date fair value of stock awards granted. These stock awards are fully vested.</w:t>
      </w:r>
    </w:p>
    <w:p>
      <w:pPr>
        <w:spacing w:after="0" w:line="309" w:lineRule="exact"/>
        <w:rPr>
          <w:sz w:val="20"/>
          <w:szCs w:val="20"/>
          <w:color w:val="auto"/>
        </w:rPr>
      </w:pPr>
    </w:p>
    <w:p>
      <w:pPr>
        <w:ind w:left="320" w:right="480"/>
        <w:spacing w:after="0" w:line="247" w:lineRule="auto"/>
        <w:rPr>
          <w:sz w:val="20"/>
          <w:szCs w:val="20"/>
          <w:color w:val="auto"/>
        </w:rPr>
      </w:pPr>
      <w:r>
        <w:rPr>
          <w:rFonts w:ascii="Arial" w:cs="Arial" w:eastAsia="Arial" w:hAnsi="Arial"/>
          <w:sz w:val="17"/>
          <w:szCs w:val="17"/>
          <w:color w:val="6A1834"/>
        </w:rPr>
        <w:t xml:space="preserve">LONG-TERM INCENTIVES: </w:t>
      </w:r>
      <w:r>
        <w:rPr>
          <w:rFonts w:ascii="Arial" w:cs="Arial" w:eastAsia="Arial" w:hAnsi="Arial"/>
          <w:sz w:val="17"/>
          <w:szCs w:val="17"/>
          <w:color w:val="000000"/>
        </w:rPr>
        <w:t>In the past, the Company made periodic—not annual—equity grants to executives, including our NEOs.</w:t>
      </w:r>
      <w:r>
        <w:rPr>
          <w:rFonts w:ascii="Arial" w:cs="Arial" w:eastAsia="Arial" w:hAnsi="Arial"/>
          <w:sz w:val="17"/>
          <w:szCs w:val="17"/>
          <w:color w:val="6A1834"/>
        </w:rPr>
        <w:t xml:space="preserve"> </w:t>
      </w:r>
      <w:r>
        <w:rPr>
          <w:rFonts w:ascii="Arial" w:cs="Arial" w:eastAsia="Arial" w:hAnsi="Arial"/>
          <w:sz w:val="17"/>
          <w:szCs w:val="17"/>
          <w:color w:val="000000"/>
        </w:rPr>
        <w:t>Those periodic grants were typically made with long-term vesting dates of up to ten years and such awards were not subject to performance conditions.</w:t>
      </w:r>
    </w:p>
    <w:p>
      <w:pPr>
        <w:spacing w:after="0" w:line="164" w:lineRule="exact"/>
        <w:rPr>
          <w:sz w:val="20"/>
          <w:szCs w:val="20"/>
          <w:color w:val="auto"/>
        </w:rPr>
      </w:pPr>
    </w:p>
    <w:p>
      <w:pPr>
        <w:ind w:left="320" w:right="80"/>
        <w:spacing w:after="0" w:line="243" w:lineRule="auto"/>
        <w:rPr>
          <w:sz w:val="20"/>
          <w:szCs w:val="20"/>
          <w:color w:val="auto"/>
        </w:rPr>
      </w:pPr>
      <w:r>
        <w:rPr>
          <w:rFonts w:ascii="Arial" w:cs="Arial" w:eastAsia="Arial" w:hAnsi="Arial"/>
          <w:sz w:val="17"/>
          <w:szCs w:val="17"/>
          <w:color w:val="auto"/>
        </w:rPr>
        <w:t>Beginning in 2018, the Compensation Committee moved from periodic grants to annual grants with three-year vesting and implemented a policy of subjecting a portion of grants made to NEOs to performance conditions to ensure a superior focus on operational excellence as well as better align executives’ interests with those of long-term shareholders. For 2022, the Compensation Committee set the vesting schedule on annual restricted stock grants to equal annual installment vesting on a pro rata basis over three-years to allow executives to realize incentives over time.</w:t>
      </w:r>
    </w:p>
    <w:p>
      <w:pPr>
        <w:spacing w:after="0" w:line="155" w:lineRule="exact"/>
        <w:rPr>
          <w:sz w:val="20"/>
          <w:szCs w:val="20"/>
          <w:color w:val="auto"/>
        </w:rPr>
      </w:pPr>
    </w:p>
    <w:p>
      <w:pPr>
        <w:ind w:left="320" w:right="60"/>
        <w:spacing w:after="0" w:line="241" w:lineRule="auto"/>
        <w:rPr>
          <w:sz w:val="20"/>
          <w:szCs w:val="20"/>
          <w:color w:val="auto"/>
        </w:rPr>
      </w:pPr>
      <w:r>
        <w:rPr>
          <w:rFonts w:ascii="Arial" w:cs="Arial" w:eastAsia="Arial" w:hAnsi="Arial"/>
          <w:sz w:val="17"/>
          <w:szCs w:val="17"/>
          <w:color w:val="auto"/>
        </w:rPr>
        <w:t>In 2022, the Compensation Committee approved, the use of “fair share” metrics for performance conditions over one-, two-, and three-year performance periods for our Las Vegas Operations. With the Macau market generating Adjusted Property EBITDAR losses over the course of 2021 and 2022 due to pandemic-related travel restrictions, along with significant uncertainty around the financial outlook of the Company’s Macau Operations in 2022, the Compensation Committee decided it would temporarily exclude Macau-specific performance measures from the 2022 grant. This resulted in 33% of long-term incentives granted with performance conditions. As noted in the Responding to Shareholder Feedback section, informed by extensive shareholder outreach following our poor Say-on-Pay performance in May 2022, the Committee significantly increased the proportion of long-term incentive awards with performance conditions to 55% for the January 2023 LTI grant.</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These fair share metrics were generally calculated as follows:</w:t>
      </w:r>
    </w:p>
    <w:p>
      <w:pPr>
        <w:spacing w:after="0" w:line="208" w:lineRule="exact"/>
        <w:rPr>
          <w:sz w:val="20"/>
          <w:szCs w:val="20"/>
          <w:color w:val="auto"/>
        </w:rPr>
      </w:pPr>
    </w:p>
    <w:p>
      <w:pPr>
        <w:ind w:left="1480" w:right="380" w:hanging="422"/>
        <w:spacing w:after="0" w:line="256" w:lineRule="auto"/>
        <w:tabs>
          <w:tab w:leader="none" w:pos="1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Las Vegas, the Company’s share of total revenue relative to selected peers divided by the Company’s share of hotel rooms among such peers; and</w:t>
      </w:r>
    </w:p>
    <w:p>
      <w:pPr>
        <w:spacing w:after="0" w:line="181" w:lineRule="exact"/>
        <w:rPr>
          <w:rFonts w:ascii="Arial" w:cs="Arial" w:eastAsia="Arial" w:hAnsi="Arial"/>
          <w:sz w:val="17"/>
          <w:szCs w:val="17"/>
          <w:color w:val="auto"/>
        </w:rPr>
      </w:pPr>
    </w:p>
    <w:p>
      <w:pPr>
        <w:ind w:left="1480" w:right="840" w:hanging="422"/>
        <w:spacing w:after="0" w:line="256" w:lineRule="auto"/>
        <w:tabs>
          <w:tab w:leader="none" w:pos="1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Las Vegas, the Company’s share of total Adjusted Property EBITDAR relative to selected peers divided by the Company’s share of hotel rooms among such peers.</w:t>
      </w:r>
    </w:p>
    <w:p>
      <w:pPr>
        <w:spacing w:after="0" w:line="155" w:lineRule="exact"/>
        <w:rPr>
          <w:sz w:val="20"/>
          <w:szCs w:val="20"/>
          <w:color w:val="auto"/>
        </w:rPr>
      </w:pPr>
    </w:p>
    <w:p>
      <w:pPr>
        <w:ind w:left="320" w:right="180"/>
        <w:spacing w:after="0" w:line="245" w:lineRule="auto"/>
        <w:rPr>
          <w:sz w:val="20"/>
          <w:szCs w:val="20"/>
          <w:color w:val="auto"/>
        </w:rPr>
      </w:pPr>
      <w:r>
        <w:rPr>
          <w:rFonts w:ascii="Arial" w:cs="Arial" w:eastAsia="Arial" w:hAnsi="Arial"/>
          <w:sz w:val="17"/>
          <w:szCs w:val="17"/>
          <w:color w:val="auto"/>
        </w:rPr>
        <w:t>The Compensation Committee believes that the combination of targeted, high-return investments along with continual revenue and EBITDAR relative outperformance are essential to long-term shareholder value creation. The Committee believes this is best reflected in the consistent generation of Revenue and EBITDAR “fair share” premiums. The decision to select these metrics was based on careful consideration of the following factors:</w:t>
      </w:r>
    </w:p>
    <w:p>
      <w:pPr>
        <w:spacing w:after="0" w:line="191" w:lineRule="exact"/>
        <w:rPr>
          <w:sz w:val="20"/>
          <w:szCs w:val="20"/>
          <w:color w:val="auto"/>
        </w:rPr>
      </w:pPr>
    </w:p>
    <w:p>
      <w:pPr>
        <w:ind w:left="1480" w:right="40" w:hanging="422"/>
        <w:spacing w:after="0" w:line="245" w:lineRule="auto"/>
        <w:tabs>
          <w:tab w:leader="none" w:pos="1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Company’s strategy is to attract and retain premium customers in each market in which the Company operates, driving outsized Operating Revenue and Adjusted Property EBITDAR performance relative to peers over the long run. The consistent generation of “fair share” premiums indicate that our properties are continually outperforming the competition in revenue and EBITDAR.</w:t>
      </w:r>
    </w:p>
    <w:p>
      <w:pPr>
        <w:spacing w:after="0" w:line="190" w:lineRule="exact"/>
        <w:rPr>
          <w:rFonts w:ascii="Arial" w:cs="Arial" w:eastAsia="Arial" w:hAnsi="Arial"/>
          <w:sz w:val="17"/>
          <w:szCs w:val="17"/>
          <w:color w:val="auto"/>
        </w:rPr>
      </w:pPr>
    </w:p>
    <w:p>
      <w:pPr>
        <w:ind w:left="1480" w:right="420" w:hanging="422"/>
        <w:spacing w:after="0" w:line="256" w:lineRule="auto"/>
        <w:tabs>
          <w:tab w:leader="none" w:pos="1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Consistently achieving premium fair share incentivizes a long-term strategic operating approach, including diligent and consistent investment in facilities and team members across the business cycle.</w:t>
      </w:r>
    </w:p>
    <w:p>
      <w:pPr>
        <w:spacing w:after="0" w:line="181" w:lineRule="exact"/>
        <w:rPr>
          <w:rFonts w:ascii="Arial" w:cs="Arial" w:eastAsia="Arial" w:hAnsi="Arial"/>
          <w:sz w:val="17"/>
          <w:szCs w:val="17"/>
          <w:color w:val="auto"/>
        </w:rPr>
      </w:pPr>
    </w:p>
    <w:p>
      <w:pPr>
        <w:ind w:left="1480" w:right="140" w:hanging="422"/>
        <w:spacing w:after="0" w:line="248" w:lineRule="auto"/>
        <w:tabs>
          <w:tab w:leader="none" w:pos="1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Utilizing fair share metrics also prevents management from unduly benefiting from favorable market tailwinds, and instead incentivizes consistent outperformance relative to our competitors regardless of the overall market conditions.</w:t>
      </w: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36 //</w:t>
      </w:r>
    </w:p>
    <w:p>
      <w:pPr>
        <w:sectPr>
          <w:pgSz w:w="11900" w:h="16838" w:orient="portrait"/>
          <w:cols w:equalWidth="0" w:num="1">
            <w:col w:w="10940"/>
          </w:cols>
          <w:pgMar w:left="320" w:top="473" w:right="6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right="100"/>
        <w:spacing w:after="0" w:line="256" w:lineRule="auto"/>
        <w:rPr>
          <w:sz w:val="20"/>
          <w:szCs w:val="20"/>
          <w:color w:val="auto"/>
        </w:rPr>
      </w:pPr>
      <w:r>
        <w:rPr>
          <w:rFonts w:ascii="Arial" w:cs="Arial" w:eastAsia="Arial" w:hAnsi="Arial"/>
          <w:sz w:val="17"/>
          <w:szCs w:val="17"/>
          <w:color w:val="auto"/>
        </w:rPr>
        <w:t>The Compensation Committee believes it has set rigorous fair share targets for the 2022 long-term incentive equity grant. It considers the specific goals to be confidential, however as they relate directly to the Company’s strategy.</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6A1834"/>
        </w:rPr>
        <w:t>2022 EQUITY GRANTS:</w:t>
      </w:r>
    </w:p>
    <w:p>
      <w:pPr>
        <w:spacing w:after="0" w:line="6" w:lineRule="exact"/>
        <w:rPr>
          <w:sz w:val="20"/>
          <w:szCs w:val="20"/>
          <w:color w:val="auto"/>
        </w:rPr>
      </w:pPr>
    </w:p>
    <w:p>
      <w:pPr>
        <w:ind w:left="320" w:right="220"/>
        <w:spacing w:after="0" w:line="239" w:lineRule="auto"/>
        <w:rPr>
          <w:sz w:val="20"/>
          <w:szCs w:val="20"/>
          <w:color w:val="auto"/>
        </w:rPr>
      </w:pPr>
      <w:r>
        <w:rPr>
          <w:rFonts w:ascii="Arial" w:cs="Arial" w:eastAsia="Arial" w:hAnsi="Arial"/>
          <w:sz w:val="17"/>
          <w:szCs w:val="17"/>
          <w:color w:val="auto"/>
        </w:rPr>
        <w:t>The following table summarizes the 2022 annual long-term incentive equity grants for our NEOs. Additional information and the required disclosure under Item 402(d) of Regulation S-K for 2022 can be found in the section titled “Grants of Plan-Based Awards Table.”</w:t>
      </w:r>
    </w:p>
    <w:p>
      <w:pPr>
        <w:spacing w:after="0" w:line="1" w:lineRule="exact"/>
        <w:rPr>
          <w:sz w:val="20"/>
          <w:szCs w:val="20"/>
          <w:color w:val="auto"/>
        </w:rPr>
      </w:pPr>
    </w:p>
    <w:p>
      <w:pPr>
        <w:ind w:left="320" w:right="660"/>
        <w:spacing w:after="0" w:line="256" w:lineRule="auto"/>
        <w:rPr>
          <w:sz w:val="20"/>
          <w:szCs w:val="20"/>
          <w:color w:val="auto"/>
        </w:rPr>
      </w:pPr>
      <w:r>
        <w:rPr>
          <w:rFonts w:ascii="Arial" w:cs="Arial" w:eastAsia="Arial" w:hAnsi="Arial"/>
          <w:sz w:val="17"/>
          <w:szCs w:val="17"/>
          <w:color w:val="auto"/>
        </w:rPr>
        <w:t>Mr. Maddox was not granted any stock during 2022; as such, is not included in the table below. For more information related to his separation, refer to the Sections titled “Summary Compensation Tables” and “Payments Made Upon Termination.”</w:t>
      </w: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128"/>
        </w:trPr>
        <w:tc>
          <w:tcPr>
            <w:tcW w:w="4280" w:type="dxa"/>
            <w:vAlign w:val="bottom"/>
            <w:tcBorders>
              <w:right w:val="single" w:sz="8" w:color="A8BCBF"/>
            </w:tcBorders>
          </w:tcPr>
          <w:p>
            <w:pPr>
              <w:spacing w:after="0"/>
              <w:rPr>
                <w:sz w:val="11"/>
                <w:szCs w:val="11"/>
                <w:color w:val="auto"/>
              </w:rPr>
            </w:pPr>
          </w:p>
        </w:tc>
        <w:tc>
          <w:tcPr>
            <w:tcW w:w="2200" w:type="dxa"/>
            <w:vAlign w:val="bottom"/>
            <w:tcBorders>
              <w:right w:val="single" w:sz="8" w:color="A8BCBF"/>
            </w:tcBorders>
          </w:tcPr>
          <w:p>
            <w:pPr>
              <w:spacing w:after="0"/>
              <w:rPr>
                <w:sz w:val="11"/>
                <w:szCs w:val="11"/>
                <w:color w:val="auto"/>
              </w:rPr>
            </w:pPr>
          </w:p>
        </w:tc>
        <w:tc>
          <w:tcPr>
            <w:tcW w:w="1280" w:type="dxa"/>
            <w:vAlign w:val="bottom"/>
            <w:tcBorders>
              <w:right w:val="single" w:sz="8" w:color="A8BCBF"/>
            </w:tcBorders>
          </w:tcPr>
          <w:p>
            <w:pPr>
              <w:spacing w:after="0"/>
              <w:rPr>
                <w:sz w:val="11"/>
                <w:szCs w:val="11"/>
                <w:color w:val="auto"/>
              </w:rPr>
            </w:pPr>
          </w:p>
        </w:tc>
        <w:tc>
          <w:tcPr>
            <w:tcW w:w="146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PERFORMANCE-</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280" w:type="dxa"/>
            <w:vAlign w:val="bottom"/>
            <w:tcBorders>
              <w:right w:val="single" w:sz="8" w:color="A8BCBF"/>
            </w:tcBorders>
          </w:tcPr>
          <w:p>
            <w:pPr>
              <w:spacing w:after="0"/>
              <w:rPr>
                <w:sz w:val="10"/>
                <w:szCs w:val="10"/>
                <w:color w:val="auto"/>
              </w:rPr>
            </w:pPr>
          </w:p>
        </w:tc>
        <w:tc>
          <w:tcPr>
            <w:tcW w:w="2200" w:type="dxa"/>
            <w:vAlign w:val="bottom"/>
            <w:tcBorders>
              <w:right w:val="single" w:sz="8" w:color="A8BCBF"/>
            </w:tcBorders>
          </w:tcPr>
          <w:p>
            <w:pPr>
              <w:spacing w:after="0"/>
              <w:rPr>
                <w:sz w:val="10"/>
                <w:szCs w:val="10"/>
                <w:color w:val="auto"/>
              </w:rPr>
            </w:pPr>
          </w:p>
        </w:tc>
        <w:tc>
          <w:tcPr>
            <w:tcW w:w="1280" w:type="dxa"/>
            <w:vAlign w:val="bottom"/>
            <w:tcBorders>
              <w:right w:val="single" w:sz="8" w:color="A8BCBF"/>
            </w:tcBorders>
          </w:tcPr>
          <w:p>
            <w:pPr>
              <w:ind w:left="280"/>
              <w:spacing w:after="0"/>
              <w:rPr>
                <w:sz w:val="20"/>
                <w:szCs w:val="20"/>
                <w:color w:val="auto"/>
              </w:rPr>
            </w:pPr>
            <w:r>
              <w:rPr>
                <w:rFonts w:ascii="Arial" w:cs="Arial" w:eastAsia="Arial" w:hAnsi="Arial"/>
                <w:sz w:val="10"/>
                <w:szCs w:val="10"/>
                <w:b w:val="1"/>
                <w:bCs w:val="1"/>
                <w:color w:val="6A1834"/>
              </w:rPr>
              <w:t>RESTRICTED</w:t>
            </w:r>
          </w:p>
        </w:tc>
        <w:tc>
          <w:tcPr>
            <w:tcW w:w="146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BASED</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280" w:type="dxa"/>
            <w:vAlign w:val="bottom"/>
            <w:tcBorders>
              <w:right w:val="single" w:sz="8" w:color="A8BCBF"/>
            </w:tcBorders>
          </w:tcPr>
          <w:p>
            <w:pPr>
              <w:spacing w:after="0"/>
              <w:rPr>
                <w:sz w:val="10"/>
                <w:szCs w:val="10"/>
                <w:color w:val="auto"/>
              </w:rPr>
            </w:pPr>
          </w:p>
        </w:tc>
        <w:tc>
          <w:tcPr>
            <w:tcW w:w="2200" w:type="dxa"/>
            <w:vAlign w:val="bottom"/>
            <w:tcBorders>
              <w:right w:val="single" w:sz="8" w:color="A8BCBF"/>
            </w:tcBorders>
          </w:tcPr>
          <w:p>
            <w:pPr>
              <w:spacing w:after="0"/>
              <w:rPr>
                <w:sz w:val="10"/>
                <w:szCs w:val="10"/>
                <w:color w:val="auto"/>
              </w:rPr>
            </w:pPr>
          </w:p>
        </w:tc>
        <w:tc>
          <w:tcPr>
            <w:tcW w:w="1280" w:type="dxa"/>
            <w:vAlign w:val="bottom"/>
            <w:tcBorders>
              <w:right w:val="single" w:sz="8" w:color="A8BCBF"/>
            </w:tcBorders>
          </w:tcPr>
          <w:p>
            <w:pPr>
              <w:ind w:left="440"/>
              <w:spacing w:after="0"/>
              <w:rPr>
                <w:sz w:val="20"/>
                <w:szCs w:val="20"/>
                <w:color w:val="auto"/>
              </w:rPr>
            </w:pPr>
            <w:r>
              <w:rPr>
                <w:rFonts w:ascii="Arial" w:cs="Arial" w:eastAsia="Arial" w:hAnsi="Arial"/>
                <w:sz w:val="10"/>
                <w:szCs w:val="10"/>
                <w:b w:val="1"/>
                <w:bCs w:val="1"/>
                <w:color w:val="6A1834"/>
              </w:rPr>
              <w:t>STOCK</w:t>
            </w:r>
          </w:p>
        </w:tc>
        <w:tc>
          <w:tcPr>
            <w:tcW w:w="146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RESTRICTED</w:t>
            </w:r>
          </w:p>
        </w:tc>
        <w:tc>
          <w:tcPr>
            <w:tcW w:w="1400" w:type="dxa"/>
            <w:vAlign w:val="bottom"/>
          </w:tcPr>
          <w:p>
            <w:pPr>
              <w:jc w:val="center"/>
              <w:spacing w:after="0"/>
              <w:rPr>
                <w:sz w:val="20"/>
                <w:szCs w:val="20"/>
                <w:color w:val="auto"/>
              </w:rPr>
            </w:pPr>
            <w:r>
              <w:rPr>
                <w:rFonts w:ascii="Arial" w:cs="Arial" w:eastAsia="Arial" w:hAnsi="Arial"/>
                <w:sz w:val="10"/>
                <w:szCs w:val="10"/>
                <w:b w:val="1"/>
                <w:bCs w:val="1"/>
                <w:color w:val="6A1834"/>
              </w:rPr>
              <w:t>TOTAL TARGET</w:t>
            </w:r>
          </w:p>
        </w:tc>
        <w:tc>
          <w:tcPr>
            <w:tcW w:w="0" w:type="dxa"/>
            <w:vAlign w:val="bottom"/>
          </w:tcPr>
          <w:p>
            <w:pPr>
              <w:spacing w:after="0"/>
              <w:rPr>
                <w:sz w:val="1"/>
                <w:szCs w:val="1"/>
                <w:color w:val="auto"/>
              </w:rPr>
            </w:pPr>
          </w:p>
        </w:tc>
      </w:tr>
      <w:tr>
        <w:trPr>
          <w:trHeight w:val="136"/>
        </w:trPr>
        <w:tc>
          <w:tcPr>
            <w:tcW w:w="4280" w:type="dxa"/>
            <w:vAlign w:val="bottom"/>
            <w:tcBorders>
              <w:right w:val="single" w:sz="8" w:color="A8BCBF"/>
            </w:tcBorders>
          </w:tcPr>
          <w:p>
            <w:pPr>
              <w:ind w:left="60"/>
              <w:spacing w:after="0"/>
              <w:rPr>
                <w:sz w:val="20"/>
                <w:szCs w:val="20"/>
                <w:color w:val="auto"/>
              </w:rPr>
            </w:pPr>
            <w:r>
              <w:rPr>
                <w:rFonts w:ascii="Arial" w:cs="Arial" w:eastAsia="Arial" w:hAnsi="Arial"/>
                <w:sz w:val="10"/>
                <w:szCs w:val="10"/>
                <w:b w:val="1"/>
                <w:bCs w:val="1"/>
                <w:color w:val="6A1834"/>
              </w:rPr>
              <w:t>NAMED EXECUTIVE OFFICER</w:t>
            </w:r>
          </w:p>
        </w:tc>
        <w:tc>
          <w:tcPr>
            <w:tcW w:w="220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GRANT DATE</w:t>
            </w:r>
          </w:p>
        </w:tc>
        <w:tc>
          <w:tcPr>
            <w:tcW w:w="1280" w:type="dxa"/>
            <w:vAlign w:val="bottom"/>
            <w:tcBorders>
              <w:right w:val="single" w:sz="8" w:color="A8BCBF"/>
            </w:tcBorders>
          </w:tcPr>
          <w:p>
            <w:pPr>
              <w:ind w:left="480"/>
              <w:spacing w:after="0"/>
              <w:rPr>
                <w:sz w:val="20"/>
                <w:szCs w:val="20"/>
                <w:color w:val="auto"/>
              </w:rPr>
            </w:pPr>
            <w:r>
              <w:rPr>
                <w:rFonts w:ascii="Arial" w:cs="Arial" w:eastAsia="Arial" w:hAnsi="Arial"/>
                <w:sz w:val="10"/>
                <w:szCs w:val="10"/>
                <w:b w:val="1"/>
                <w:bCs w:val="1"/>
                <w:color w:val="6A1834"/>
              </w:rPr>
              <w:t>(#) (1)</w:t>
            </w:r>
          </w:p>
        </w:tc>
        <w:tc>
          <w:tcPr>
            <w:tcW w:w="146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STOCK (#) (2)</w:t>
            </w:r>
          </w:p>
        </w:tc>
        <w:tc>
          <w:tcPr>
            <w:tcW w:w="1400" w:type="dxa"/>
            <w:vAlign w:val="bottom"/>
          </w:tcPr>
          <w:p>
            <w:pPr>
              <w:jc w:val="center"/>
              <w:spacing w:after="0"/>
              <w:rPr>
                <w:sz w:val="20"/>
                <w:szCs w:val="20"/>
                <w:color w:val="auto"/>
              </w:rPr>
            </w:pPr>
            <w:r>
              <w:rPr>
                <w:rFonts w:ascii="Arial" w:cs="Arial" w:eastAsia="Arial" w:hAnsi="Arial"/>
                <w:sz w:val="10"/>
                <w:szCs w:val="10"/>
                <w:b w:val="1"/>
                <w:bCs w:val="1"/>
                <w:color w:val="6A1834"/>
              </w:rPr>
              <w:t>AWARD ($) (3)</w:t>
            </w:r>
          </w:p>
        </w:tc>
        <w:tc>
          <w:tcPr>
            <w:tcW w:w="0" w:type="dxa"/>
            <w:vAlign w:val="bottom"/>
          </w:tcPr>
          <w:p>
            <w:pPr>
              <w:spacing w:after="0"/>
              <w:rPr>
                <w:sz w:val="1"/>
                <w:szCs w:val="1"/>
                <w:color w:val="auto"/>
              </w:rPr>
            </w:pPr>
          </w:p>
        </w:tc>
      </w:tr>
      <w:tr>
        <w:trPr>
          <w:trHeight w:val="100"/>
        </w:trPr>
        <w:tc>
          <w:tcPr>
            <w:tcW w:w="4280" w:type="dxa"/>
            <w:vAlign w:val="bottom"/>
            <w:tcBorders>
              <w:right w:val="single" w:sz="8" w:color="A8BCBF"/>
            </w:tcBorders>
          </w:tcPr>
          <w:p>
            <w:pPr>
              <w:spacing w:after="0"/>
              <w:rPr>
                <w:sz w:val="8"/>
                <w:szCs w:val="8"/>
                <w:color w:val="auto"/>
              </w:rPr>
            </w:pPr>
          </w:p>
        </w:tc>
        <w:tc>
          <w:tcPr>
            <w:tcW w:w="2200" w:type="dxa"/>
            <w:vAlign w:val="bottom"/>
            <w:tcBorders>
              <w:right w:val="single" w:sz="8" w:color="A8BCBF"/>
            </w:tcBorders>
          </w:tcPr>
          <w:p>
            <w:pPr>
              <w:spacing w:after="0"/>
              <w:rPr>
                <w:sz w:val="8"/>
                <w:szCs w:val="8"/>
                <w:color w:val="auto"/>
              </w:rPr>
            </w:pPr>
          </w:p>
        </w:tc>
        <w:tc>
          <w:tcPr>
            <w:tcW w:w="1280" w:type="dxa"/>
            <w:vAlign w:val="bottom"/>
            <w:tcBorders>
              <w:right w:val="single" w:sz="8" w:color="A8BCBF"/>
            </w:tcBorders>
          </w:tcPr>
          <w:p>
            <w:pPr>
              <w:spacing w:after="0"/>
              <w:rPr>
                <w:sz w:val="8"/>
                <w:szCs w:val="8"/>
                <w:color w:val="auto"/>
              </w:rPr>
            </w:pPr>
          </w:p>
        </w:tc>
        <w:tc>
          <w:tcPr>
            <w:tcW w:w="1460" w:type="dxa"/>
            <w:vAlign w:val="bottom"/>
            <w:tcBorders>
              <w:right w:val="single" w:sz="8" w:color="A8BCBF"/>
            </w:tcBorders>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4280" w:type="dxa"/>
            <w:vAlign w:val="bottom"/>
            <w:tcBorders>
              <w:bottom w:val="single" w:sz="8" w:color="E1D0D6"/>
              <w:right w:val="single" w:sz="8" w:color="A8BCBF"/>
            </w:tcBorders>
            <w:shd w:val="clear" w:color="auto" w:fill="E1D0D6"/>
          </w:tcPr>
          <w:p>
            <w:pPr>
              <w:ind w:left="60"/>
              <w:spacing w:after="0"/>
              <w:rPr>
                <w:sz w:val="20"/>
                <w:szCs w:val="20"/>
                <w:color w:val="auto"/>
              </w:rPr>
            </w:pPr>
            <w:r>
              <w:rPr>
                <w:rFonts w:ascii="Arial" w:cs="Arial" w:eastAsia="Arial" w:hAnsi="Arial"/>
                <w:sz w:val="17"/>
                <w:szCs w:val="17"/>
                <w:color w:val="auto"/>
              </w:rPr>
              <w:t>Craig S. Billings</w:t>
            </w:r>
          </w:p>
        </w:tc>
        <w:tc>
          <w:tcPr>
            <w:tcW w:w="2200" w:type="dxa"/>
            <w:vAlign w:val="bottom"/>
            <w:tcBorders>
              <w:bottom w:val="single" w:sz="8" w:color="E1D0D6"/>
              <w:right w:val="single" w:sz="8" w:color="A8BCBF"/>
            </w:tcBorders>
            <w:shd w:val="clear" w:color="auto" w:fill="E1D0D6"/>
          </w:tcPr>
          <w:p>
            <w:pPr>
              <w:jc w:val="center"/>
              <w:spacing w:after="0"/>
              <w:rPr>
                <w:sz w:val="20"/>
                <w:szCs w:val="20"/>
                <w:color w:val="auto"/>
              </w:rPr>
            </w:pPr>
            <w:r>
              <w:rPr>
                <w:rFonts w:ascii="Arial" w:cs="Arial" w:eastAsia="Arial" w:hAnsi="Arial"/>
                <w:sz w:val="17"/>
                <w:szCs w:val="17"/>
                <w:color w:val="auto"/>
              </w:rPr>
              <w:t>January 12, 2022</w:t>
            </w:r>
          </w:p>
        </w:tc>
        <w:tc>
          <w:tcPr>
            <w:tcW w:w="1280" w:type="dxa"/>
            <w:vAlign w:val="bottom"/>
            <w:tcBorders>
              <w:bottom w:val="single" w:sz="8" w:color="E1D0D6"/>
              <w:right w:val="single" w:sz="8" w:color="A8BCBF"/>
            </w:tcBorders>
            <w:shd w:val="clear" w:color="auto" w:fill="E1D0D6"/>
          </w:tcPr>
          <w:p>
            <w:pPr>
              <w:ind w:left="400"/>
              <w:spacing w:after="0"/>
              <w:rPr>
                <w:sz w:val="20"/>
                <w:szCs w:val="20"/>
                <w:color w:val="auto"/>
              </w:rPr>
            </w:pPr>
            <w:r>
              <w:rPr>
                <w:rFonts w:ascii="Arial" w:cs="Arial" w:eastAsia="Arial" w:hAnsi="Arial"/>
                <w:sz w:val="17"/>
                <w:szCs w:val="17"/>
                <w:color w:val="auto"/>
              </w:rPr>
              <w:t>52,448</w:t>
            </w:r>
          </w:p>
        </w:tc>
        <w:tc>
          <w:tcPr>
            <w:tcW w:w="1460" w:type="dxa"/>
            <w:vAlign w:val="bottom"/>
            <w:tcBorders>
              <w:bottom w:val="single" w:sz="8" w:color="E1D0D6"/>
              <w:right w:val="single" w:sz="8" w:color="A8BCBF"/>
            </w:tcBorders>
            <w:shd w:val="clear" w:color="auto" w:fill="E1D0D6"/>
          </w:tcPr>
          <w:p>
            <w:pPr>
              <w:jc w:val="right"/>
              <w:ind w:right="371"/>
              <w:spacing w:after="0"/>
              <w:rPr>
                <w:sz w:val="20"/>
                <w:szCs w:val="20"/>
                <w:color w:val="auto"/>
              </w:rPr>
            </w:pPr>
            <w:r>
              <w:rPr>
                <w:rFonts w:ascii="Arial" w:cs="Arial" w:eastAsia="Arial" w:hAnsi="Arial"/>
                <w:sz w:val="17"/>
                <w:szCs w:val="17"/>
                <w:color w:val="auto"/>
              </w:rPr>
              <w:t>26,224</w:t>
            </w:r>
          </w:p>
        </w:tc>
        <w:tc>
          <w:tcPr>
            <w:tcW w:w="1400" w:type="dxa"/>
            <w:vAlign w:val="bottom"/>
            <w:tcBorders>
              <w:bottom w:val="single" w:sz="8" w:color="E1D0D6"/>
            </w:tcBorders>
            <w:shd w:val="clear" w:color="auto" w:fill="E1D0D6"/>
          </w:tcPr>
          <w:p>
            <w:pPr>
              <w:jc w:val="center"/>
              <w:spacing w:after="0"/>
              <w:rPr>
                <w:sz w:val="20"/>
                <w:szCs w:val="20"/>
                <w:color w:val="auto"/>
              </w:rPr>
            </w:pPr>
            <w:r>
              <w:rPr>
                <w:rFonts w:ascii="Arial" w:cs="Arial" w:eastAsia="Arial" w:hAnsi="Arial"/>
                <w:sz w:val="17"/>
                <w:szCs w:val="17"/>
                <w:color w:val="auto"/>
                <w:w w:val="97"/>
              </w:rPr>
              <w:t>$ 6,750,058</w:t>
            </w:r>
          </w:p>
        </w:tc>
        <w:tc>
          <w:tcPr>
            <w:tcW w:w="0" w:type="dxa"/>
            <w:vAlign w:val="bottom"/>
          </w:tcPr>
          <w:p>
            <w:pPr>
              <w:spacing w:after="0"/>
              <w:rPr>
                <w:sz w:val="1"/>
                <w:szCs w:val="1"/>
                <w:color w:val="auto"/>
              </w:rPr>
            </w:pPr>
          </w:p>
        </w:tc>
      </w:tr>
      <w:tr>
        <w:trPr>
          <w:trHeight w:val="247"/>
        </w:trPr>
        <w:tc>
          <w:tcPr>
            <w:tcW w:w="4280" w:type="dxa"/>
            <w:vAlign w:val="bottom"/>
            <w:tcBorders>
              <w:right w:val="single" w:sz="8" w:color="A8BCBF"/>
            </w:tcBorders>
            <w:vMerge w:val="restart"/>
          </w:tcPr>
          <w:p>
            <w:pPr>
              <w:ind w:left="60"/>
              <w:spacing w:after="0"/>
              <w:rPr>
                <w:sz w:val="20"/>
                <w:szCs w:val="20"/>
                <w:color w:val="auto"/>
              </w:rPr>
            </w:pPr>
            <w:r>
              <w:rPr>
                <w:rFonts w:ascii="Arial" w:cs="Arial" w:eastAsia="Arial" w:hAnsi="Arial"/>
                <w:sz w:val="17"/>
                <w:szCs w:val="17"/>
                <w:color w:val="auto"/>
              </w:rPr>
              <w:t>Julie M. Cameron-Doe</w:t>
            </w:r>
          </w:p>
        </w:tc>
        <w:tc>
          <w:tcPr>
            <w:tcW w:w="2200" w:type="dxa"/>
            <w:vAlign w:val="bottom"/>
            <w:tcBorders>
              <w:right w:val="single" w:sz="8" w:color="A8BCBF"/>
            </w:tcBorders>
          </w:tcPr>
          <w:p>
            <w:pPr>
              <w:jc w:val="center"/>
              <w:spacing w:after="0"/>
              <w:rPr>
                <w:sz w:val="20"/>
                <w:szCs w:val="20"/>
                <w:color w:val="auto"/>
              </w:rPr>
            </w:pPr>
            <w:r>
              <w:rPr>
                <w:rFonts w:ascii="Arial" w:cs="Arial" w:eastAsia="Arial" w:hAnsi="Arial"/>
                <w:sz w:val="17"/>
                <w:szCs w:val="17"/>
                <w:color w:val="auto"/>
              </w:rPr>
              <w:t>April 18, 2022</w:t>
            </w:r>
          </w:p>
        </w:tc>
        <w:tc>
          <w:tcPr>
            <w:tcW w:w="1280" w:type="dxa"/>
            <w:vAlign w:val="bottom"/>
            <w:tcBorders>
              <w:right w:val="single" w:sz="8" w:color="A8BCBF"/>
            </w:tcBorders>
          </w:tcPr>
          <w:p>
            <w:pPr>
              <w:ind w:left="400"/>
              <w:spacing w:after="0"/>
              <w:rPr>
                <w:sz w:val="20"/>
                <w:szCs w:val="20"/>
                <w:color w:val="auto"/>
              </w:rPr>
            </w:pPr>
            <w:r>
              <w:rPr>
                <w:rFonts w:ascii="Arial" w:cs="Arial" w:eastAsia="Arial" w:hAnsi="Arial"/>
                <w:sz w:val="17"/>
                <w:szCs w:val="17"/>
                <w:color w:val="auto"/>
              </w:rPr>
              <w:t>34,033</w:t>
            </w:r>
          </w:p>
        </w:tc>
        <w:tc>
          <w:tcPr>
            <w:tcW w:w="1460" w:type="dxa"/>
            <w:vAlign w:val="bottom"/>
            <w:tcBorders>
              <w:right w:val="single" w:sz="8" w:color="A8BCBF"/>
            </w:tcBorders>
          </w:tcPr>
          <w:p>
            <w:pPr>
              <w:jc w:val="right"/>
              <w:ind w:right="371"/>
              <w:spacing w:after="0"/>
              <w:rPr>
                <w:sz w:val="20"/>
                <w:szCs w:val="20"/>
                <w:color w:val="auto"/>
              </w:rPr>
            </w:pPr>
            <w:r>
              <w:rPr>
                <w:rFonts w:ascii="Arial" w:cs="Arial" w:eastAsia="Arial" w:hAnsi="Arial"/>
                <w:sz w:val="17"/>
                <w:szCs w:val="17"/>
                <w:color w:val="auto"/>
              </w:rPr>
              <w:t>-</w:t>
            </w:r>
          </w:p>
        </w:tc>
        <w:tc>
          <w:tcPr>
            <w:tcW w:w="1400" w:type="dxa"/>
            <w:vAlign w:val="bottom"/>
          </w:tcPr>
          <w:p>
            <w:pPr>
              <w:jc w:val="center"/>
              <w:spacing w:after="0"/>
              <w:rPr>
                <w:sz w:val="20"/>
                <w:szCs w:val="20"/>
                <w:color w:val="auto"/>
              </w:rPr>
            </w:pPr>
            <w:r>
              <w:rPr>
                <w:rFonts w:ascii="Arial" w:cs="Arial" w:eastAsia="Arial" w:hAnsi="Arial"/>
                <w:sz w:val="17"/>
                <w:szCs w:val="17"/>
                <w:color w:val="auto"/>
                <w:w w:val="97"/>
              </w:rPr>
              <w:t>$ 2,500,064</w:t>
            </w:r>
          </w:p>
        </w:tc>
        <w:tc>
          <w:tcPr>
            <w:tcW w:w="0" w:type="dxa"/>
            <w:vAlign w:val="bottom"/>
          </w:tcPr>
          <w:p>
            <w:pPr>
              <w:spacing w:after="0"/>
              <w:rPr>
                <w:sz w:val="1"/>
                <w:szCs w:val="1"/>
                <w:color w:val="auto"/>
              </w:rPr>
            </w:pPr>
          </w:p>
        </w:tc>
      </w:tr>
      <w:tr>
        <w:trPr>
          <w:trHeight w:val="117"/>
        </w:trPr>
        <w:tc>
          <w:tcPr>
            <w:tcW w:w="4280" w:type="dxa"/>
            <w:vAlign w:val="bottom"/>
            <w:tcBorders>
              <w:right w:val="single" w:sz="8" w:color="A8BCBF"/>
            </w:tcBorders>
            <w:vMerge w:val="continue"/>
          </w:tcPr>
          <w:p>
            <w:pPr>
              <w:spacing w:after="0"/>
              <w:rPr>
                <w:sz w:val="10"/>
                <w:szCs w:val="10"/>
                <w:color w:val="auto"/>
              </w:rPr>
            </w:pPr>
          </w:p>
        </w:tc>
        <w:tc>
          <w:tcPr>
            <w:tcW w:w="2200" w:type="dxa"/>
            <w:vAlign w:val="bottom"/>
            <w:tcBorders>
              <w:right w:val="single" w:sz="8" w:color="A8BCBF"/>
            </w:tcBorders>
            <w:vMerge w:val="restart"/>
          </w:tcPr>
          <w:p>
            <w:pPr>
              <w:jc w:val="center"/>
              <w:spacing w:after="0"/>
              <w:rPr>
                <w:sz w:val="20"/>
                <w:szCs w:val="20"/>
                <w:color w:val="auto"/>
              </w:rPr>
            </w:pPr>
            <w:r>
              <w:rPr>
                <w:rFonts w:ascii="Arial" w:cs="Arial" w:eastAsia="Arial" w:hAnsi="Arial"/>
                <w:sz w:val="17"/>
                <w:szCs w:val="17"/>
                <w:color w:val="auto"/>
              </w:rPr>
              <w:t>April 25, 2022</w:t>
            </w:r>
          </w:p>
        </w:tc>
        <w:tc>
          <w:tcPr>
            <w:tcW w:w="1280" w:type="dxa"/>
            <w:vAlign w:val="bottom"/>
            <w:tcBorders>
              <w:right w:val="single" w:sz="8" w:color="A8BCBF"/>
            </w:tcBorders>
            <w:vMerge w:val="restart"/>
          </w:tcPr>
          <w:p>
            <w:pPr>
              <w:ind w:left="400"/>
              <w:spacing w:after="0"/>
              <w:rPr>
                <w:sz w:val="20"/>
                <w:szCs w:val="20"/>
                <w:color w:val="auto"/>
              </w:rPr>
            </w:pPr>
            <w:r>
              <w:rPr>
                <w:rFonts w:ascii="Arial" w:cs="Arial" w:eastAsia="Arial" w:hAnsi="Arial"/>
                <w:sz w:val="17"/>
                <w:szCs w:val="17"/>
                <w:color w:val="auto"/>
              </w:rPr>
              <w:t>10,490</w:t>
            </w:r>
          </w:p>
        </w:tc>
        <w:tc>
          <w:tcPr>
            <w:tcW w:w="1460" w:type="dxa"/>
            <w:vAlign w:val="bottom"/>
            <w:tcBorders>
              <w:right w:val="single" w:sz="8" w:color="A8BCBF"/>
            </w:tcBorders>
            <w:vMerge w:val="restart"/>
          </w:tcPr>
          <w:p>
            <w:pPr>
              <w:jc w:val="right"/>
              <w:ind w:right="371"/>
              <w:spacing w:after="0"/>
              <w:rPr>
                <w:sz w:val="20"/>
                <w:szCs w:val="20"/>
                <w:color w:val="auto"/>
              </w:rPr>
            </w:pPr>
            <w:r>
              <w:rPr>
                <w:rFonts w:ascii="Arial" w:cs="Arial" w:eastAsia="Arial" w:hAnsi="Arial"/>
                <w:sz w:val="17"/>
                <w:szCs w:val="17"/>
                <w:color w:val="auto"/>
              </w:rPr>
              <w:t>5,245</w:t>
            </w:r>
          </w:p>
        </w:tc>
        <w:tc>
          <w:tcPr>
            <w:tcW w:w="1400" w:type="dxa"/>
            <w:vAlign w:val="bottom"/>
            <w:vMerge w:val="restart"/>
          </w:tcPr>
          <w:p>
            <w:pPr>
              <w:jc w:val="center"/>
              <w:spacing w:after="0"/>
              <w:rPr>
                <w:sz w:val="20"/>
                <w:szCs w:val="20"/>
                <w:color w:val="auto"/>
              </w:rPr>
            </w:pPr>
            <w:r>
              <w:rPr>
                <w:rFonts w:ascii="Arial" w:cs="Arial" w:eastAsia="Arial" w:hAnsi="Arial"/>
                <w:sz w:val="17"/>
                <w:szCs w:val="17"/>
                <w:color w:val="auto"/>
                <w:w w:val="97"/>
              </w:rPr>
              <w:t>$ 1,136,224</w:t>
            </w:r>
          </w:p>
        </w:tc>
        <w:tc>
          <w:tcPr>
            <w:tcW w:w="0" w:type="dxa"/>
            <w:vAlign w:val="bottom"/>
          </w:tcPr>
          <w:p>
            <w:pPr>
              <w:spacing w:after="0"/>
              <w:rPr>
                <w:sz w:val="1"/>
                <w:szCs w:val="1"/>
                <w:color w:val="auto"/>
              </w:rPr>
            </w:pPr>
          </w:p>
        </w:tc>
      </w:tr>
      <w:tr>
        <w:trPr>
          <w:trHeight w:val="156"/>
        </w:trPr>
        <w:tc>
          <w:tcPr>
            <w:tcW w:w="4280" w:type="dxa"/>
            <w:vAlign w:val="bottom"/>
            <w:tcBorders>
              <w:right w:val="single" w:sz="8" w:color="A8BCBF"/>
            </w:tcBorders>
          </w:tcPr>
          <w:p>
            <w:pPr>
              <w:spacing w:after="0"/>
              <w:rPr>
                <w:sz w:val="13"/>
                <w:szCs w:val="13"/>
                <w:color w:val="auto"/>
              </w:rPr>
            </w:pPr>
          </w:p>
        </w:tc>
        <w:tc>
          <w:tcPr>
            <w:tcW w:w="2200" w:type="dxa"/>
            <w:vAlign w:val="bottom"/>
            <w:tcBorders>
              <w:right w:val="single" w:sz="8" w:color="A8BCBF"/>
            </w:tcBorders>
            <w:vMerge w:val="continue"/>
          </w:tcPr>
          <w:p>
            <w:pPr>
              <w:spacing w:after="0"/>
              <w:rPr>
                <w:sz w:val="13"/>
                <w:szCs w:val="13"/>
                <w:color w:val="auto"/>
              </w:rPr>
            </w:pPr>
          </w:p>
        </w:tc>
        <w:tc>
          <w:tcPr>
            <w:tcW w:w="1280" w:type="dxa"/>
            <w:vAlign w:val="bottom"/>
            <w:tcBorders>
              <w:right w:val="single" w:sz="8" w:color="A8BCBF"/>
            </w:tcBorders>
            <w:vMerge w:val="continue"/>
          </w:tcPr>
          <w:p>
            <w:pPr>
              <w:spacing w:after="0"/>
              <w:rPr>
                <w:sz w:val="13"/>
                <w:szCs w:val="13"/>
                <w:color w:val="auto"/>
              </w:rPr>
            </w:pPr>
          </w:p>
        </w:tc>
        <w:tc>
          <w:tcPr>
            <w:tcW w:w="1460" w:type="dxa"/>
            <w:vAlign w:val="bottom"/>
            <w:tcBorders>
              <w:right w:val="single" w:sz="8" w:color="A8BCBF"/>
            </w:tcBorders>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4280" w:type="dxa"/>
            <w:vAlign w:val="bottom"/>
            <w:tcBorders>
              <w:right w:val="single" w:sz="8" w:color="A8BCBF"/>
            </w:tcBorders>
          </w:tcPr>
          <w:p>
            <w:pPr>
              <w:spacing w:after="0"/>
              <w:rPr>
                <w:sz w:val="4"/>
                <w:szCs w:val="4"/>
                <w:color w:val="auto"/>
              </w:rPr>
            </w:pPr>
          </w:p>
        </w:tc>
        <w:tc>
          <w:tcPr>
            <w:tcW w:w="2200" w:type="dxa"/>
            <w:vAlign w:val="bottom"/>
            <w:tcBorders>
              <w:right w:val="single" w:sz="8" w:color="A8BCBF"/>
            </w:tcBorders>
          </w:tcPr>
          <w:p>
            <w:pPr>
              <w:spacing w:after="0"/>
              <w:rPr>
                <w:sz w:val="4"/>
                <w:szCs w:val="4"/>
                <w:color w:val="auto"/>
              </w:rPr>
            </w:pPr>
          </w:p>
        </w:tc>
        <w:tc>
          <w:tcPr>
            <w:tcW w:w="1280" w:type="dxa"/>
            <w:vAlign w:val="bottom"/>
            <w:tcBorders>
              <w:right w:val="single" w:sz="8" w:color="A8BCBF"/>
            </w:tcBorders>
          </w:tcPr>
          <w:p>
            <w:pPr>
              <w:spacing w:after="0"/>
              <w:rPr>
                <w:sz w:val="4"/>
                <w:szCs w:val="4"/>
                <w:color w:val="auto"/>
              </w:rPr>
            </w:pPr>
          </w:p>
        </w:tc>
        <w:tc>
          <w:tcPr>
            <w:tcW w:w="1460" w:type="dxa"/>
            <w:vAlign w:val="bottom"/>
            <w:tcBorders>
              <w:right w:val="single" w:sz="8" w:color="A8BCBF"/>
            </w:tcBorders>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4280" w:type="dxa"/>
            <w:vAlign w:val="bottom"/>
            <w:tcBorders>
              <w:right w:val="single" w:sz="8" w:color="A8BCBF"/>
            </w:tcBorders>
            <w:shd w:val="clear" w:color="auto" w:fill="E1D0D6"/>
          </w:tcPr>
          <w:p>
            <w:pPr>
              <w:ind w:left="60"/>
              <w:spacing w:after="0"/>
              <w:rPr>
                <w:sz w:val="20"/>
                <w:szCs w:val="20"/>
                <w:color w:val="auto"/>
              </w:rPr>
            </w:pPr>
            <w:r>
              <w:rPr>
                <w:rFonts w:ascii="Arial" w:cs="Arial" w:eastAsia="Arial" w:hAnsi="Arial"/>
                <w:sz w:val="17"/>
                <w:szCs w:val="17"/>
                <w:color w:val="auto"/>
              </w:rPr>
              <w:t>Ellen F. Whittemore</w:t>
            </w:r>
          </w:p>
        </w:tc>
        <w:tc>
          <w:tcPr>
            <w:tcW w:w="2200" w:type="dxa"/>
            <w:vAlign w:val="bottom"/>
            <w:tcBorders>
              <w:right w:val="single" w:sz="8" w:color="A8BCBF"/>
            </w:tcBorders>
            <w:shd w:val="clear" w:color="auto" w:fill="E1D0D6"/>
          </w:tcPr>
          <w:p>
            <w:pPr>
              <w:jc w:val="center"/>
              <w:spacing w:after="0"/>
              <w:rPr>
                <w:sz w:val="20"/>
                <w:szCs w:val="20"/>
                <w:color w:val="auto"/>
              </w:rPr>
            </w:pPr>
            <w:r>
              <w:rPr>
                <w:rFonts w:ascii="Arial" w:cs="Arial" w:eastAsia="Arial" w:hAnsi="Arial"/>
                <w:sz w:val="17"/>
                <w:szCs w:val="17"/>
                <w:color w:val="auto"/>
              </w:rPr>
              <w:t>January 12, 2022</w:t>
            </w:r>
          </w:p>
        </w:tc>
        <w:tc>
          <w:tcPr>
            <w:tcW w:w="1280" w:type="dxa"/>
            <w:vAlign w:val="bottom"/>
            <w:tcBorders>
              <w:right w:val="single" w:sz="8" w:color="A8BCBF"/>
            </w:tcBorders>
            <w:shd w:val="clear" w:color="auto" w:fill="E1D0D6"/>
          </w:tcPr>
          <w:p>
            <w:pPr>
              <w:ind w:left="400"/>
              <w:spacing w:after="0"/>
              <w:rPr>
                <w:sz w:val="20"/>
                <w:szCs w:val="20"/>
                <w:color w:val="auto"/>
              </w:rPr>
            </w:pPr>
            <w:r>
              <w:rPr>
                <w:rFonts w:ascii="Arial" w:cs="Arial" w:eastAsia="Arial" w:hAnsi="Arial"/>
                <w:sz w:val="17"/>
                <w:szCs w:val="17"/>
                <w:color w:val="auto"/>
              </w:rPr>
              <w:t>12,238</w:t>
            </w:r>
          </w:p>
        </w:tc>
        <w:tc>
          <w:tcPr>
            <w:tcW w:w="1460" w:type="dxa"/>
            <w:vAlign w:val="bottom"/>
            <w:tcBorders>
              <w:right w:val="single" w:sz="8" w:color="A8BCBF"/>
            </w:tcBorders>
            <w:shd w:val="clear" w:color="auto" w:fill="E1D0D6"/>
          </w:tcPr>
          <w:p>
            <w:pPr>
              <w:jc w:val="right"/>
              <w:ind w:right="371"/>
              <w:spacing w:after="0"/>
              <w:rPr>
                <w:sz w:val="20"/>
                <w:szCs w:val="20"/>
                <w:color w:val="auto"/>
              </w:rPr>
            </w:pPr>
            <w:r>
              <w:rPr>
                <w:rFonts w:ascii="Arial" w:cs="Arial" w:eastAsia="Arial" w:hAnsi="Arial"/>
                <w:sz w:val="17"/>
                <w:szCs w:val="17"/>
                <w:color w:val="auto"/>
              </w:rPr>
              <w:t>6,119</w:t>
            </w:r>
          </w:p>
        </w:tc>
        <w:tc>
          <w:tcPr>
            <w:tcW w:w="1400" w:type="dxa"/>
            <w:vAlign w:val="bottom"/>
            <w:shd w:val="clear" w:color="auto" w:fill="E1D0D6"/>
          </w:tcPr>
          <w:p>
            <w:pPr>
              <w:jc w:val="center"/>
              <w:spacing w:after="0"/>
              <w:rPr>
                <w:sz w:val="20"/>
                <w:szCs w:val="20"/>
                <w:color w:val="auto"/>
              </w:rPr>
            </w:pPr>
            <w:r>
              <w:rPr>
                <w:rFonts w:ascii="Arial" w:cs="Arial" w:eastAsia="Arial" w:hAnsi="Arial"/>
                <w:sz w:val="17"/>
                <w:szCs w:val="17"/>
                <w:color w:val="auto"/>
                <w:w w:val="97"/>
              </w:rPr>
              <w:t>$ 1,575,031</w:t>
            </w:r>
          </w:p>
        </w:tc>
        <w:tc>
          <w:tcPr>
            <w:tcW w:w="0" w:type="dxa"/>
            <w:vAlign w:val="bottom"/>
          </w:tcPr>
          <w:p>
            <w:pPr>
              <w:spacing w:after="0"/>
              <w:rPr>
                <w:sz w:val="1"/>
                <w:szCs w:val="1"/>
                <w:color w:val="auto"/>
              </w:rPr>
            </w:pPr>
          </w:p>
        </w:tc>
      </w:tr>
      <w:tr>
        <w:trPr>
          <w:trHeight w:val="52"/>
        </w:trPr>
        <w:tc>
          <w:tcPr>
            <w:tcW w:w="4280" w:type="dxa"/>
            <w:vAlign w:val="bottom"/>
            <w:tcBorders>
              <w:right w:val="single" w:sz="8" w:color="A8BCBF"/>
            </w:tcBorders>
            <w:shd w:val="clear" w:color="auto" w:fill="E1D0D6"/>
          </w:tcPr>
          <w:p>
            <w:pPr>
              <w:spacing w:after="0"/>
              <w:rPr>
                <w:sz w:val="4"/>
                <w:szCs w:val="4"/>
                <w:color w:val="auto"/>
              </w:rPr>
            </w:pPr>
          </w:p>
        </w:tc>
        <w:tc>
          <w:tcPr>
            <w:tcW w:w="2200" w:type="dxa"/>
            <w:vAlign w:val="bottom"/>
            <w:tcBorders>
              <w:right w:val="single" w:sz="8" w:color="A8BCBF"/>
            </w:tcBorders>
            <w:shd w:val="clear" w:color="auto" w:fill="E1D0D6"/>
          </w:tcPr>
          <w:p>
            <w:pPr>
              <w:spacing w:after="0"/>
              <w:rPr>
                <w:sz w:val="4"/>
                <w:szCs w:val="4"/>
                <w:color w:val="auto"/>
              </w:rPr>
            </w:pPr>
          </w:p>
        </w:tc>
        <w:tc>
          <w:tcPr>
            <w:tcW w:w="1280" w:type="dxa"/>
            <w:vAlign w:val="bottom"/>
            <w:tcBorders>
              <w:right w:val="single" w:sz="8" w:color="A8BCBF"/>
            </w:tcBorders>
            <w:shd w:val="clear" w:color="auto" w:fill="E1D0D6"/>
          </w:tcPr>
          <w:p>
            <w:pPr>
              <w:spacing w:after="0"/>
              <w:rPr>
                <w:sz w:val="4"/>
                <w:szCs w:val="4"/>
                <w:color w:val="auto"/>
              </w:rPr>
            </w:pPr>
          </w:p>
        </w:tc>
        <w:tc>
          <w:tcPr>
            <w:tcW w:w="1460" w:type="dxa"/>
            <w:vAlign w:val="bottom"/>
            <w:tcBorders>
              <w:right w:val="single" w:sz="8" w:color="A8BCBF"/>
            </w:tcBorders>
            <w:shd w:val="clear" w:color="auto" w:fill="E1D0D6"/>
          </w:tcPr>
          <w:p>
            <w:pPr>
              <w:spacing w:after="0"/>
              <w:rPr>
                <w:sz w:val="4"/>
                <w:szCs w:val="4"/>
                <w:color w:val="auto"/>
              </w:rPr>
            </w:pPr>
          </w:p>
        </w:tc>
        <w:tc>
          <w:tcPr>
            <w:tcW w:w="1400" w:type="dxa"/>
            <w:vAlign w:val="bottom"/>
            <w:shd w:val="clear" w:color="auto" w:fill="E1D0D6"/>
          </w:tcPr>
          <w:p>
            <w:pPr>
              <w:spacing w:after="0"/>
              <w:rPr>
                <w:sz w:val="4"/>
                <w:szCs w:val="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20" w:right="40" w:hanging="4"/>
        <w:spacing w:after="0" w:line="217" w:lineRule="auto"/>
        <w:tabs>
          <w:tab w:leader="none" w:pos="502" w:val="left"/>
        </w:tabs>
        <w:numPr>
          <w:ilvl w:val="0"/>
          <w:numId w:val="30"/>
        </w:numPr>
        <w:rPr>
          <w:rFonts w:ascii="Arial" w:cs="Arial" w:eastAsia="Arial" w:hAnsi="Arial"/>
          <w:sz w:val="12"/>
          <w:szCs w:val="12"/>
          <w:color w:val="auto"/>
        </w:rPr>
      </w:pPr>
      <w:r>
        <w:rPr>
          <w:rFonts w:ascii="Arial" w:cs="Arial" w:eastAsia="Arial" w:hAnsi="Arial"/>
          <w:sz w:val="12"/>
          <w:szCs w:val="12"/>
          <w:color w:val="auto"/>
        </w:rPr>
        <w:t>Except as otherwise described in the section titled “Potential Payments Upon Termination or Change in Control,” such restricted stock award vests ratably over three years on each anniversary of the grant date (except in the case of Ms. Cameron-Doe’s grant on April 25, 2022 which vests on January 12</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in each of the successive three years), subject to continued employment through such vesting date.</w:t>
      </w:r>
    </w:p>
    <w:p>
      <w:pPr>
        <w:spacing w:after="0" w:line="88" w:lineRule="exact"/>
        <w:rPr>
          <w:rFonts w:ascii="Arial" w:cs="Arial" w:eastAsia="Arial" w:hAnsi="Arial"/>
          <w:sz w:val="12"/>
          <w:szCs w:val="12"/>
          <w:color w:val="auto"/>
        </w:rPr>
      </w:pPr>
    </w:p>
    <w:p>
      <w:pPr>
        <w:ind w:left="320" w:right="20" w:hanging="4"/>
        <w:spacing w:after="0" w:line="233" w:lineRule="auto"/>
        <w:tabs>
          <w:tab w:leader="none" w:pos="502" w:val="left"/>
        </w:tabs>
        <w:numPr>
          <w:ilvl w:val="0"/>
          <w:numId w:val="30"/>
        </w:numPr>
        <w:rPr>
          <w:rFonts w:ascii="Arial" w:cs="Arial" w:eastAsia="Arial" w:hAnsi="Arial"/>
          <w:sz w:val="12"/>
          <w:szCs w:val="12"/>
          <w:color w:val="auto"/>
        </w:rPr>
      </w:pPr>
      <w:r>
        <w:rPr>
          <w:rFonts w:ascii="Arial" w:cs="Arial" w:eastAsia="Arial" w:hAnsi="Arial"/>
          <w:sz w:val="12"/>
          <w:szCs w:val="12"/>
          <w:color w:val="auto"/>
        </w:rPr>
        <w:t>Except as otherwise described in the section titled “Potential Payments Upon Termination or Change in Control,” such restricted stock award vests ratably over three years on each of the dates of February 28 in the three successive years, based on achievement of pre-established financial performance goals, subject to continued employment through such vesting date, except in the case of Ms. Whittemore, which is subject to performing service during any performance period and will continue to vest on the original vesting date if performance criteria are met even if Ms. Whittemore is no longer employed by the Company under certain conditions.</w:t>
      </w:r>
    </w:p>
    <w:p>
      <w:pPr>
        <w:spacing w:after="0" w:line="88" w:lineRule="exact"/>
        <w:rPr>
          <w:rFonts w:ascii="Arial" w:cs="Arial" w:eastAsia="Arial" w:hAnsi="Arial"/>
          <w:sz w:val="12"/>
          <w:szCs w:val="12"/>
          <w:color w:val="auto"/>
        </w:rPr>
      </w:pPr>
    </w:p>
    <w:p>
      <w:pPr>
        <w:ind w:left="320" w:right="40" w:hanging="4"/>
        <w:spacing w:after="0" w:line="239" w:lineRule="auto"/>
        <w:tabs>
          <w:tab w:leader="none" w:pos="502"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amounts set forth in this column reflect the aggregate grant date fair value of stock awards computed in accordance with FASB ASC Topic 718. Performance awards are included in this table at target.</w:t>
      </w:r>
    </w:p>
    <w:p>
      <w:pPr>
        <w:spacing w:after="0" w:line="159" w:lineRule="exact"/>
        <w:rPr>
          <w:sz w:val="20"/>
          <w:szCs w:val="20"/>
          <w:color w:val="auto"/>
        </w:rPr>
      </w:pPr>
    </w:p>
    <w:p>
      <w:pPr>
        <w:ind w:left="320" w:right="40"/>
        <w:spacing w:after="0" w:line="243" w:lineRule="auto"/>
        <w:rPr>
          <w:sz w:val="20"/>
          <w:szCs w:val="20"/>
          <w:color w:val="auto"/>
        </w:rPr>
      </w:pPr>
      <w:r>
        <w:rPr>
          <w:rFonts w:ascii="Arial" w:cs="Arial" w:eastAsia="Arial" w:hAnsi="Arial"/>
          <w:sz w:val="17"/>
          <w:szCs w:val="17"/>
          <w:color w:val="auto"/>
        </w:rPr>
        <w:t>In May 2022, as a measure to preserve liquidity due to the financial impact of continued pandemic related travel restrictions to and from Macau, a voluntary salary for stock scheme was implemented across 1,690 of our people in Macau under the Wynn Macau, Limited Employee Ownership Scheme. Our NEOs demonstrated support and leadership by electing to receive a portion of their cash salary for a grant of stock options. The following table summarizes those grants. Additional information and the required disclosure under Items 402(c) and 402(d) of Regulation S-K can be found in the sections titled “Summary Compensation Table” and “Grants of Plan-Based Awards Table.”</w:t>
      </w:r>
    </w:p>
    <w:p>
      <w:pPr>
        <w:spacing w:after="0" w:line="390" w:lineRule="exact"/>
        <w:rPr>
          <w:sz w:val="20"/>
          <w:szCs w:val="20"/>
          <w:color w:val="auto"/>
        </w:rPr>
      </w:pPr>
    </w:p>
    <w:tbl>
      <w:tblPr>
        <w:tblLayout w:type="fixed"/>
        <w:tblInd w:w="320" w:type="dxa"/>
        <w:tblCellMar>
          <w:top w:w="0" w:type="dxa"/>
          <w:left w:w="0" w:type="dxa"/>
          <w:bottom w:w="0" w:type="dxa"/>
          <w:right w:w="0" w:type="dxa"/>
        </w:tblCellMar>
      </w:tblPr>
      <w:tr>
        <w:trPr>
          <w:trHeight w:val="128"/>
        </w:trPr>
        <w:tc>
          <w:tcPr>
            <w:tcW w:w="3980" w:type="dxa"/>
            <w:vAlign w:val="bottom"/>
            <w:tcBorders>
              <w:right w:val="single" w:sz="8" w:color="A8BCBF"/>
            </w:tcBorders>
          </w:tcPr>
          <w:p>
            <w:pPr>
              <w:spacing w:after="0"/>
              <w:rPr>
                <w:sz w:val="11"/>
                <w:szCs w:val="11"/>
                <w:color w:val="auto"/>
              </w:rPr>
            </w:pPr>
          </w:p>
        </w:tc>
        <w:tc>
          <w:tcPr>
            <w:tcW w:w="1440" w:type="dxa"/>
            <w:vAlign w:val="bottom"/>
            <w:tcBorders>
              <w:right w:val="single" w:sz="8" w:color="A8BCBF"/>
            </w:tcBorders>
          </w:tcPr>
          <w:p>
            <w:pPr>
              <w:spacing w:after="0"/>
              <w:rPr>
                <w:sz w:val="11"/>
                <w:szCs w:val="11"/>
                <w:color w:val="auto"/>
              </w:rPr>
            </w:pPr>
          </w:p>
        </w:tc>
        <w:tc>
          <w:tcPr>
            <w:tcW w:w="1740" w:type="dxa"/>
            <w:vAlign w:val="bottom"/>
            <w:tcBorders>
              <w:right w:val="single" w:sz="8" w:color="A8BCBF"/>
            </w:tcBorders>
          </w:tcPr>
          <w:p>
            <w:pPr>
              <w:spacing w:after="0"/>
              <w:rPr>
                <w:sz w:val="11"/>
                <w:szCs w:val="11"/>
                <w:color w:val="auto"/>
              </w:rPr>
            </w:pPr>
          </w:p>
        </w:tc>
        <w:tc>
          <w:tcPr>
            <w:tcW w:w="720" w:type="dxa"/>
            <w:vAlign w:val="bottom"/>
            <w:tcBorders>
              <w:right w:val="single" w:sz="8" w:color="A8BCBF"/>
            </w:tcBorders>
          </w:tcPr>
          <w:p>
            <w:pPr>
              <w:spacing w:after="0"/>
              <w:rPr>
                <w:sz w:val="11"/>
                <w:szCs w:val="11"/>
                <w:color w:val="auto"/>
              </w:rPr>
            </w:pPr>
          </w:p>
        </w:tc>
        <w:tc>
          <w:tcPr>
            <w:tcW w:w="900" w:type="dxa"/>
            <w:vAlign w:val="bottom"/>
            <w:tcBorders>
              <w:right w:val="single" w:sz="8" w:color="A8BCBF"/>
            </w:tcBorders>
          </w:tcPr>
          <w:p>
            <w:pPr>
              <w:spacing w:after="0"/>
              <w:rPr>
                <w:sz w:val="11"/>
                <w:szCs w:val="11"/>
                <w:color w:val="auto"/>
              </w:rPr>
            </w:pPr>
          </w:p>
        </w:tc>
        <w:tc>
          <w:tcPr>
            <w:tcW w:w="90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BASE</w:t>
            </w:r>
          </w:p>
        </w:tc>
        <w:tc>
          <w:tcPr>
            <w:tcW w:w="940" w:type="dxa"/>
            <w:vAlign w:val="bottom"/>
          </w:tcPr>
          <w:p>
            <w:pPr>
              <w:jc w:val="center"/>
              <w:spacing w:after="0"/>
              <w:rPr>
                <w:sz w:val="20"/>
                <w:szCs w:val="20"/>
                <w:color w:val="auto"/>
              </w:rPr>
            </w:pPr>
            <w:r>
              <w:rPr>
                <w:rFonts w:ascii="Arial" w:cs="Arial" w:eastAsia="Arial" w:hAnsi="Arial"/>
                <w:sz w:val="10"/>
                <w:szCs w:val="10"/>
                <w:b w:val="1"/>
                <w:bCs w:val="1"/>
                <w:color w:val="6A1834"/>
              </w:rPr>
              <w:t>GRANT</w:t>
            </w:r>
          </w:p>
        </w:tc>
      </w:tr>
      <w:tr>
        <w:trPr>
          <w:trHeight w:val="117"/>
        </w:trPr>
        <w:tc>
          <w:tcPr>
            <w:tcW w:w="3980" w:type="dxa"/>
            <w:vAlign w:val="bottom"/>
            <w:tcBorders>
              <w:right w:val="single" w:sz="8" w:color="A8BCBF"/>
            </w:tcBorders>
          </w:tcPr>
          <w:p>
            <w:pPr>
              <w:spacing w:after="0"/>
              <w:rPr>
                <w:sz w:val="10"/>
                <w:szCs w:val="10"/>
                <w:color w:val="auto"/>
              </w:rPr>
            </w:pPr>
          </w:p>
        </w:tc>
        <w:tc>
          <w:tcPr>
            <w:tcW w:w="1440" w:type="dxa"/>
            <w:vAlign w:val="bottom"/>
            <w:tcBorders>
              <w:right w:val="single" w:sz="8" w:color="A8BCBF"/>
            </w:tcBorders>
          </w:tcPr>
          <w:p>
            <w:pPr>
              <w:spacing w:after="0"/>
              <w:rPr>
                <w:sz w:val="10"/>
                <w:szCs w:val="10"/>
                <w:color w:val="auto"/>
              </w:rPr>
            </w:pPr>
          </w:p>
        </w:tc>
        <w:tc>
          <w:tcPr>
            <w:tcW w:w="1740" w:type="dxa"/>
            <w:vAlign w:val="bottom"/>
            <w:tcBorders>
              <w:right w:val="single" w:sz="8" w:color="A8BCBF"/>
            </w:tcBorders>
          </w:tcPr>
          <w:p>
            <w:pPr>
              <w:spacing w:after="0"/>
              <w:rPr>
                <w:sz w:val="10"/>
                <w:szCs w:val="10"/>
                <w:color w:val="auto"/>
              </w:rPr>
            </w:pPr>
          </w:p>
        </w:tc>
        <w:tc>
          <w:tcPr>
            <w:tcW w:w="72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STOCK</w:t>
            </w:r>
          </w:p>
        </w:tc>
        <w:tc>
          <w:tcPr>
            <w:tcW w:w="900" w:type="dxa"/>
            <w:vAlign w:val="bottom"/>
            <w:tcBorders>
              <w:right w:val="single" w:sz="8" w:color="A8BCBF"/>
            </w:tcBorders>
          </w:tcPr>
          <w:p>
            <w:pPr>
              <w:spacing w:after="0"/>
              <w:rPr>
                <w:sz w:val="10"/>
                <w:szCs w:val="10"/>
                <w:color w:val="auto"/>
              </w:rPr>
            </w:pPr>
          </w:p>
        </w:tc>
        <w:tc>
          <w:tcPr>
            <w:tcW w:w="900" w:type="dxa"/>
            <w:vAlign w:val="bottom"/>
            <w:tcBorders>
              <w:right w:val="single" w:sz="8" w:color="A8BCBF"/>
            </w:tcBorders>
          </w:tcPr>
          <w:p>
            <w:pPr>
              <w:jc w:val="right"/>
              <w:ind w:right="193"/>
              <w:spacing w:after="0"/>
              <w:rPr>
                <w:sz w:val="20"/>
                <w:szCs w:val="20"/>
                <w:color w:val="auto"/>
              </w:rPr>
            </w:pPr>
            <w:r>
              <w:rPr>
                <w:rFonts w:ascii="Arial" w:cs="Arial" w:eastAsia="Arial" w:hAnsi="Arial"/>
                <w:sz w:val="10"/>
                <w:szCs w:val="10"/>
                <w:b w:val="1"/>
                <w:bCs w:val="1"/>
                <w:color w:val="6A1834"/>
              </w:rPr>
              <w:t>SALARY</w:t>
            </w:r>
          </w:p>
        </w:tc>
        <w:tc>
          <w:tcPr>
            <w:tcW w:w="940" w:type="dxa"/>
            <w:vAlign w:val="bottom"/>
          </w:tcPr>
          <w:p>
            <w:pPr>
              <w:jc w:val="center"/>
              <w:spacing w:after="0"/>
              <w:rPr>
                <w:sz w:val="20"/>
                <w:szCs w:val="20"/>
                <w:color w:val="auto"/>
              </w:rPr>
            </w:pPr>
            <w:r>
              <w:rPr>
                <w:rFonts w:ascii="Arial" w:cs="Arial" w:eastAsia="Arial" w:hAnsi="Arial"/>
                <w:sz w:val="10"/>
                <w:szCs w:val="10"/>
                <w:b w:val="1"/>
                <w:bCs w:val="1"/>
                <w:color w:val="6A1834"/>
              </w:rPr>
              <w:t>DATE</w:t>
            </w:r>
          </w:p>
        </w:tc>
      </w:tr>
      <w:tr>
        <w:trPr>
          <w:trHeight w:val="117"/>
        </w:trPr>
        <w:tc>
          <w:tcPr>
            <w:tcW w:w="3980" w:type="dxa"/>
            <w:vAlign w:val="bottom"/>
            <w:tcBorders>
              <w:right w:val="single" w:sz="8" w:color="A8BCBF"/>
            </w:tcBorders>
          </w:tcPr>
          <w:p>
            <w:pPr>
              <w:ind w:left="60"/>
              <w:spacing w:after="0"/>
              <w:rPr>
                <w:sz w:val="20"/>
                <w:szCs w:val="20"/>
                <w:color w:val="auto"/>
              </w:rPr>
            </w:pPr>
            <w:r>
              <w:rPr>
                <w:rFonts w:ascii="Arial" w:cs="Arial" w:eastAsia="Arial" w:hAnsi="Arial"/>
                <w:sz w:val="10"/>
                <w:szCs w:val="10"/>
                <w:b w:val="1"/>
                <w:bCs w:val="1"/>
                <w:color w:val="6A1834"/>
              </w:rPr>
              <w:t>NAMED EXECUTIVE</w:t>
            </w:r>
          </w:p>
        </w:tc>
        <w:tc>
          <w:tcPr>
            <w:tcW w:w="1440" w:type="dxa"/>
            <w:vAlign w:val="bottom"/>
            <w:tcBorders>
              <w:right w:val="single" w:sz="8" w:color="A8BCBF"/>
            </w:tcBorders>
          </w:tcPr>
          <w:p>
            <w:pPr>
              <w:spacing w:after="0"/>
              <w:rPr>
                <w:sz w:val="10"/>
                <w:szCs w:val="10"/>
                <w:color w:val="auto"/>
              </w:rPr>
            </w:pPr>
          </w:p>
        </w:tc>
        <w:tc>
          <w:tcPr>
            <w:tcW w:w="1740" w:type="dxa"/>
            <w:vAlign w:val="bottom"/>
            <w:tcBorders>
              <w:right w:val="single" w:sz="8" w:color="A8BCBF"/>
            </w:tcBorders>
          </w:tcPr>
          <w:p>
            <w:pPr>
              <w:spacing w:after="0"/>
              <w:rPr>
                <w:sz w:val="10"/>
                <w:szCs w:val="10"/>
                <w:color w:val="auto"/>
              </w:rPr>
            </w:pPr>
          </w:p>
        </w:tc>
        <w:tc>
          <w:tcPr>
            <w:tcW w:w="72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OPTIONS</w:t>
            </w:r>
          </w:p>
        </w:tc>
        <w:tc>
          <w:tcPr>
            <w:tcW w:w="90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EXERCISE</w:t>
            </w:r>
          </w:p>
        </w:tc>
        <w:tc>
          <w:tcPr>
            <w:tcW w:w="90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EXCHANGED</w:t>
            </w:r>
          </w:p>
        </w:tc>
        <w:tc>
          <w:tcPr>
            <w:tcW w:w="940" w:type="dxa"/>
            <w:vAlign w:val="bottom"/>
          </w:tcPr>
          <w:p>
            <w:pPr>
              <w:jc w:val="center"/>
              <w:spacing w:after="0"/>
              <w:rPr>
                <w:sz w:val="20"/>
                <w:szCs w:val="20"/>
                <w:color w:val="auto"/>
              </w:rPr>
            </w:pPr>
            <w:r>
              <w:rPr>
                <w:rFonts w:ascii="Arial" w:cs="Arial" w:eastAsia="Arial" w:hAnsi="Arial"/>
                <w:sz w:val="10"/>
                <w:szCs w:val="10"/>
                <w:b w:val="1"/>
                <w:bCs w:val="1"/>
                <w:color w:val="6A1834"/>
              </w:rPr>
              <w:t>FAIR</w:t>
            </w:r>
          </w:p>
        </w:tc>
      </w:tr>
      <w:tr>
        <w:trPr>
          <w:trHeight w:val="136"/>
        </w:trPr>
        <w:tc>
          <w:tcPr>
            <w:tcW w:w="3980" w:type="dxa"/>
            <w:vAlign w:val="bottom"/>
            <w:tcBorders>
              <w:right w:val="single" w:sz="8" w:color="A8BCBF"/>
            </w:tcBorders>
          </w:tcPr>
          <w:p>
            <w:pPr>
              <w:ind w:left="60"/>
              <w:spacing w:after="0"/>
              <w:rPr>
                <w:sz w:val="20"/>
                <w:szCs w:val="20"/>
                <w:color w:val="auto"/>
              </w:rPr>
            </w:pPr>
            <w:r>
              <w:rPr>
                <w:rFonts w:ascii="Arial" w:cs="Arial" w:eastAsia="Arial" w:hAnsi="Arial"/>
                <w:sz w:val="10"/>
                <w:szCs w:val="10"/>
                <w:b w:val="1"/>
                <w:bCs w:val="1"/>
                <w:color w:val="6A1834"/>
              </w:rPr>
              <w:t>OFFICER</w:t>
            </w:r>
          </w:p>
        </w:tc>
        <w:tc>
          <w:tcPr>
            <w:tcW w:w="144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GRANT DATE</w:t>
            </w:r>
          </w:p>
        </w:tc>
        <w:tc>
          <w:tcPr>
            <w:tcW w:w="174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VESTING DATE</w:t>
            </w:r>
          </w:p>
        </w:tc>
        <w:tc>
          <w:tcPr>
            <w:tcW w:w="72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w w:val="97"/>
              </w:rPr>
              <w:t>(#)</w:t>
            </w:r>
          </w:p>
        </w:tc>
        <w:tc>
          <w:tcPr>
            <w:tcW w:w="90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PRICE ($)</w:t>
            </w:r>
          </w:p>
        </w:tc>
        <w:tc>
          <w:tcPr>
            <w:tcW w:w="90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w:t>
            </w:r>
          </w:p>
        </w:tc>
        <w:tc>
          <w:tcPr>
            <w:tcW w:w="940" w:type="dxa"/>
            <w:vAlign w:val="bottom"/>
          </w:tcPr>
          <w:p>
            <w:pPr>
              <w:jc w:val="center"/>
              <w:spacing w:after="0"/>
              <w:rPr>
                <w:sz w:val="20"/>
                <w:szCs w:val="20"/>
                <w:color w:val="auto"/>
              </w:rPr>
            </w:pPr>
            <w:r>
              <w:rPr>
                <w:rFonts w:ascii="Arial" w:cs="Arial" w:eastAsia="Arial" w:hAnsi="Arial"/>
                <w:sz w:val="10"/>
                <w:szCs w:val="10"/>
                <w:b w:val="1"/>
                <w:bCs w:val="1"/>
                <w:color w:val="6A1834"/>
              </w:rPr>
              <w:t>VALUE ($)</w:t>
            </w:r>
          </w:p>
        </w:tc>
      </w:tr>
      <w:tr>
        <w:trPr>
          <w:trHeight w:val="48"/>
        </w:trPr>
        <w:tc>
          <w:tcPr>
            <w:tcW w:w="3980" w:type="dxa"/>
            <w:vAlign w:val="bottom"/>
            <w:tcBorders>
              <w:right w:val="single" w:sz="8" w:color="A8BCBF"/>
            </w:tcBorders>
          </w:tcPr>
          <w:p>
            <w:pPr>
              <w:spacing w:after="0"/>
              <w:rPr>
                <w:sz w:val="4"/>
                <w:szCs w:val="4"/>
                <w:color w:val="auto"/>
              </w:rPr>
            </w:pPr>
          </w:p>
        </w:tc>
        <w:tc>
          <w:tcPr>
            <w:tcW w:w="1440" w:type="dxa"/>
            <w:vAlign w:val="bottom"/>
            <w:tcBorders>
              <w:right w:val="single" w:sz="8" w:color="A8BCBF"/>
            </w:tcBorders>
          </w:tcPr>
          <w:p>
            <w:pPr>
              <w:spacing w:after="0"/>
              <w:rPr>
                <w:sz w:val="4"/>
                <w:szCs w:val="4"/>
                <w:color w:val="auto"/>
              </w:rPr>
            </w:pPr>
          </w:p>
        </w:tc>
        <w:tc>
          <w:tcPr>
            <w:tcW w:w="1740" w:type="dxa"/>
            <w:vAlign w:val="bottom"/>
            <w:tcBorders>
              <w:right w:val="single" w:sz="8" w:color="A8BCBF"/>
            </w:tcBorders>
          </w:tcPr>
          <w:p>
            <w:pPr>
              <w:spacing w:after="0"/>
              <w:rPr>
                <w:sz w:val="4"/>
                <w:szCs w:val="4"/>
                <w:color w:val="auto"/>
              </w:rPr>
            </w:pPr>
          </w:p>
        </w:tc>
        <w:tc>
          <w:tcPr>
            <w:tcW w:w="720" w:type="dxa"/>
            <w:vAlign w:val="bottom"/>
            <w:tcBorders>
              <w:right w:val="single" w:sz="8" w:color="A8BCBF"/>
            </w:tcBorders>
          </w:tcPr>
          <w:p>
            <w:pPr>
              <w:spacing w:after="0"/>
              <w:rPr>
                <w:sz w:val="4"/>
                <w:szCs w:val="4"/>
                <w:color w:val="auto"/>
              </w:rPr>
            </w:pPr>
          </w:p>
        </w:tc>
        <w:tc>
          <w:tcPr>
            <w:tcW w:w="900" w:type="dxa"/>
            <w:vAlign w:val="bottom"/>
            <w:tcBorders>
              <w:right w:val="single" w:sz="8" w:color="A8BCBF"/>
            </w:tcBorders>
          </w:tcPr>
          <w:p>
            <w:pPr>
              <w:spacing w:after="0"/>
              <w:rPr>
                <w:sz w:val="4"/>
                <w:szCs w:val="4"/>
                <w:color w:val="auto"/>
              </w:rPr>
            </w:pPr>
          </w:p>
        </w:tc>
        <w:tc>
          <w:tcPr>
            <w:tcW w:w="900" w:type="dxa"/>
            <w:vAlign w:val="bottom"/>
            <w:tcBorders>
              <w:right w:val="single" w:sz="8" w:color="A8BCBF"/>
            </w:tcBorders>
          </w:tcPr>
          <w:p>
            <w:pPr>
              <w:spacing w:after="0"/>
              <w:rPr>
                <w:sz w:val="4"/>
                <w:szCs w:val="4"/>
                <w:color w:val="auto"/>
              </w:rPr>
            </w:pPr>
          </w:p>
        </w:tc>
        <w:tc>
          <w:tcPr>
            <w:tcW w:w="940" w:type="dxa"/>
            <w:vAlign w:val="bottom"/>
          </w:tcPr>
          <w:p>
            <w:pPr>
              <w:spacing w:after="0"/>
              <w:rPr>
                <w:sz w:val="4"/>
                <w:szCs w:val="4"/>
                <w:color w:val="auto"/>
              </w:rPr>
            </w:pPr>
          </w:p>
        </w:tc>
      </w:tr>
      <w:tr>
        <w:trPr>
          <w:trHeight w:val="279"/>
        </w:trPr>
        <w:tc>
          <w:tcPr>
            <w:tcW w:w="3980" w:type="dxa"/>
            <w:vAlign w:val="bottom"/>
            <w:tcBorders>
              <w:bottom w:val="single" w:sz="8" w:color="E1D0D6"/>
              <w:right w:val="single" w:sz="8" w:color="A8BCBF"/>
            </w:tcBorders>
            <w:shd w:val="clear" w:color="auto" w:fill="E1D0D6"/>
          </w:tcPr>
          <w:p>
            <w:pPr>
              <w:ind w:left="60"/>
              <w:spacing w:after="0"/>
              <w:rPr>
                <w:sz w:val="20"/>
                <w:szCs w:val="20"/>
                <w:color w:val="auto"/>
              </w:rPr>
            </w:pPr>
            <w:r>
              <w:rPr>
                <w:rFonts w:ascii="Arial" w:cs="Arial" w:eastAsia="Arial" w:hAnsi="Arial"/>
                <w:sz w:val="17"/>
                <w:szCs w:val="17"/>
                <w:color w:val="auto"/>
              </w:rPr>
              <w:t>Craig S. Billings</w:t>
            </w:r>
          </w:p>
        </w:tc>
        <w:tc>
          <w:tcPr>
            <w:tcW w:w="1440" w:type="dxa"/>
            <w:vAlign w:val="bottom"/>
            <w:tcBorders>
              <w:bottom w:val="single" w:sz="8" w:color="E1D0D6"/>
              <w:right w:val="single" w:sz="8" w:color="A8BCBF"/>
            </w:tcBorders>
            <w:shd w:val="clear" w:color="auto" w:fill="E1D0D6"/>
          </w:tcPr>
          <w:p>
            <w:pPr>
              <w:jc w:val="center"/>
              <w:spacing w:after="0"/>
              <w:rPr>
                <w:sz w:val="20"/>
                <w:szCs w:val="20"/>
                <w:color w:val="auto"/>
              </w:rPr>
            </w:pPr>
            <w:r>
              <w:rPr>
                <w:rFonts w:ascii="Arial" w:cs="Arial" w:eastAsia="Arial" w:hAnsi="Arial"/>
                <w:sz w:val="17"/>
                <w:szCs w:val="17"/>
                <w:color w:val="auto"/>
              </w:rPr>
              <w:t>May 11, 2022</w:t>
            </w:r>
          </w:p>
        </w:tc>
        <w:tc>
          <w:tcPr>
            <w:tcW w:w="1740" w:type="dxa"/>
            <w:vAlign w:val="bottom"/>
            <w:tcBorders>
              <w:bottom w:val="single" w:sz="8" w:color="E1D0D6"/>
              <w:right w:val="single" w:sz="8" w:color="A8BCBF"/>
            </w:tcBorders>
            <w:shd w:val="clear" w:color="auto" w:fill="E1D0D6"/>
          </w:tcPr>
          <w:p>
            <w:pPr>
              <w:jc w:val="center"/>
              <w:spacing w:after="0"/>
              <w:rPr>
                <w:sz w:val="20"/>
                <w:szCs w:val="20"/>
                <w:color w:val="auto"/>
              </w:rPr>
            </w:pPr>
            <w:r>
              <w:rPr>
                <w:rFonts w:ascii="Arial" w:cs="Arial" w:eastAsia="Arial" w:hAnsi="Arial"/>
                <w:sz w:val="17"/>
                <w:szCs w:val="17"/>
                <w:color w:val="auto"/>
              </w:rPr>
              <w:t>December 31, 2022</w:t>
            </w:r>
          </w:p>
        </w:tc>
        <w:tc>
          <w:tcPr>
            <w:tcW w:w="720" w:type="dxa"/>
            <w:vAlign w:val="bottom"/>
            <w:tcBorders>
              <w:bottom w:val="single" w:sz="8" w:color="E1D0D6"/>
              <w:right w:val="single" w:sz="8" w:color="A8BCBF"/>
            </w:tcBorders>
            <w:shd w:val="clear" w:color="auto" w:fill="E1D0D6"/>
          </w:tcPr>
          <w:p>
            <w:pPr>
              <w:jc w:val="center"/>
              <w:spacing w:after="0"/>
              <w:rPr>
                <w:sz w:val="20"/>
                <w:szCs w:val="20"/>
                <w:color w:val="auto"/>
              </w:rPr>
            </w:pPr>
            <w:r>
              <w:rPr>
                <w:rFonts w:ascii="Arial" w:cs="Arial" w:eastAsia="Arial" w:hAnsi="Arial"/>
                <w:sz w:val="17"/>
                <w:szCs w:val="17"/>
                <w:color w:val="auto"/>
                <w:w w:val="99"/>
              </w:rPr>
              <w:t>21,803</w:t>
            </w:r>
          </w:p>
        </w:tc>
        <w:tc>
          <w:tcPr>
            <w:tcW w:w="900" w:type="dxa"/>
            <w:vAlign w:val="bottom"/>
            <w:tcBorders>
              <w:bottom w:val="single" w:sz="8" w:color="E1D0D6"/>
              <w:right w:val="single" w:sz="8" w:color="A8BCBF"/>
            </w:tcBorders>
            <w:shd w:val="clear" w:color="auto" w:fill="E1D0D6"/>
          </w:tcPr>
          <w:p>
            <w:pPr>
              <w:jc w:val="center"/>
              <w:spacing w:after="0"/>
              <w:rPr>
                <w:sz w:val="20"/>
                <w:szCs w:val="20"/>
                <w:color w:val="auto"/>
              </w:rPr>
            </w:pPr>
            <w:r>
              <w:rPr>
                <w:rFonts w:ascii="Arial" w:cs="Arial" w:eastAsia="Arial" w:hAnsi="Arial"/>
                <w:sz w:val="17"/>
                <w:szCs w:val="17"/>
                <w:color w:val="auto"/>
              </w:rPr>
              <w:t>$58.85</w:t>
            </w:r>
          </w:p>
        </w:tc>
        <w:tc>
          <w:tcPr>
            <w:tcW w:w="900" w:type="dxa"/>
            <w:vAlign w:val="bottom"/>
            <w:tcBorders>
              <w:bottom w:val="single" w:sz="8" w:color="E1D0D6"/>
              <w:right w:val="single" w:sz="8" w:color="A8BCBF"/>
            </w:tcBorders>
            <w:shd w:val="clear" w:color="auto" w:fill="E1D0D6"/>
          </w:tcPr>
          <w:p>
            <w:pPr>
              <w:jc w:val="right"/>
              <w:ind w:right="193"/>
              <w:spacing w:after="0"/>
              <w:rPr>
                <w:sz w:val="20"/>
                <w:szCs w:val="20"/>
                <w:color w:val="auto"/>
              </w:rPr>
            </w:pPr>
            <w:r>
              <w:rPr>
                <w:rFonts w:ascii="Arial" w:cs="Arial" w:eastAsia="Arial" w:hAnsi="Arial"/>
                <w:sz w:val="17"/>
                <w:szCs w:val="17"/>
                <w:color w:val="auto"/>
              </w:rPr>
              <w:t>35%</w:t>
            </w:r>
          </w:p>
        </w:tc>
        <w:tc>
          <w:tcPr>
            <w:tcW w:w="940" w:type="dxa"/>
            <w:vAlign w:val="bottom"/>
            <w:tcBorders>
              <w:bottom w:val="single" w:sz="8" w:color="E1D0D6"/>
            </w:tcBorders>
            <w:shd w:val="clear" w:color="auto" w:fill="E1D0D6"/>
          </w:tcPr>
          <w:p>
            <w:pPr>
              <w:jc w:val="center"/>
              <w:spacing w:after="0"/>
              <w:rPr>
                <w:sz w:val="20"/>
                <w:szCs w:val="20"/>
                <w:color w:val="auto"/>
              </w:rPr>
            </w:pPr>
            <w:r>
              <w:rPr>
                <w:rFonts w:ascii="Arial" w:cs="Arial" w:eastAsia="Arial" w:hAnsi="Arial"/>
                <w:sz w:val="17"/>
                <w:szCs w:val="17"/>
                <w:color w:val="auto"/>
              </w:rPr>
              <w:t>$404,664</w:t>
            </w:r>
          </w:p>
        </w:tc>
      </w:tr>
      <w:tr>
        <w:trPr>
          <w:trHeight w:val="247"/>
        </w:trPr>
        <w:tc>
          <w:tcPr>
            <w:tcW w:w="3980" w:type="dxa"/>
            <w:vAlign w:val="bottom"/>
            <w:tcBorders>
              <w:right w:val="single" w:sz="8" w:color="A8BCBF"/>
            </w:tcBorders>
          </w:tcPr>
          <w:p>
            <w:pPr>
              <w:ind w:left="60"/>
              <w:spacing w:after="0"/>
              <w:rPr>
                <w:sz w:val="20"/>
                <w:szCs w:val="20"/>
                <w:color w:val="auto"/>
              </w:rPr>
            </w:pPr>
            <w:r>
              <w:rPr>
                <w:rFonts w:ascii="Arial" w:cs="Arial" w:eastAsia="Arial" w:hAnsi="Arial"/>
                <w:sz w:val="17"/>
                <w:szCs w:val="17"/>
                <w:color w:val="auto"/>
              </w:rPr>
              <w:t>Julie M. Cameron-Doe</w:t>
            </w:r>
          </w:p>
        </w:tc>
        <w:tc>
          <w:tcPr>
            <w:tcW w:w="1440" w:type="dxa"/>
            <w:vAlign w:val="bottom"/>
            <w:tcBorders>
              <w:right w:val="single" w:sz="8" w:color="A8BCBF"/>
            </w:tcBorders>
          </w:tcPr>
          <w:p>
            <w:pPr>
              <w:jc w:val="center"/>
              <w:spacing w:after="0"/>
              <w:rPr>
                <w:sz w:val="20"/>
                <w:szCs w:val="20"/>
                <w:color w:val="auto"/>
              </w:rPr>
            </w:pPr>
            <w:r>
              <w:rPr>
                <w:rFonts w:ascii="Arial" w:cs="Arial" w:eastAsia="Arial" w:hAnsi="Arial"/>
                <w:sz w:val="17"/>
                <w:szCs w:val="17"/>
                <w:color w:val="auto"/>
              </w:rPr>
              <w:t>May 11, 2022</w:t>
            </w:r>
          </w:p>
        </w:tc>
        <w:tc>
          <w:tcPr>
            <w:tcW w:w="1740" w:type="dxa"/>
            <w:vAlign w:val="bottom"/>
            <w:tcBorders>
              <w:right w:val="single" w:sz="8" w:color="A8BCBF"/>
            </w:tcBorders>
          </w:tcPr>
          <w:p>
            <w:pPr>
              <w:jc w:val="center"/>
              <w:spacing w:after="0"/>
              <w:rPr>
                <w:sz w:val="20"/>
                <w:szCs w:val="20"/>
                <w:color w:val="auto"/>
              </w:rPr>
            </w:pPr>
            <w:r>
              <w:rPr>
                <w:rFonts w:ascii="Arial" w:cs="Arial" w:eastAsia="Arial" w:hAnsi="Arial"/>
                <w:sz w:val="17"/>
                <w:szCs w:val="17"/>
                <w:color w:val="auto"/>
              </w:rPr>
              <w:t>December 31, 2022</w:t>
            </w:r>
          </w:p>
        </w:tc>
        <w:tc>
          <w:tcPr>
            <w:tcW w:w="720" w:type="dxa"/>
            <w:vAlign w:val="bottom"/>
            <w:tcBorders>
              <w:right w:val="single" w:sz="8" w:color="A8BCBF"/>
            </w:tcBorders>
          </w:tcPr>
          <w:p>
            <w:pPr>
              <w:jc w:val="center"/>
              <w:spacing w:after="0"/>
              <w:rPr>
                <w:sz w:val="20"/>
                <w:szCs w:val="20"/>
                <w:color w:val="auto"/>
              </w:rPr>
            </w:pPr>
            <w:r>
              <w:rPr>
                <w:rFonts w:ascii="Arial" w:cs="Arial" w:eastAsia="Arial" w:hAnsi="Arial"/>
                <w:sz w:val="17"/>
                <w:szCs w:val="17"/>
                <w:color w:val="auto"/>
                <w:w w:val="99"/>
              </w:rPr>
              <w:t>10,383</w:t>
            </w:r>
          </w:p>
        </w:tc>
        <w:tc>
          <w:tcPr>
            <w:tcW w:w="900" w:type="dxa"/>
            <w:vAlign w:val="bottom"/>
            <w:tcBorders>
              <w:right w:val="single" w:sz="8" w:color="A8BCBF"/>
            </w:tcBorders>
          </w:tcPr>
          <w:p>
            <w:pPr>
              <w:jc w:val="center"/>
              <w:spacing w:after="0"/>
              <w:rPr>
                <w:sz w:val="20"/>
                <w:szCs w:val="20"/>
                <w:color w:val="auto"/>
              </w:rPr>
            </w:pPr>
            <w:r>
              <w:rPr>
                <w:rFonts w:ascii="Arial" w:cs="Arial" w:eastAsia="Arial" w:hAnsi="Arial"/>
                <w:sz w:val="17"/>
                <w:szCs w:val="17"/>
                <w:color w:val="auto"/>
              </w:rPr>
              <w:t>$58.85</w:t>
            </w:r>
          </w:p>
        </w:tc>
        <w:tc>
          <w:tcPr>
            <w:tcW w:w="900" w:type="dxa"/>
            <w:vAlign w:val="bottom"/>
            <w:tcBorders>
              <w:right w:val="single" w:sz="8" w:color="A8BCBF"/>
            </w:tcBorders>
          </w:tcPr>
          <w:p>
            <w:pPr>
              <w:jc w:val="right"/>
              <w:ind w:right="193"/>
              <w:spacing w:after="0"/>
              <w:rPr>
                <w:sz w:val="20"/>
                <w:szCs w:val="20"/>
                <w:color w:val="auto"/>
              </w:rPr>
            </w:pPr>
            <w:r>
              <w:rPr>
                <w:rFonts w:ascii="Arial" w:cs="Arial" w:eastAsia="Arial" w:hAnsi="Arial"/>
                <w:sz w:val="17"/>
                <w:szCs w:val="17"/>
                <w:color w:val="auto"/>
              </w:rPr>
              <w:t>33%</w:t>
            </w:r>
          </w:p>
        </w:tc>
        <w:tc>
          <w:tcPr>
            <w:tcW w:w="940" w:type="dxa"/>
            <w:vAlign w:val="bottom"/>
          </w:tcPr>
          <w:p>
            <w:pPr>
              <w:jc w:val="center"/>
              <w:spacing w:after="0"/>
              <w:rPr>
                <w:sz w:val="20"/>
                <w:szCs w:val="20"/>
                <w:color w:val="auto"/>
              </w:rPr>
            </w:pPr>
            <w:r>
              <w:rPr>
                <w:rFonts w:ascii="Arial" w:cs="Arial" w:eastAsia="Arial" w:hAnsi="Arial"/>
                <w:sz w:val="17"/>
                <w:szCs w:val="17"/>
                <w:color w:val="auto"/>
              </w:rPr>
              <w:t>$192,708</w:t>
            </w:r>
          </w:p>
        </w:tc>
      </w:tr>
      <w:tr>
        <w:trPr>
          <w:trHeight w:val="52"/>
        </w:trPr>
        <w:tc>
          <w:tcPr>
            <w:tcW w:w="3980" w:type="dxa"/>
            <w:vAlign w:val="bottom"/>
            <w:tcBorders>
              <w:right w:val="single" w:sz="8" w:color="A8BCBF"/>
            </w:tcBorders>
          </w:tcPr>
          <w:p>
            <w:pPr>
              <w:spacing w:after="0"/>
              <w:rPr>
                <w:sz w:val="4"/>
                <w:szCs w:val="4"/>
                <w:color w:val="auto"/>
              </w:rPr>
            </w:pPr>
          </w:p>
        </w:tc>
        <w:tc>
          <w:tcPr>
            <w:tcW w:w="1440" w:type="dxa"/>
            <w:vAlign w:val="bottom"/>
            <w:tcBorders>
              <w:right w:val="single" w:sz="8" w:color="A8BCBF"/>
            </w:tcBorders>
          </w:tcPr>
          <w:p>
            <w:pPr>
              <w:spacing w:after="0"/>
              <w:rPr>
                <w:sz w:val="4"/>
                <w:szCs w:val="4"/>
                <w:color w:val="auto"/>
              </w:rPr>
            </w:pPr>
          </w:p>
        </w:tc>
        <w:tc>
          <w:tcPr>
            <w:tcW w:w="1740" w:type="dxa"/>
            <w:vAlign w:val="bottom"/>
            <w:tcBorders>
              <w:right w:val="single" w:sz="8" w:color="A8BCBF"/>
            </w:tcBorders>
          </w:tcPr>
          <w:p>
            <w:pPr>
              <w:spacing w:after="0"/>
              <w:rPr>
                <w:sz w:val="4"/>
                <w:szCs w:val="4"/>
                <w:color w:val="auto"/>
              </w:rPr>
            </w:pPr>
          </w:p>
        </w:tc>
        <w:tc>
          <w:tcPr>
            <w:tcW w:w="720" w:type="dxa"/>
            <w:vAlign w:val="bottom"/>
            <w:tcBorders>
              <w:right w:val="single" w:sz="8" w:color="A8BCBF"/>
            </w:tcBorders>
          </w:tcPr>
          <w:p>
            <w:pPr>
              <w:spacing w:after="0"/>
              <w:rPr>
                <w:sz w:val="4"/>
                <w:szCs w:val="4"/>
                <w:color w:val="auto"/>
              </w:rPr>
            </w:pPr>
          </w:p>
        </w:tc>
        <w:tc>
          <w:tcPr>
            <w:tcW w:w="900" w:type="dxa"/>
            <w:vAlign w:val="bottom"/>
            <w:tcBorders>
              <w:right w:val="single" w:sz="8" w:color="A8BCBF"/>
            </w:tcBorders>
          </w:tcPr>
          <w:p>
            <w:pPr>
              <w:spacing w:after="0"/>
              <w:rPr>
                <w:sz w:val="4"/>
                <w:szCs w:val="4"/>
                <w:color w:val="auto"/>
              </w:rPr>
            </w:pPr>
          </w:p>
        </w:tc>
        <w:tc>
          <w:tcPr>
            <w:tcW w:w="900" w:type="dxa"/>
            <w:vAlign w:val="bottom"/>
            <w:tcBorders>
              <w:right w:val="single" w:sz="8" w:color="A8BCBF"/>
            </w:tcBorders>
          </w:tcPr>
          <w:p>
            <w:pPr>
              <w:spacing w:after="0"/>
              <w:rPr>
                <w:sz w:val="4"/>
                <w:szCs w:val="4"/>
                <w:color w:val="auto"/>
              </w:rPr>
            </w:pPr>
          </w:p>
        </w:tc>
        <w:tc>
          <w:tcPr>
            <w:tcW w:w="940" w:type="dxa"/>
            <w:vAlign w:val="bottom"/>
          </w:tcPr>
          <w:p>
            <w:pPr>
              <w:spacing w:after="0"/>
              <w:rPr>
                <w:sz w:val="4"/>
                <w:szCs w:val="4"/>
                <w:color w:val="auto"/>
              </w:rPr>
            </w:pPr>
          </w:p>
        </w:tc>
      </w:tr>
      <w:tr>
        <w:trPr>
          <w:trHeight w:val="247"/>
        </w:trPr>
        <w:tc>
          <w:tcPr>
            <w:tcW w:w="3980" w:type="dxa"/>
            <w:vAlign w:val="bottom"/>
            <w:tcBorders>
              <w:right w:val="single" w:sz="8" w:color="A8BCBF"/>
            </w:tcBorders>
            <w:shd w:val="clear" w:color="auto" w:fill="E1D0D6"/>
          </w:tcPr>
          <w:p>
            <w:pPr>
              <w:ind w:left="60"/>
              <w:spacing w:after="0"/>
              <w:rPr>
                <w:sz w:val="20"/>
                <w:szCs w:val="20"/>
                <w:color w:val="auto"/>
              </w:rPr>
            </w:pPr>
            <w:r>
              <w:rPr>
                <w:rFonts w:ascii="Arial" w:cs="Arial" w:eastAsia="Arial" w:hAnsi="Arial"/>
                <w:sz w:val="17"/>
                <w:szCs w:val="17"/>
                <w:color w:val="auto"/>
              </w:rPr>
              <w:t>Ellen F. Whittemore</w:t>
            </w:r>
          </w:p>
        </w:tc>
        <w:tc>
          <w:tcPr>
            <w:tcW w:w="1440" w:type="dxa"/>
            <w:vAlign w:val="bottom"/>
            <w:tcBorders>
              <w:right w:val="single" w:sz="8" w:color="A8BCBF"/>
            </w:tcBorders>
            <w:shd w:val="clear" w:color="auto" w:fill="E1D0D6"/>
          </w:tcPr>
          <w:p>
            <w:pPr>
              <w:jc w:val="center"/>
              <w:spacing w:after="0"/>
              <w:rPr>
                <w:sz w:val="20"/>
                <w:szCs w:val="20"/>
                <w:color w:val="auto"/>
              </w:rPr>
            </w:pPr>
            <w:r>
              <w:rPr>
                <w:rFonts w:ascii="Arial" w:cs="Arial" w:eastAsia="Arial" w:hAnsi="Arial"/>
                <w:sz w:val="17"/>
                <w:szCs w:val="17"/>
                <w:color w:val="auto"/>
              </w:rPr>
              <w:t>May 11, 2022</w:t>
            </w:r>
          </w:p>
        </w:tc>
        <w:tc>
          <w:tcPr>
            <w:tcW w:w="1740" w:type="dxa"/>
            <w:vAlign w:val="bottom"/>
            <w:tcBorders>
              <w:right w:val="single" w:sz="8" w:color="A8BCBF"/>
            </w:tcBorders>
            <w:shd w:val="clear" w:color="auto" w:fill="E1D0D6"/>
          </w:tcPr>
          <w:p>
            <w:pPr>
              <w:jc w:val="center"/>
              <w:spacing w:after="0"/>
              <w:rPr>
                <w:sz w:val="20"/>
                <w:szCs w:val="20"/>
                <w:color w:val="auto"/>
              </w:rPr>
            </w:pPr>
            <w:r>
              <w:rPr>
                <w:rFonts w:ascii="Arial" w:cs="Arial" w:eastAsia="Arial" w:hAnsi="Arial"/>
                <w:sz w:val="17"/>
                <w:szCs w:val="17"/>
                <w:color w:val="auto"/>
              </w:rPr>
              <w:t>December 31, 2022</w:t>
            </w:r>
          </w:p>
        </w:tc>
        <w:tc>
          <w:tcPr>
            <w:tcW w:w="720" w:type="dxa"/>
            <w:vAlign w:val="bottom"/>
            <w:tcBorders>
              <w:right w:val="single" w:sz="8" w:color="A8BCBF"/>
            </w:tcBorders>
            <w:shd w:val="clear" w:color="auto" w:fill="E1D0D6"/>
          </w:tcPr>
          <w:p>
            <w:pPr>
              <w:jc w:val="center"/>
              <w:spacing w:after="0"/>
              <w:rPr>
                <w:sz w:val="20"/>
                <w:szCs w:val="20"/>
                <w:color w:val="auto"/>
              </w:rPr>
            </w:pPr>
            <w:r>
              <w:rPr>
                <w:rFonts w:ascii="Arial" w:cs="Arial" w:eastAsia="Arial" w:hAnsi="Arial"/>
                <w:sz w:val="17"/>
                <w:szCs w:val="17"/>
                <w:color w:val="auto"/>
                <w:w w:val="99"/>
              </w:rPr>
              <w:t>10,383</w:t>
            </w:r>
          </w:p>
        </w:tc>
        <w:tc>
          <w:tcPr>
            <w:tcW w:w="900" w:type="dxa"/>
            <w:vAlign w:val="bottom"/>
            <w:tcBorders>
              <w:right w:val="single" w:sz="8" w:color="A8BCBF"/>
            </w:tcBorders>
            <w:shd w:val="clear" w:color="auto" w:fill="E1D0D6"/>
          </w:tcPr>
          <w:p>
            <w:pPr>
              <w:jc w:val="center"/>
              <w:spacing w:after="0"/>
              <w:rPr>
                <w:sz w:val="20"/>
                <w:szCs w:val="20"/>
                <w:color w:val="auto"/>
              </w:rPr>
            </w:pPr>
            <w:r>
              <w:rPr>
                <w:rFonts w:ascii="Arial" w:cs="Arial" w:eastAsia="Arial" w:hAnsi="Arial"/>
                <w:sz w:val="17"/>
                <w:szCs w:val="17"/>
                <w:color w:val="auto"/>
              </w:rPr>
              <w:t>$58.85</w:t>
            </w:r>
          </w:p>
        </w:tc>
        <w:tc>
          <w:tcPr>
            <w:tcW w:w="900" w:type="dxa"/>
            <w:vAlign w:val="bottom"/>
            <w:tcBorders>
              <w:right w:val="single" w:sz="8" w:color="A8BCBF"/>
            </w:tcBorders>
            <w:shd w:val="clear" w:color="auto" w:fill="E1D0D6"/>
          </w:tcPr>
          <w:p>
            <w:pPr>
              <w:jc w:val="right"/>
              <w:ind w:right="193"/>
              <w:spacing w:after="0"/>
              <w:rPr>
                <w:sz w:val="20"/>
                <w:szCs w:val="20"/>
                <w:color w:val="auto"/>
              </w:rPr>
            </w:pPr>
            <w:r>
              <w:rPr>
                <w:rFonts w:ascii="Arial" w:cs="Arial" w:eastAsia="Arial" w:hAnsi="Arial"/>
                <w:sz w:val="17"/>
                <w:szCs w:val="17"/>
                <w:color w:val="auto"/>
              </w:rPr>
              <w:t>33%</w:t>
            </w:r>
          </w:p>
        </w:tc>
        <w:tc>
          <w:tcPr>
            <w:tcW w:w="940" w:type="dxa"/>
            <w:vAlign w:val="bottom"/>
            <w:shd w:val="clear" w:color="auto" w:fill="E1D0D6"/>
          </w:tcPr>
          <w:p>
            <w:pPr>
              <w:jc w:val="center"/>
              <w:spacing w:after="0"/>
              <w:rPr>
                <w:sz w:val="20"/>
                <w:szCs w:val="20"/>
                <w:color w:val="auto"/>
              </w:rPr>
            </w:pPr>
            <w:r>
              <w:rPr>
                <w:rFonts w:ascii="Arial" w:cs="Arial" w:eastAsia="Arial" w:hAnsi="Arial"/>
                <w:sz w:val="17"/>
                <w:szCs w:val="17"/>
                <w:color w:val="auto"/>
              </w:rPr>
              <w:t>$192,708</w:t>
            </w:r>
          </w:p>
        </w:tc>
      </w:tr>
      <w:tr>
        <w:trPr>
          <w:trHeight w:val="52"/>
        </w:trPr>
        <w:tc>
          <w:tcPr>
            <w:tcW w:w="3980" w:type="dxa"/>
            <w:vAlign w:val="bottom"/>
            <w:tcBorders>
              <w:right w:val="single" w:sz="8" w:color="A8BCBF"/>
            </w:tcBorders>
            <w:shd w:val="clear" w:color="auto" w:fill="E1D0D6"/>
          </w:tcPr>
          <w:p>
            <w:pPr>
              <w:spacing w:after="0"/>
              <w:rPr>
                <w:sz w:val="4"/>
                <w:szCs w:val="4"/>
                <w:color w:val="auto"/>
              </w:rPr>
            </w:pPr>
          </w:p>
        </w:tc>
        <w:tc>
          <w:tcPr>
            <w:tcW w:w="1440" w:type="dxa"/>
            <w:vAlign w:val="bottom"/>
            <w:tcBorders>
              <w:right w:val="single" w:sz="8" w:color="A8BCBF"/>
            </w:tcBorders>
            <w:shd w:val="clear" w:color="auto" w:fill="E1D0D6"/>
          </w:tcPr>
          <w:p>
            <w:pPr>
              <w:spacing w:after="0"/>
              <w:rPr>
                <w:sz w:val="4"/>
                <w:szCs w:val="4"/>
                <w:color w:val="auto"/>
              </w:rPr>
            </w:pPr>
          </w:p>
        </w:tc>
        <w:tc>
          <w:tcPr>
            <w:tcW w:w="1740" w:type="dxa"/>
            <w:vAlign w:val="bottom"/>
            <w:tcBorders>
              <w:right w:val="single" w:sz="8" w:color="A8BCBF"/>
            </w:tcBorders>
            <w:shd w:val="clear" w:color="auto" w:fill="E1D0D6"/>
          </w:tcPr>
          <w:p>
            <w:pPr>
              <w:spacing w:after="0"/>
              <w:rPr>
                <w:sz w:val="4"/>
                <w:szCs w:val="4"/>
                <w:color w:val="auto"/>
              </w:rPr>
            </w:pPr>
          </w:p>
        </w:tc>
        <w:tc>
          <w:tcPr>
            <w:tcW w:w="720" w:type="dxa"/>
            <w:vAlign w:val="bottom"/>
            <w:tcBorders>
              <w:right w:val="single" w:sz="8" w:color="A8BCBF"/>
            </w:tcBorders>
            <w:shd w:val="clear" w:color="auto" w:fill="E1D0D6"/>
          </w:tcPr>
          <w:p>
            <w:pPr>
              <w:spacing w:after="0"/>
              <w:rPr>
                <w:sz w:val="4"/>
                <w:szCs w:val="4"/>
                <w:color w:val="auto"/>
              </w:rPr>
            </w:pPr>
          </w:p>
        </w:tc>
        <w:tc>
          <w:tcPr>
            <w:tcW w:w="900" w:type="dxa"/>
            <w:vAlign w:val="bottom"/>
            <w:tcBorders>
              <w:right w:val="single" w:sz="8" w:color="A8BCBF"/>
            </w:tcBorders>
            <w:shd w:val="clear" w:color="auto" w:fill="E1D0D6"/>
          </w:tcPr>
          <w:p>
            <w:pPr>
              <w:spacing w:after="0"/>
              <w:rPr>
                <w:sz w:val="4"/>
                <w:szCs w:val="4"/>
                <w:color w:val="auto"/>
              </w:rPr>
            </w:pPr>
          </w:p>
        </w:tc>
        <w:tc>
          <w:tcPr>
            <w:tcW w:w="900" w:type="dxa"/>
            <w:vAlign w:val="bottom"/>
            <w:tcBorders>
              <w:right w:val="single" w:sz="8" w:color="A8BCBF"/>
            </w:tcBorders>
            <w:shd w:val="clear" w:color="auto" w:fill="E1D0D6"/>
          </w:tcPr>
          <w:p>
            <w:pPr>
              <w:spacing w:after="0"/>
              <w:rPr>
                <w:sz w:val="4"/>
                <w:szCs w:val="4"/>
                <w:color w:val="auto"/>
              </w:rPr>
            </w:pPr>
          </w:p>
        </w:tc>
        <w:tc>
          <w:tcPr>
            <w:tcW w:w="940" w:type="dxa"/>
            <w:vAlign w:val="bottom"/>
            <w:shd w:val="clear" w:color="auto" w:fill="E1D0D6"/>
          </w:tcPr>
          <w:p>
            <w:pPr>
              <w:spacing w:after="0"/>
              <w:rPr>
                <w:sz w:val="4"/>
                <w:szCs w:val="4"/>
                <w:color w:val="auto"/>
              </w:rPr>
            </w:pPr>
          </w:p>
        </w:tc>
      </w:tr>
    </w:tbl>
    <w:p>
      <w:pPr>
        <w:spacing w:after="0" w:line="30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6A1834"/>
        </w:rPr>
        <w:t>GRANT IN CONNECTION WITH APPOINTMENT AS NEO</w:t>
      </w:r>
    </w:p>
    <w:p>
      <w:pPr>
        <w:spacing w:after="0" w:line="6" w:lineRule="exact"/>
        <w:rPr>
          <w:sz w:val="20"/>
          <w:szCs w:val="20"/>
          <w:color w:val="auto"/>
        </w:rPr>
      </w:pPr>
    </w:p>
    <w:p>
      <w:pPr>
        <w:ind w:left="320" w:right="60"/>
        <w:spacing w:after="0" w:line="242" w:lineRule="auto"/>
        <w:rPr>
          <w:sz w:val="20"/>
          <w:szCs w:val="20"/>
          <w:color w:val="auto"/>
        </w:rPr>
      </w:pPr>
      <w:r>
        <w:rPr>
          <w:rFonts w:ascii="Arial" w:cs="Arial" w:eastAsia="Arial" w:hAnsi="Arial"/>
          <w:sz w:val="17"/>
          <w:szCs w:val="17"/>
          <w:color w:val="auto"/>
        </w:rPr>
        <w:t>On April 18, 2022, the Board appointed Ms. Cameron-Doe Chief Financial Officer of the Company. In connection with the appointment, Ms. Cameron-Doe and the Company entered into an employment contract, pursuant to which Ms. Cameron-Doe received a partial make-whole grant of 34,033 shares of restricted stock upon execution of the employment contract, intended to replace a portion of the forfeited restricted stock values she would have received should she have stayed with her previous employer. Except as otherwise described in the section titled “Potential Payments Upon Termination or Change in Control,” the restricted stock award vests ratably over three years on each anniversary of the grant date, subject to Ms. Cameron-Doe’s continued employment through such date.</w:t>
      </w:r>
    </w:p>
    <w:p>
      <w:pPr>
        <w:spacing w:after="0" w:line="137"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 37 //</w:t>
      </w:r>
    </w:p>
    <w:p>
      <w:pPr>
        <w:sectPr>
          <w:pgSz w:w="11900" w:h="16838" w:orient="portrait"/>
          <w:cols w:equalWidth="0" w:num="1">
            <w:col w:w="10940"/>
          </w:cols>
          <w:pgMar w:left="320" w:top="473" w:right="6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6A1834"/>
        </w:rPr>
        <w:t>2023 EQUITY GRANTS</w:t>
      </w:r>
    </w:p>
    <w:p>
      <w:pPr>
        <w:spacing w:after="0" w:line="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2023 annual long-term incentive equity grants for our NEOs.</w:t>
      </w:r>
    </w:p>
    <w:p>
      <w:pPr>
        <w:spacing w:after="0" w:line="209" w:lineRule="exact"/>
        <w:rPr>
          <w:sz w:val="20"/>
          <w:szCs w:val="20"/>
          <w:color w:val="auto"/>
        </w:rPr>
      </w:pPr>
    </w:p>
    <w:tbl>
      <w:tblPr>
        <w:tblLayout w:type="fixed"/>
        <w:tblInd w:w="320" w:type="dxa"/>
        <w:tblCellMar>
          <w:top w:w="0" w:type="dxa"/>
          <w:left w:w="0" w:type="dxa"/>
          <w:bottom w:w="0" w:type="dxa"/>
          <w:right w:w="0" w:type="dxa"/>
        </w:tblCellMar>
      </w:tblPr>
      <w:tr>
        <w:trPr>
          <w:trHeight w:val="128"/>
        </w:trPr>
        <w:tc>
          <w:tcPr>
            <w:tcW w:w="5120" w:type="dxa"/>
            <w:vAlign w:val="bottom"/>
            <w:tcBorders>
              <w:right w:val="single" w:sz="8" w:color="A8BCBF"/>
            </w:tcBorders>
          </w:tcPr>
          <w:p>
            <w:pPr>
              <w:spacing w:after="0"/>
              <w:rPr>
                <w:sz w:val="11"/>
                <w:szCs w:val="11"/>
                <w:color w:val="auto"/>
              </w:rPr>
            </w:pPr>
          </w:p>
        </w:tc>
        <w:tc>
          <w:tcPr>
            <w:tcW w:w="1540" w:type="dxa"/>
            <w:vAlign w:val="bottom"/>
            <w:tcBorders>
              <w:right w:val="single" w:sz="8" w:color="A8BCBF"/>
            </w:tcBorders>
          </w:tcPr>
          <w:p>
            <w:pPr>
              <w:spacing w:after="0"/>
              <w:rPr>
                <w:sz w:val="11"/>
                <w:szCs w:val="11"/>
                <w:color w:val="auto"/>
              </w:rPr>
            </w:pPr>
          </w:p>
        </w:tc>
        <w:tc>
          <w:tcPr>
            <w:tcW w:w="940" w:type="dxa"/>
            <w:vAlign w:val="bottom"/>
            <w:tcBorders>
              <w:right w:val="single" w:sz="8" w:color="A8BCBF"/>
            </w:tcBorders>
          </w:tcPr>
          <w:p>
            <w:pPr>
              <w:spacing w:after="0"/>
              <w:rPr>
                <w:sz w:val="11"/>
                <w:szCs w:val="11"/>
                <w:color w:val="auto"/>
              </w:rPr>
            </w:pPr>
          </w:p>
        </w:tc>
        <w:tc>
          <w:tcPr>
            <w:tcW w:w="98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PERFORMANCE-</w:t>
            </w:r>
          </w:p>
        </w:tc>
        <w:tc>
          <w:tcPr>
            <w:tcW w:w="960" w:type="dxa"/>
            <w:vAlign w:val="bottom"/>
            <w:tcBorders>
              <w:right w:val="single" w:sz="8" w:color="A8BCBF"/>
            </w:tcBorders>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120" w:type="dxa"/>
            <w:vAlign w:val="bottom"/>
            <w:tcBorders>
              <w:right w:val="single" w:sz="8" w:color="A8BCBF"/>
            </w:tcBorders>
            <w:vMerge w:val="restart"/>
          </w:tcPr>
          <w:p>
            <w:pPr>
              <w:ind w:left="60"/>
              <w:spacing w:after="0"/>
              <w:rPr>
                <w:sz w:val="20"/>
                <w:szCs w:val="20"/>
                <w:color w:val="auto"/>
              </w:rPr>
            </w:pPr>
            <w:r>
              <w:rPr>
                <w:rFonts w:ascii="Arial" w:cs="Arial" w:eastAsia="Arial" w:hAnsi="Arial"/>
                <w:sz w:val="10"/>
                <w:szCs w:val="10"/>
                <w:b w:val="1"/>
                <w:bCs w:val="1"/>
                <w:color w:val="6A1834"/>
              </w:rPr>
              <w:t>NAMED EXECUTIVE</w:t>
            </w:r>
          </w:p>
        </w:tc>
        <w:tc>
          <w:tcPr>
            <w:tcW w:w="1540" w:type="dxa"/>
            <w:vAlign w:val="bottom"/>
            <w:tcBorders>
              <w:right w:val="single" w:sz="8" w:color="A8BCBF"/>
            </w:tcBorders>
          </w:tcPr>
          <w:p>
            <w:pPr>
              <w:spacing w:after="0"/>
              <w:rPr>
                <w:sz w:val="10"/>
                <w:szCs w:val="10"/>
                <w:color w:val="auto"/>
              </w:rPr>
            </w:pPr>
          </w:p>
        </w:tc>
        <w:tc>
          <w:tcPr>
            <w:tcW w:w="94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RESTRICTED</w:t>
            </w:r>
          </w:p>
        </w:tc>
        <w:tc>
          <w:tcPr>
            <w:tcW w:w="98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BASED</w:t>
            </w:r>
          </w:p>
        </w:tc>
        <w:tc>
          <w:tcPr>
            <w:tcW w:w="96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PERFORMANCE</w:t>
            </w:r>
          </w:p>
        </w:tc>
        <w:tc>
          <w:tcPr>
            <w:tcW w:w="1080" w:type="dxa"/>
            <w:vAlign w:val="bottom"/>
          </w:tcPr>
          <w:p>
            <w:pPr>
              <w:jc w:val="center"/>
              <w:spacing w:after="0"/>
              <w:rPr>
                <w:sz w:val="20"/>
                <w:szCs w:val="20"/>
                <w:color w:val="auto"/>
              </w:rPr>
            </w:pPr>
            <w:r>
              <w:rPr>
                <w:rFonts w:ascii="Arial" w:cs="Arial" w:eastAsia="Arial" w:hAnsi="Arial"/>
                <w:sz w:val="10"/>
                <w:szCs w:val="10"/>
                <w:b w:val="1"/>
                <w:bCs w:val="1"/>
                <w:color w:val="6A1834"/>
              </w:rPr>
              <w:t>TOTAL</w:t>
            </w:r>
          </w:p>
        </w:tc>
        <w:tc>
          <w:tcPr>
            <w:tcW w:w="0" w:type="dxa"/>
            <w:vAlign w:val="bottom"/>
          </w:tcPr>
          <w:p>
            <w:pPr>
              <w:spacing w:after="0"/>
              <w:rPr>
                <w:sz w:val="1"/>
                <w:szCs w:val="1"/>
                <w:color w:val="auto"/>
              </w:rPr>
            </w:pPr>
          </w:p>
        </w:tc>
      </w:tr>
      <w:tr>
        <w:trPr>
          <w:trHeight w:val="106"/>
        </w:trPr>
        <w:tc>
          <w:tcPr>
            <w:tcW w:w="5120" w:type="dxa"/>
            <w:vAlign w:val="bottom"/>
            <w:tcBorders>
              <w:right w:val="single" w:sz="8" w:color="A8BCBF"/>
            </w:tcBorders>
            <w:vMerge w:val="continue"/>
          </w:tcPr>
          <w:p>
            <w:pPr>
              <w:spacing w:after="0"/>
              <w:rPr>
                <w:sz w:val="9"/>
                <w:szCs w:val="9"/>
                <w:color w:val="auto"/>
              </w:rPr>
            </w:pPr>
          </w:p>
        </w:tc>
        <w:tc>
          <w:tcPr>
            <w:tcW w:w="1540" w:type="dxa"/>
            <w:vAlign w:val="bottom"/>
            <w:tcBorders>
              <w:right w:val="single" w:sz="8" w:color="A8BCBF"/>
            </w:tcBorders>
          </w:tcPr>
          <w:p>
            <w:pPr>
              <w:spacing w:after="0"/>
              <w:rPr>
                <w:sz w:val="9"/>
                <w:szCs w:val="9"/>
                <w:color w:val="auto"/>
              </w:rPr>
            </w:pPr>
          </w:p>
        </w:tc>
        <w:tc>
          <w:tcPr>
            <w:tcW w:w="940" w:type="dxa"/>
            <w:vAlign w:val="bottom"/>
            <w:tcBorders>
              <w:right w:val="single" w:sz="8" w:color="A8BCBF"/>
            </w:tcBorders>
          </w:tcPr>
          <w:p>
            <w:pPr>
              <w:jc w:val="center"/>
              <w:spacing w:after="0" w:line="106" w:lineRule="exact"/>
              <w:rPr>
                <w:sz w:val="20"/>
                <w:szCs w:val="20"/>
                <w:color w:val="auto"/>
              </w:rPr>
            </w:pPr>
            <w:r>
              <w:rPr>
                <w:rFonts w:ascii="Arial" w:cs="Arial" w:eastAsia="Arial" w:hAnsi="Arial"/>
                <w:sz w:val="10"/>
                <w:szCs w:val="10"/>
                <w:b w:val="1"/>
                <w:bCs w:val="1"/>
                <w:color w:val="6A1834"/>
              </w:rPr>
              <w:t>STOCK</w:t>
            </w:r>
          </w:p>
        </w:tc>
        <w:tc>
          <w:tcPr>
            <w:tcW w:w="980" w:type="dxa"/>
            <w:vAlign w:val="bottom"/>
            <w:tcBorders>
              <w:right w:val="single" w:sz="8" w:color="A8BCBF"/>
            </w:tcBorders>
          </w:tcPr>
          <w:p>
            <w:pPr>
              <w:jc w:val="center"/>
              <w:spacing w:after="0" w:line="106" w:lineRule="exact"/>
              <w:rPr>
                <w:sz w:val="20"/>
                <w:szCs w:val="20"/>
                <w:color w:val="auto"/>
              </w:rPr>
            </w:pPr>
            <w:r>
              <w:rPr>
                <w:rFonts w:ascii="Arial" w:cs="Arial" w:eastAsia="Arial" w:hAnsi="Arial"/>
                <w:sz w:val="10"/>
                <w:szCs w:val="10"/>
                <w:b w:val="1"/>
                <w:bCs w:val="1"/>
                <w:color w:val="6A1834"/>
              </w:rPr>
              <w:t>RESTRICTED</w:t>
            </w:r>
          </w:p>
        </w:tc>
        <w:tc>
          <w:tcPr>
            <w:tcW w:w="960" w:type="dxa"/>
            <w:vAlign w:val="bottom"/>
            <w:tcBorders>
              <w:right w:val="single" w:sz="8" w:color="A8BCBF"/>
            </w:tcBorders>
          </w:tcPr>
          <w:p>
            <w:pPr>
              <w:jc w:val="center"/>
              <w:spacing w:after="0" w:line="106" w:lineRule="exact"/>
              <w:rPr>
                <w:sz w:val="20"/>
                <w:szCs w:val="20"/>
                <w:color w:val="auto"/>
              </w:rPr>
            </w:pPr>
            <w:r>
              <w:rPr>
                <w:rFonts w:ascii="Arial" w:cs="Arial" w:eastAsia="Arial" w:hAnsi="Arial"/>
                <w:sz w:val="10"/>
                <w:szCs w:val="10"/>
                <w:b w:val="1"/>
                <w:bCs w:val="1"/>
                <w:color w:val="6A1834"/>
              </w:rPr>
              <w:t>SHARE UNITS</w:t>
            </w:r>
          </w:p>
        </w:tc>
        <w:tc>
          <w:tcPr>
            <w:tcW w:w="1080" w:type="dxa"/>
            <w:vAlign w:val="bottom"/>
          </w:tcPr>
          <w:p>
            <w:pPr>
              <w:jc w:val="center"/>
              <w:spacing w:after="0" w:line="106" w:lineRule="exact"/>
              <w:rPr>
                <w:sz w:val="20"/>
                <w:szCs w:val="20"/>
                <w:color w:val="auto"/>
              </w:rPr>
            </w:pPr>
            <w:r>
              <w:rPr>
                <w:rFonts w:ascii="Arial" w:cs="Arial" w:eastAsia="Arial" w:hAnsi="Arial"/>
                <w:sz w:val="10"/>
                <w:szCs w:val="10"/>
                <w:b w:val="1"/>
                <w:bCs w:val="1"/>
                <w:color w:val="6A1834"/>
              </w:rPr>
              <w:t>TARGET</w:t>
            </w:r>
          </w:p>
        </w:tc>
        <w:tc>
          <w:tcPr>
            <w:tcW w:w="0" w:type="dxa"/>
            <w:vAlign w:val="bottom"/>
          </w:tcPr>
          <w:p>
            <w:pPr>
              <w:spacing w:after="0"/>
              <w:rPr>
                <w:sz w:val="1"/>
                <w:szCs w:val="1"/>
                <w:color w:val="auto"/>
              </w:rPr>
            </w:pPr>
          </w:p>
        </w:tc>
      </w:tr>
      <w:tr>
        <w:trPr>
          <w:trHeight w:val="147"/>
        </w:trPr>
        <w:tc>
          <w:tcPr>
            <w:tcW w:w="5120" w:type="dxa"/>
            <w:vAlign w:val="bottom"/>
            <w:tcBorders>
              <w:right w:val="single" w:sz="8" w:color="A8BCBF"/>
            </w:tcBorders>
          </w:tcPr>
          <w:p>
            <w:pPr>
              <w:ind w:left="60"/>
              <w:spacing w:after="0"/>
              <w:rPr>
                <w:sz w:val="20"/>
                <w:szCs w:val="20"/>
                <w:color w:val="auto"/>
              </w:rPr>
            </w:pPr>
            <w:r>
              <w:rPr>
                <w:rFonts w:ascii="Arial" w:cs="Arial" w:eastAsia="Arial" w:hAnsi="Arial"/>
                <w:sz w:val="10"/>
                <w:szCs w:val="10"/>
                <w:b w:val="1"/>
                <w:bCs w:val="1"/>
                <w:color w:val="6A1834"/>
              </w:rPr>
              <w:t>OFFICER</w:t>
            </w:r>
          </w:p>
        </w:tc>
        <w:tc>
          <w:tcPr>
            <w:tcW w:w="154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GRANT DATE</w:t>
            </w:r>
          </w:p>
        </w:tc>
        <w:tc>
          <w:tcPr>
            <w:tcW w:w="94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 (1)</w:t>
            </w:r>
          </w:p>
        </w:tc>
        <w:tc>
          <w:tcPr>
            <w:tcW w:w="98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STOCK (#) (2)</w:t>
            </w:r>
          </w:p>
        </w:tc>
        <w:tc>
          <w:tcPr>
            <w:tcW w:w="960" w:type="dxa"/>
            <w:vAlign w:val="bottom"/>
            <w:tcBorders>
              <w:right w:val="single" w:sz="8" w:color="A8BCBF"/>
            </w:tcBorders>
          </w:tcPr>
          <w:p>
            <w:pPr>
              <w:jc w:val="center"/>
              <w:spacing w:after="0"/>
              <w:rPr>
                <w:sz w:val="20"/>
                <w:szCs w:val="20"/>
                <w:color w:val="auto"/>
              </w:rPr>
            </w:pPr>
            <w:r>
              <w:rPr>
                <w:rFonts w:ascii="Arial" w:cs="Arial" w:eastAsia="Arial" w:hAnsi="Arial"/>
                <w:sz w:val="10"/>
                <w:szCs w:val="10"/>
                <w:b w:val="1"/>
                <w:bCs w:val="1"/>
                <w:color w:val="6A1834"/>
              </w:rPr>
              <w:t>(#) (3)</w:t>
            </w:r>
          </w:p>
        </w:tc>
        <w:tc>
          <w:tcPr>
            <w:tcW w:w="1080" w:type="dxa"/>
            <w:vAlign w:val="bottom"/>
          </w:tcPr>
          <w:p>
            <w:pPr>
              <w:jc w:val="center"/>
              <w:spacing w:after="0"/>
              <w:rPr>
                <w:sz w:val="20"/>
                <w:szCs w:val="20"/>
                <w:color w:val="auto"/>
              </w:rPr>
            </w:pPr>
            <w:r>
              <w:rPr>
                <w:rFonts w:ascii="Arial" w:cs="Arial" w:eastAsia="Arial" w:hAnsi="Arial"/>
                <w:sz w:val="10"/>
                <w:szCs w:val="10"/>
                <w:b w:val="1"/>
                <w:bCs w:val="1"/>
                <w:color w:val="6A1834"/>
              </w:rPr>
              <w:t>AWARD ($) (4)</w:t>
            </w:r>
          </w:p>
        </w:tc>
        <w:tc>
          <w:tcPr>
            <w:tcW w:w="0" w:type="dxa"/>
            <w:vAlign w:val="bottom"/>
          </w:tcPr>
          <w:p>
            <w:pPr>
              <w:spacing w:after="0"/>
              <w:rPr>
                <w:sz w:val="1"/>
                <w:szCs w:val="1"/>
                <w:color w:val="auto"/>
              </w:rPr>
            </w:pPr>
          </w:p>
        </w:tc>
      </w:tr>
      <w:tr>
        <w:trPr>
          <w:trHeight w:val="48"/>
        </w:trPr>
        <w:tc>
          <w:tcPr>
            <w:tcW w:w="5120" w:type="dxa"/>
            <w:vAlign w:val="bottom"/>
            <w:tcBorders>
              <w:right w:val="single" w:sz="8" w:color="A8BCBF"/>
            </w:tcBorders>
          </w:tcPr>
          <w:p>
            <w:pPr>
              <w:spacing w:after="0"/>
              <w:rPr>
                <w:sz w:val="4"/>
                <w:szCs w:val="4"/>
                <w:color w:val="auto"/>
              </w:rPr>
            </w:pPr>
          </w:p>
        </w:tc>
        <w:tc>
          <w:tcPr>
            <w:tcW w:w="1540" w:type="dxa"/>
            <w:vAlign w:val="bottom"/>
            <w:tcBorders>
              <w:right w:val="single" w:sz="8" w:color="A8BCBF"/>
            </w:tcBorders>
          </w:tcPr>
          <w:p>
            <w:pPr>
              <w:spacing w:after="0"/>
              <w:rPr>
                <w:sz w:val="4"/>
                <w:szCs w:val="4"/>
                <w:color w:val="auto"/>
              </w:rPr>
            </w:pPr>
          </w:p>
        </w:tc>
        <w:tc>
          <w:tcPr>
            <w:tcW w:w="940" w:type="dxa"/>
            <w:vAlign w:val="bottom"/>
            <w:tcBorders>
              <w:right w:val="single" w:sz="8" w:color="A8BCBF"/>
            </w:tcBorders>
          </w:tcPr>
          <w:p>
            <w:pPr>
              <w:spacing w:after="0"/>
              <w:rPr>
                <w:sz w:val="4"/>
                <w:szCs w:val="4"/>
                <w:color w:val="auto"/>
              </w:rPr>
            </w:pPr>
          </w:p>
        </w:tc>
        <w:tc>
          <w:tcPr>
            <w:tcW w:w="980" w:type="dxa"/>
            <w:vAlign w:val="bottom"/>
            <w:tcBorders>
              <w:right w:val="single" w:sz="8" w:color="A8BCBF"/>
            </w:tcBorders>
          </w:tcPr>
          <w:p>
            <w:pPr>
              <w:spacing w:after="0"/>
              <w:rPr>
                <w:sz w:val="4"/>
                <w:szCs w:val="4"/>
                <w:color w:val="auto"/>
              </w:rPr>
            </w:pPr>
          </w:p>
        </w:tc>
        <w:tc>
          <w:tcPr>
            <w:tcW w:w="960" w:type="dxa"/>
            <w:vAlign w:val="bottom"/>
            <w:tcBorders>
              <w:right w:val="single" w:sz="8" w:color="A8BCBF"/>
            </w:tcBorders>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5120" w:type="dxa"/>
            <w:vAlign w:val="bottom"/>
            <w:tcBorders>
              <w:bottom w:val="single" w:sz="8" w:color="E1D0D6"/>
              <w:right w:val="single" w:sz="8" w:color="A8BCBF"/>
            </w:tcBorders>
            <w:shd w:val="clear" w:color="auto" w:fill="E1D0D6"/>
          </w:tcPr>
          <w:p>
            <w:pPr>
              <w:ind w:left="60"/>
              <w:spacing w:after="0"/>
              <w:rPr>
                <w:sz w:val="20"/>
                <w:szCs w:val="20"/>
                <w:color w:val="auto"/>
              </w:rPr>
            </w:pPr>
            <w:r>
              <w:rPr>
                <w:rFonts w:ascii="Arial" w:cs="Arial" w:eastAsia="Arial" w:hAnsi="Arial"/>
                <w:sz w:val="17"/>
                <w:szCs w:val="17"/>
                <w:color w:val="auto"/>
              </w:rPr>
              <w:t>Craig S. Billings</w:t>
            </w:r>
          </w:p>
        </w:tc>
        <w:tc>
          <w:tcPr>
            <w:tcW w:w="1540" w:type="dxa"/>
            <w:vAlign w:val="bottom"/>
            <w:tcBorders>
              <w:bottom w:val="single" w:sz="8" w:color="E1D0D6"/>
              <w:right w:val="single" w:sz="8" w:color="A8BCBF"/>
            </w:tcBorders>
            <w:shd w:val="clear" w:color="auto" w:fill="E1D0D6"/>
          </w:tcPr>
          <w:p>
            <w:pPr>
              <w:jc w:val="center"/>
              <w:spacing w:after="0"/>
              <w:rPr>
                <w:sz w:val="20"/>
                <w:szCs w:val="20"/>
                <w:color w:val="auto"/>
              </w:rPr>
            </w:pPr>
            <w:r>
              <w:rPr>
                <w:rFonts w:ascii="Arial" w:cs="Arial" w:eastAsia="Arial" w:hAnsi="Arial"/>
                <w:sz w:val="17"/>
                <w:szCs w:val="17"/>
                <w:color w:val="auto"/>
              </w:rPr>
              <w:t>January 12, 2023</w:t>
            </w:r>
          </w:p>
        </w:tc>
        <w:tc>
          <w:tcPr>
            <w:tcW w:w="940" w:type="dxa"/>
            <w:vAlign w:val="bottom"/>
            <w:tcBorders>
              <w:bottom w:val="single" w:sz="8" w:color="E1D0D6"/>
              <w:right w:val="single" w:sz="8" w:color="A8BCBF"/>
            </w:tcBorders>
            <w:shd w:val="clear" w:color="auto" w:fill="E1D0D6"/>
          </w:tcPr>
          <w:p>
            <w:pPr>
              <w:jc w:val="right"/>
              <w:ind w:right="111"/>
              <w:spacing w:after="0"/>
              <w:rPr>
                <w:sz w:val="20"/>
                <w:szCs w:val="20"/>
                <w:color w:val="auto"/>
              </w:rPr>
            </w:pPr>
            <w:r>
              <w:rPr>
                <w:rFonts w:ascii="Arial" w:cs="Arial" w:eastAsia="Arial" w:hAnsi="Arial"/>
                <w:sz w:val="17"/>
                <w:szCs w:val="17"/>
                <w:color w:val="auto"/>
              </w:rPr>
              <w:t>37,649</w:t>
            </w:r>
          </w:p>
        </w:tc>
        <w:tc>
          <w:tcPr>
            <w:tcW w:w="980" w:type="dxa"/>
            <w:vAlign w:val="bottom"/>
            <w:tcBorders>
              <w:bottom w:val="single" w:sz="8" w:color="E1D0D6"/>
              <w:right w:val="single" w:sz="8" w:color="A8BCBF"/>
            </w:tcBorders>
            <w:shd w:val="clear" w:color="auto" w:fill="E1D0D6"/>
          </w:tcPr>
          <w:p>
            <w:pPr>
              <w:jc w:val="right"/>
              <w:ind w:right="113"/>
              <w:spacing w:after="0"/>
              <w:rPr>
                <w:sz w:val="20"/>
                <w:szCs w:val="20"/>
                <w:color w:val="auto"/>
              </w:rPr>
            </w:pPr>
            <w:r>
              <w:rPr>
                <w:rFonts w:ascii="Arial" w:cs="Arial" w:eastAsia="Arial" w:hAnsi="Arial"/>
                <w:sz w:val="17"/>
                <w:szCs w:val="17"/>
                <w:color w:val="auto"/>
              </w:rPr>
              <w:t>25,099</w:t>
            </w:r>
          </w:p>
        </w:tc>
        <w:tc>
          <w:tcPr>
            <w:tcW w:w="960" w:type="dxa"/>
            <w:vAlign w:val="bottom"/>
            <w:tcBorders>
              <w:bottom w:val="single" w:sz="8" w:color="E1D0D6"/>
              <w:right w:val="single" w:sz="8" w:color="A8BCBF"/>
            </w:tcBorders>
            <w:shd w:val="clear" w:color="auto" w:fill="E1D0D6"/>
          </w:tcPr>
          <w:p>
            <w:pPr>
              <w:jc w:val="right"/>
              <w:ind w:right="111"/>
              <w:spacing w:after="0"/>
              <w:rPr>
                <w:sz w:val="20"/>
                <w:szCs w:val="20"/>
                <w:color w:val="auto"/>
              </w:rPr>
            </w:pPr>
            <w:r>
              <w:rPr>
                <w:rFonts w:ascii="Arial" w:cs="Arial" w:eastAsia="Arial" w:hAnsi="Arial"/>
                <w:sz w:val="17"/>
                <w:szCs w:val="17"/>
                <w:color w:val="auto"/>
              </w:rPr>
              <w:t>20,916</w:t>
            </w:r>
          </w:p>
        </w:tc>
        <w:tc>
          <w:tcPr>
            <w:tcW w:w="1080" w:type="dxa"/>
            <w:vAlign w:val="bottom"/>
            <w:tcBorders>
              <w:bottom w:val="single" w:sz="8" w:color="E1D0D6"/>
            </w:tcBorders>
            <w:shd w:val="clear" w:color="auto" w:fill="E1D0D6"/>
          </w:tcPr>
          <w:p>
            <w:pPr>
              <w:jc w:val="center"/>
              <w:spacing w:after="0"/>
              <w:rPr>
                <w:sz w:val="20"/>
                <w:szCs w:val="20"/>
                <w:color w:val="auto"/>
              </w:rPr>
            </w:pPr>
            <w:r>
              <w:rPr>
                <w:rFonts w:ascii="Arial" w:cs="Arial" w:eastAsia="Arial" w:hAnsi="Arial"/>
                <w:sz w:val="17"/>
                <w:szCs w:val="17"/>
                <w:color w:val="auto"/>
              </w:rPr>
              <w:t>$8,250,000</w:t>
            </w:r>
          </w:p>
        </w:tc>
        <w:tc>
          <w:tcPr>
            <w:tcW w:w="0" w:type="dxa"/>
            <w:vAlign w:val="bottom"/>
          </w:tcPr>
          <w:p>
            <w:pPr>
              <w:spacing w:after="0"/>
              <w:rPr>
                <w:sz w:val="1"/>
                <w:szCs w:val="1"/>
                <w:color w:val="auto"/>
              </w:rPr>
            </w:pPr>
          </w:p>
        </w:tc>
      </w:tr>
      <w:tr>
        <w:trPr>
          <w:trHeight w:val="247"/>
        </w:trPr>
        <w:tc>
          <w:tcPr>
            <w:tcW w:w="5120" w:type="dxa"/>
            <w:vAlign w:val="bottom"/>
            <w:tcBorders>
              <w:right w:val="single" w:sz="8" w:color="A8BCBF"/>
            </w:tcBorders>
          </w:tcPr>
          <w:p>
            <w:pPr>
              <w:ind w:left="60"/>
              <w:spacing w:after="0"/>
              <w:rPr>
                <w:sz w:val="20"/>
                <w:szCs w:val="20"/>
                <w:color w:val="auto"/>
              </w:rPr>
            </w:pPr>
            <w:r>
              <w:rPr>
                <w:rFonts w:ascii="Arial" w:cs="Arial" w:eastAsia="Arial" w:hAnsi="Arial"/>
                <w:sz w:val="17"/>
                <w:szCs w:val="17"/>
                <w:color w:val="auto"/>
              </w:rPr>
              <w:t>Julie M. Cameron-Doe</w:t>
            </w:r>
          </w:p>
        </w:tc>
        <w:tc>
          <w:tcPr>
            <w:tcW w:w="1540" w:type="dxa"/>
            <w:vAlign w:val="bottom"/>
            <w:tcBorders>
              <w:right w:val="single" w:sz="8" w:color="A8BCBF"/>
            </w:tcBorders>
          </w:tcPr>
          <w:p>
            <w:pPr>
              <w:jc w:val="center"/>
              <w:spacing w:after="0"/>
              <w:rPr>
                <w:sz w:val="20"/>
                <w:szCs w:val="20"/>
                <w:color w:val="auto"/>
              </w:rPr>
            </w:pPr>
            <w:r>
              <w:rPr>
                <w:rFonts w:ascii="Arial" w:cs="Arial" w:eastAsia="Arial" w:hAnsi="Arial"/>
                <w:sz w:val="17"/>
                <w:szCs w:val="17"/>
                <w:color w:val="auto"/>
              </w:rPr>
              <w:t>January 12, 2023</w:t>
            </w:r>
          </w:p>
        </w:tc>
        <w:tc>
          <w:tcPr>
            <w:tcW w:w="940" w:type="dxa"/>
            <w:vAlign w:val="bottom"/>
            <w:tcBorders>
              <w:right w:val="single" w:sz="8" w:color="A8BCBF"/>
            </w:tcBorders>
          </w:tcPr>
          <w:p>
            <w:pPr>
              <w:jc w:val="right"/>
              <w:ind w:right="111"/>
              <w:spacing w:after="0"/>
              <w:rPr>
                <w:sz w:val="20"/>
                <w:szCs w:val="20"/>
                <w:color w:val="auto"/>
              </w:rPr>
            </w:pPr>
            <w:r>
              <w:rPr>
                <w:rFonts w:ascii="Arial" w:cs="Arial" w:eastAsia="Arial" w:hAnsi="Arial"/>
                <w:sz w:val="17"/>
                <w:szCs w:val="17"/>
                <w:color w:val="auto"/>
              </w:rPr>
              <w:t>7,188</w:t>
            </w:r>
          </w:p>
        </w:tc>
        <w:tc>
          <w:tcPr>
            <w:tcW w:w="980" w:type="dxa"/>
            <w:vAlign w:val="bottom"/>
            <w:tcBorders>
              <w:right w:val="single" w:sz="8" w:color="A8BCBF"/>
            </w:tcBorders>
          </w:tcPr>
          <w:p>
            <w:pPr>
              <w:jc w:val="right"/>
              <w:ind w:right="113"/>
              <w:spacing w:after="0"/>
              <w:rPr>
                <w:sz w:val="20"/>
                <w:szCs w:val="20"/>
                <w:color w:val="auto"/>
              </w:rPr>
            </w:pPr>
            <w:r>
              <w:rPr>
                <w:rFonts w:ascii="Arial" w:cs="Arial" w:eastAsia="Arial" w:hAnsi="Arial"/>
                <w:sz w:val="17"/>
                <w:szCs w:val="17"/>
                <w:color w:val="auto"/>
              </w:rPr>
              <w:t>4,791</w:t>
            </w:r>
          </w:p>
        </w:tc>
        <w:tc>
          <w:tcPr>
            <w:tcW w:w="960" w:type="dxa"/>
            <w:vAlign w:val="bottom"/>
            <w:tcBorders>
              <w:right w:val="single" w:sz="8" w:color="A8BCBF"/>
            </w:tcBorders>
          </w:tcPr>
          <w:p>
            <w:pPr>
              <w:jc w:val="right"/>
              <w:ind w:right="111"/>
              <w:spacing w:after="0"/>
              <w:rPr>
                <w:sz w:val="20"/>
                <w:szCs w:val="20"/>
                <w:color w:val="auto"/>
              </w:rPr>
            </w:pPr>
            <w:r>
              <w:rPr>
                <w:rFonts w:ascii="Arial" w:cs="Arial" w:eastAsia="Arial" w:hAnsi="Arial"/>
                <w:sz w:val="17"/>
                <w:szCs w:val="17"/>
                <w:color w:val="auto"/>
              </w:rPr>
              <w:t>3,994</w:t>
            </w:r>
          </w:p>
        </w:tc>
        <w:tc>
          <w:tcPr>
            <w:tcW w:w="1080" w:type="dxa"/>
            <w:vAlign w:val="bottom"/>
          </w:tcPr>
          <w:p>
            <w:pPr>
              <w:jc w:val="center"/>
              <w:spacing w:after="0"/>
              <w:rPr>
                <w:sz w:val="20"/>
                <w:szCs w:val="20"/>
                <w:color w:val="auto"/>
              </w:rPr>
            </w:pPr>
            <w:r>
              <w:rPr>
                <w:rFonts w:ascii="Arial" w:cs="Arial" w:eastAsia="Arial" w:hAnsi="Arial"/>
                <w:sz w:val="17"/>
                <w:szCs w:val="17"/>
                <w:color w:val="auto"/>
              </w:rPr>
              <w:t>$1,575,000</w:t>
            </w:r>
          </w:p>
        </w:tc>
        <w:tc>
          <w:tcPr>
            <w:tcW w:w="0" w:type="dxa"/>
            <w:vAlign w:val="bottom"/>
          </w:tcPr>
          <w:p>
            <w:pPr>
              <w:spacing w:after="0"/>
              <w:rPr>
                <w:sz w:val="1"/>
                <w:szCs w:val="1"/>
                <w:color w:val="auto"/>
              </w:rPr>
            </w:pPr>
          </w:p>
        </w:tc>
      </w:tr>
      <w:tr>
        <w:trPr>
          <w:trHeight w:val="52"/>
        </w:trPr>
        <w:tc>
          <w:tcPr>
            <w:tcW w:w="5120" w:type="dxa"/>
            <w:vAlign w:val="bottom"/>
            <w:tcBorders>
              <w:right w:val="single" w:sz="8" w:color="A8BCBF"/>
            </w:tcBorders>
          </w:tcPr>
          <w:p>
            <w:pPr>
              <w:spacing w:after="0"/>
              <w:rPr>
                <w:sz w:val="4"/>
                <w:szCs w:val="4"/>
                <w:color w:val="auto"/>
              </w:rPr>
            </w:pPr>
          </w:p>
        </w:tc>
        <w:tc>
          <w:tcPr>
            <w:tcW w:w="1540" w:type="dxa"/>
            <w:vAlign w:val="bottom"/>
            <w:tcBorders>
              <w:right w:val="single" w:sz="8" w:color="A8BCBF"/>
            </w:tcBorders>
          </w:tcPr>
          <w:p>
            <w:pPr>
              <w:spacing w:after="0"/>
              <w:rPr>
                <w:sz w:val="4"/>
                <w:szCs w:val="4"/>
                <w:color w:val="auto"/>
              </w:rPr>
            </w:pPr>
          </w:p>
        </w:tc>
        <w:tc>
          <w:tcPr>
            <w:tcW w:w="940" w:type="dxa"/>
            <w:vAlign w:val="bottom"/>
            <w:tcBorders>
              <w:right w:val="single" w:sz="8" w:color="A8BCBF"/>
            </w:tcBorders>
          </w:tcPr>
          <w:p>
            <w:pPr>
              <w:spacing w:after="0"/>
              <w:rPr>
                <w:sz w:val="4"/>
                <w:szCs w:val="4"/>
                <w:color w:val="auto"/>
              </w:rPr>
            </w:pPr>
          </w:p>
        </w:tc>
        <w:tc>
          <w:tcPr>
            <w:tcW w:w="980" w:type="dxa"/>
            <w:vAlign w:val="bottom"/>
            <w:tcBorders>
              <w:right w:val="single" w:sz="8" w:color="A8BCBF"/>
            </w:tcBorders>
          </w:tcPr>
          <w:p>
            <w:pPr>
              <w:spacing w:after="0"/>
              <w:rPr>
                <w:sz w:val="4"/>
                <w:szCs w:val="4"/>
                <w:color w:val="auto"/>
              </w:rPr>
            </w:pPr>
          </w:p>
        </w:tc>
        <w:tc>
          <w:tcPr>
            <w:tcW w:w="960" w:type="dxa"/>
            <w:vAlign w:val="bottom"/>
            <w:tcBorders>
              <w:right w:val="single" w:sz="8" w:color="A8BCBF"/>
            </w:tcBorders>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5120" w:type="dxa"/>
            <w:vAlign w:val="bottom"/>
            <w:tcBorders>
              <w:right w:val="single" w:sz="8" w:color="A8BCBF"/>
            </w:tcBorders>
            <w:shd w:val="clear" w:color="auto" w:fill="E1D0D6"/>
          </w:tcPr>
          <w:p>
            <w:pPr>
              <w:ind w:left="60"/>
              <w:spacing w:after="0"/>
              <w:rPr>
                <w:sz w:val="20"/>
                <w:szCs w:val="20"/>
                <w:color w:val="auto"/>
              </w:rPr>
            </w:pPr>
            <w:r>
              <w:rPr>
                <w:rFonts w:ascii="Arial" w:cs="Arial" w:eastAsia="Arial" w:hAnsi="Arial"/>
                <w:sz w:val="17"/>
                <w:szCs w:val="17"/>
                <w:color w:val="auto"/>
              </w:rPr>
              <w:t>Ellen F. Whittemore</w:t>
            </w:r>
          </w:p>
        </w:tc>
        <w:tc>
          <w:tcPr>
            <w:tcW w:w="1540" w:type="dxa"/>
            <w:vAlign w:val="bottom"/>
            <w:tcBorders>
              <w:right w:val="single" w:sz="8" w:color="A8BCBF"/>
            </w:tcBorders>
            <w:shd w:val="clear" w:color="auto" w:fill="E1D0D6"/>
          </w:tcPr>
          <w:p>
            <w:pPr>
              <w:jc w:val="center"/>
              <w:spacing w:after="0"/>
              <w:rPr>
                <w:sz w:val="20"/>
                <w:szCs w:val="20"/>
                <w:color w:val="auto"/>
              </w:rPr>
            </w:pPr>
            <w:r>
              <w:rPr>
                <w:rFonts w:ascii="Arial" w:cs="Arial" w:eastAsia="Arial" w:hAnsi="Arial"/>
                <w:sz w:val="17"/>
                <w:szCs w:val="17"/>
                <w:color w:val="auto"/>
              </w:rPr>
              <w:t>January 12, 2023</w:t>
            </w:r>
          </w:p>
        </w:tc>
        <w:tc>
          <w:tcPr>
            <w:tcW w:w="940" w:type="dxa"/>
            <w:vAlign w:val="bottom"/>
            <w:tcBorders>
              <w:right w:val="single" w:sz="8" w:color="A8BCBF"/>
            </w:tcBorders>
            <w:shd w:val="clear" w:color="auto" w:fill="E1D0D6"/>
          </w:tcPr>
          <w:p>
            <w:pPr>
              <w:jc w:val="right"/>
              <w:ind w:right="111"/>
              <w:spacing w:after="0"/>
              <w:rPr>
                <w:sz w:val="20"/>
                <w:szCs w:val="20"/>
                <w:color w:val="auto"/>
              </w:rPr>
            </w:pPr>
            <w:r>
              <w:rPr>
                <w:rFonts w:ascii="Arial" w:cs="Arial" w:eastAsia="Arial" w:hAnsi="Arial"/>
                <w:sz w:val="17"/>
                <w:szCs w:val="17"/>
                <w:color w:val="auto"/>
              </w:rPr>
              <w:t>7,556</w:t>
            </w:r>
          </w:p>
        </w:tc>
        <w:tc>
          <w:tcPr>
            <w:tcW w:w="980" w:type="dxa"/>
            <w:vAlign w:val="bottom"/>
            <w:tcBorders>
              <w:right w:val="single" w:sz="8" w:color="A8BCBF"/>
            </w:tcBorders>
            <w:shd w:val="clear" w:color="auto" w:fill="E1D0D6"/>
          </w:tcPr>
          <w:p>
            <w:pPr>
              <w:jc w:val="right"/>
              <w:ind w:right="113"/>
              <w:spacing w:after="0"/>
              <w:rPr>
                <w:sz w:val="20"/>
                <w:szCs w:val="20"/>
                <w:color w:val="auto"/>
              </w:rPr>
            </w:pPr>
            <w:r>
              <w:rPr>
                <w:rFonts w:ascii="Arial" w:cs="Arial" w:eastAsia="Arial" w:hAnsi="Arial"/>
                <w:sz w:val="17"/>
                <w:szCs w:val="17"/>
                <w:color w:val="auto"/>
              </w:rPr>
              <w:t>9,235</w:t>
            </w:r>
          </w:p>
        </w:tc>
        <w:tc>
          <w:tcPr>
            <w:tcW w:w="960" w:type="dxa"/>
            <w:vAlign w:val="bottom"/>
            <w:tcBorders>
              <w:right w:val="single" w:sz="8" w:color="A8BCBF"/>
            </w:tcBorders>
            <w:shd w:val="clear" w:color="auto" w:fill="E1D0D6"/>
          </w:tcPr>
          <w:p>
            <w:pPr>
              <w:jc w:val="right"/>
              <w:ind w:right="131"/>
              <w:spacing w:after="0"/>
              <w:rPr>
                <w:sz w:val="20"/>
                <w:szCs w:val="20"/>
                <w:color w:val="auto"/>
              </w:rPr>
            </w:pPr>
            <w:r>
              <w:rPr>
                <w:rFonts w:ascii="Arial" w:cs="Arial" w:eastAsia="Arial" w:hAnsi="Arial"/>
                <w:sz w:val="17"/>
                <w:szCs w:val="17"/>
                <w:color w:val="auto"/>
              </w:rPr>
              <w:t>-</w:t>
            </w:r>
          </w:p>
        </w:tc>
        <w:tc>
          <w:tcPr>
            <w:tcW w:w="1080" w:type="dxa"/>
            <w:vAlign w:val="bottom"/>
            <w:shd w:val="clear" w:color="auto" w:fill="E1D0D6"/>
          </w:tcPr>
          <w:p>
            <w:pPr>
              <w:jc w:val="center"/>
              <w:spacing w:after="0"/>
              <w:rPr>
                <w:sz w:val="20"/>
                <w:szCs w:val="20"/>
                <w:color w:val="auto"/>
              </w:rPr>
            </w:pPr>
            <w:r>
              <w:rPr>
                <w:rFonts w:ascii="Arial" w:cs="Arial" w:eastAsia="Arial" w:hAnsi="Arial"/>
                <w:sz w:val="17"/>
                <w:szCs w:val="17"/>
                <w:color w:val="auto"/>
              </w:rPr>
              <w:t>$1,655,640</w:t>
            </w:r>
          </w:p>
        </w:tc>
        <w:tc>
          <w:tcPr>
            <w:tcW w:w="0" w:type="dxa"/>
            <w:vAlign w:val="bottom"/>
          </w:tcPr>
          <w:p>
            <w:pPr>
              <w:spacing w:after="0"/>
              <w:rPr>
                <w:sz w:val="1"/>
                <w:szCs w:val="1"/>
                <w:color w:val="auto"/>
              </w:rPr>
            </w:pPr>
          </w:p>
        </w:tc>
      </w:tr>
      <w:tr>
        <w:trPr>
          <w:trHeight w:val="52"/>
        </w:trPr>
        <w:tc>
          <w:tcPr>
            <w:tcW w:w="5120" w:type="dxa"/>
            <w:vAlign w:val="bottom"/>
            <w:tcBorders>
              <w:right w:val="single" w:sz="8" w:color="A8BCBF"/>
            </w:tcBorders>
            <w:shd w:val="clear" w:color="auto" w:fill="E1D0D6"/>
          </w:tcPr>
          <w:p>
            <w:pPr>
              <w:spacing w:after="0"/>
              <w:rPr>
                <w:sz w:val="4"/>
                <w:szCs w:val="4"/>
                <w:color w:val="auto"/>
              </w:rPr>
            </w:pPr>
          </w:p>
        </w:tc>
        <w:tc>
          <w:tcPr>
            <w:tcW w:w="1540" w:type="dxa"/>
            <w:vAlign w:val="bottom"/>
            <w:tcBorders>
              <w:right w:val="single" w:sz="8" w:color="A8BCBF"/>
            </w:tcBorders>
            <w:shd w:val="clear" w:color="auto" w:fill="E1D0D6"/>
          </w:tcPr>
          <w:p>
            <w:pPr>
              <w:spacing w:after="0"/>
              <w:rPr>
                <w:sz w:val="4"/>
                <w:szCs w:val="4"/>
                <w:color w:val="auto"/>
              </w:rPr>
            </w:pPr>
          </w:p>
        </w:tc>
        <w:tc>
          <w:tcPr>
            <w:tcW w:w="940" w:type="dxa"/>
            <w:vAlign w:val="bottom"/>
            <w:tcBorders>
              <w:right w:val="single" w:sz="8" w:color="A8BCBF"/>
            </w:tcBorders>
            <w:shd w:val="clear" w:color="auto" w:fill="E1D0D6"/>
          </w:tcPr>
          <w:p>
            <w:pPr>
              <w:spacing w:after="0"/>
              <w:rPr>
                <w:sz w:val="4"/>
                <w:szCs w:val="4"/>
                <w:color w:val="auto"/>
              </w:rPr>
            </w:pPr>
          </w:p>
        </w:tc>
        <w:tc>
          <w:tcPr>
            <w:tcW w:w="980" w:type="dxa"/>
            <w:vAlign w:val="bottom"/>
            <w:tcBorders>
              <w:right w:val="single" w:sz="8" w:color="A8BCBF"/>
            </w:tcBorders>
            <w:shd w:val="clear" w:color="auto" w:fill="E1D0D6"/>
          </w:tcPr>
          <w:p>
            <w:pPr>
              <w:spacing w:after="0"/>
              <w:rPr>
                <w:sz w:val="4"/>
                <w:szCs w:val="4"/>
                <w:color w:val="auto"/>
              </w:rPr>
            </w:pPr>
          </w:p>
        </w:tc>
        <w:tc>
          <w:tcPr>
            <w:tcW w:w="960" w:type="dxa"/>
            <w:vAlign w:val="bottom"/>
            <w:tcBorders>
              <w:right w:val="single" w:sz="8" w:color="A8BCBF"/>
            </w:tcBorders>
            <w:shd w:val="clear" w:color="auto" w:fill="E1D0D6"/>
          </w:tcPr>
          <w:p>
            <w:pPr>
              <w:spacing w:after="0"/>
              <w:rPr>
                <w:sz w:val="4"/>
                <w:szCs w:val="4"/>
                <w:color w:val="auto"/>
              </w:rPr>
            </w:pPr>
          </w:p>
        </w:tc>
        <w:tc>
          <w:tcPr>
            <w:tcW w:w="1080" w:type="dxa"/>
            <w:vAlign w:val="bottom"/>
            <w:shd w:val="clear" w:color="auto" w:fill="E1D0D6"/>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right="40" w:hanging="4"/>
        <w:spacing w:after="0" w:line="239" w:lineRule="auto"/>
        <w:tabs>
          <w:tab w:leader="none" w:pos="502" w:val="left"/>
        </w:tabs>
        <w:numPr>
          <w:ilvl w:val="0"/>
          <w:numId w:val="31"/>
        </w:numPr>
        <w:rPr>
          <w:rFonts w:ascii="Arial" w:cs="Arial" w:eastAsia="Arial" w:hAnsi="Arial"/>
          <w:sz w:val="12"/>
          <w:szCs w:val="12"/>
          <w:color w:val="auto"/>
        </w:rPr>
      </w:pPr>
      <w:r>
        <w:rPr>
          <w:rFonts w:ascii="Arial" w:cs="Arial" w:eastAsia="Arial" w:hAnsi="Arial"/>
          <w:sz w:val="12"/>
          <w:szCs w:val="12"/>
          <w:color w:val="auto"/>
        </w:rPr>
        <w:t>Except as otherwise described in the section titled “Potential Payments Upon Termination or Change in Control,” such restricted stock award vests ratably over three years on each anniversary of the grant date, subject to continued employment through such vesting date.</w:t>
      </w:r>
    </w:p>
    <w:p>
      <w:pPr>
        <w:spacing w:after="0" w:line="89" w:lineRule="exact"/>
        <w:rPr>
          <w:rFonts w:ascii="Arial" w:cs="Arial" w:eastAsia="Arial" w:hAnsi="Arial"/>
          <w:sz w:val="12"/>
          <w:szCs w:val="12"/>
          <w:color w:val="auto"/>
        </w:rPr>
      </w:pPr>
    </w:p>
    <w:p>
      <w:pPr>
        <w:ind w:left="320" w:right="20" w:hanging="4"/>
        <w:spacing w:after="0" w:line="233" w:lineRule="auto"/>
        <w:tabs>
          <w:tab w:leader="none" w:pos="502" w:val="left"/>
        </w:tabs>
        <w:numPr>
          <w:ilvl w:val="0"/>
          <w:numId w:val="31"/>
        </w:numPr>
        <w:rPr>
          <w:rFonts w:ascii="Arial" w:cs="Arial" w:eastAsia="Arial" w:hAnsi="Arial"/>
          <w:sz w:val="12"/>
          <w:szCs w:val="12"/>
          <w:color w:val="auto"/>
        </w:rPr>
      </w:pPr>
      <w:r>
        <w:rPr>
          <w:rFonts w:ascii="Arial" w:cs="Arial" w:eastAsia="Arial" w:hAnsi="Arial"/>
          <w:sz w:val="12"/>
          <w:szCs w:val="12"/>
          <w:color w:val="auto"/>
        </w:rPr>
        <w:t>Except as otherwise described in the section titled “Potential Payments Upon Termination or Change in Control,” such restricted stock award vests ratably over three years on each of the dates of February 28 in the three successive years, based on achievement of pre-established financial performance goals, subject to continued employment through such vesting date, except in the case of Ms. Whittemore, which is subject to performing service during any performance period and will continue to vest on the original vesting date if performance criteria are met even if Ms. Whittemore is no longer employed by the Company under certain conditions.</w:t>
      </w:r>
    </w:p>
    <w:p>
      <w:pPr>
        <w:spacing w:after="0" w:line="88" w:lineRule="exact"/>
        <w:rPr>
          <w:rFonts w:ascii="Arial" w:cs="Arial" w:eastAsia="Arial" w:hAnsi="Arial"/>
          <w:sz w:val="12"/>
          <w:szCs w:val="12"/>
          <w:color w:val="auto"/>
        </w:rPr>
      </w:pPr>
    </w:p>
    <w:p>
      <w:pPr>
        <w:ind w:left="320" w:right="20" w:hanging="4"/>
        <w:spacing w:after="0" w:line="230" w:lineRule="auto"/>
        <w:tabs>
          <w:tab w:leader="none" w:pos="502"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the grant of performance share units (“PSUs”) pursuant to the Plan. Each PSU represents the right to receive between 0 and 1.6 shares of Company common stock depending on the performance of the common stock from January 1, 2023 to January 1, 2026 (the “ PSU Vesting Date”), with such performance determined as the multiple of the volume-weighted average closing price (“VWAP”) of Company common stock over the 60-trading day period ending on the PSU Vesting Date, as adjusted to include dividends paid during the term of the PSU, to the VWAP of Company common stock over the 60-trading day period ending on January 1, 2023 (“TSR”), which was $70.21. Threshold performance is achieved if TSR is greater than or equal to -25% but less than 0% and results in a 60% payout. Below Target performance is achieved if TSR is greater than or equal to 0% but less than 25% and results in an 80% payout. Target performance is achieved if TSR is greater than or equal to 25% but less than 50% and results in a 100% payout. Below Maximum performance is achieved if TSR is greater than or equal to 50% but less than 100% and results in a 120% payout. Maximum performance is achieved if TSR is greater than or equal to 100% and results in a 160% payout.</w:t>
      </w:r>
    </w:p>
    <w:p>
      <w:pPr>
        <w:spacing w:after="0" w:line="89" w:lineRule="exact"/>
        <w:rPr>
          <w:rFonts w:ascii="Arial" w:cs="Arial" w:eastAsia="Arial" w:hAnsi="Arial"/>
          <w:sz w:val="12"/>
          <w:szCs w:val="12"/>
          <w:color w:val="auto"/>
        </w:rPr>
      </w:pPr>
    </w:p>
    <w:p>
      <w:pPr>
        <w:ind w:left="320" w:right="40" w:hanging="4"/>
        <w:spacing w:after="0" w:line="239" w:lineRule="auto"/>
        <w:tabs>
          <w:tab w:leader="none" w:pos="502"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amounts set forth in this column reflect the aggregate grant date fair value of stock awards computed in accordance with FASB ASC Topic 718. Performance awards are included in this table at target.</w:t>
      </w:r>
    </w:p>
    <w:p>
      <w:pPr>
        <w:spacing w:after="0" w:line="172" w:lineRule="exact"/>
        <w:rPr>
          <w:sz w:val="20"/>
          <w:szCs w:val="20"/>
          <w:color w:val="auto"/>
        </w:rPr>
      </w:pPr>
    </w:p>
    <w:p>
      <w:pPr>
        <w:ind w:left="320" w:right="100"/>
        <w:spacing w:after="0" w:line="241" w:lineRule="auto"/>
        <w:rPr>
          <w:sz w:val="20"/>
          <w:szCs w:val="20"/>
          <w:color w:val="auto"/>
        </w:rPr>
      </w:pPr>
      <w:r>
        <w:rPr>
          <w:rFonts w:ascii="Arial" w:cs="Arial" w:eastAsia="Arial" w:hAnsi="Arial"/>
          <w:sz w:val="17"/>
          <w:szCs w:val="17"/>
          <w:color w:val="6A1834"/>
        </w:rPr>
        <w:t xml:space="preserve">EXECUTIVE BENEFITS: </w:t>
      </w:r>
      <w:r>
        <w:rPr>
          <w:rFonts w:ascii="Arial" w:cs="Arial" w:eastAsia="Arial" w:hAnsi="Arial"/>
          <w:sz w:val="17"/>
          <w:szCs w:val="17"/>
          <w:color w:val="000000"/>
        </w:rPr>
        <w:t>We provide our NEOs with benefits that we believe are reasonable, competitive and consistent with our overall</w:t>
      </w:r>
      <w:r>
        <w:rPr>
          <w:rFonts w:ascii="Arial" w:cs="Arial" w:eastAsia="Arial" w:hAnsi="Arial"/>
          <w:sz w:val="17"/>
          <w:szCs w:val="17"/>
          <w:color w:val="6A1834"/>
        </w:rPr>
        <w:t xml:space="preserve"> </w:t>
      </w:r>
      <w:r>
        <w:rPr>
          <w:rFonts w:ascii="Arial" w:cs="Arial" w:eastAsia="Arial" w:hAnsi="Arial"/>
          <w:sz w:val="17"/>
          <w:szCs w:val="17"/>
          <w:color w:val="000000"/>
        </w:rPr>
        <w:t>executive compensation program. Our executive benefits include certain health insurance coverage, life insurance premiums, and reimbursement of nonresident state income taxes, all of which are described in the footnotes to the “Summary Compensation Table.” We pay nonresident state income taxes imposed on our executives who we required to travel on Company business and perform services in states other than their states of employment. This primarily arose as a result of travel to, and work in, Massachusetts in connection with our Encore Boston Harbor resort. Our reimbursement covers the incremental cost of the nonresident taxes and puts the executives in the same economic position as though they had worked in their normal places of business. The Company does not gross-up or pay any state income taxes that the employees incur on account of work in their normal work locations. In addition, we provide to certain of our executives, including NEOs, employee discounts at certain of our properties’ outlets, complimentary rooms and meals for business purposes, and access to the Company’s aircraft pursuant to time-sharing agreements described in “Certain relationships and transactions —Aircraft Arrangements.”</w:t>
      </w:r>
    </w:p>
    <w:p>
      <w:pPr>
        <w:spacing w:after="0" w:line="156" w:lineRule="exact"/>
        <w:rPr>
          <w:sz w:val="20"/>
          <w:szCs w:val="20"/>
          <w:color w:val="auto"/>
        </w:rPr>
      </w:pPr>
    </w:p>
    <w:p>
      <w:pPr>
        <w:ind w:left="320" w:right="280"/>
        <w:spacing w:after="0" w:line="245" w:lineRule="auto"/>
        <w:rPr>
          <w:sz w:val="20"/>
          <w:szCs w:val="20"/>
          <w:color w:val="auto"/>
        </w:rPr>
      </w:pPr>
      <w:r>
        <w:rPr>
          <w:rFonts w:ascii="Arial" w:cs="Arial" w:eastAsia="Arial" w:hAnsi="Arial"/>
          <w:sz w:val="17"/>
          <w:szCs w:val="17"/>
          <w:color w:val="6A1834"/>
        </w:rPr>
        <w:t xml:space="preserve">PEER GROUP BENCHMARKING: </w:t>
      </w:r>
      <w:r>
        <w:rPr>
          <w:rFonts w:ascii="Arial" w:cs="Arial" w:eastAsia="Arial" w:hAnsi="Arial"/>
          <w:sz w:val="17"/>
          <w:szCs w:val="17"/>
          <w:color w:val="000000"/>
        </w:rPr>
        <w:t>The Compensation Committee believes that it is appropriate to offer competitive total compensation</w:t>
      </w:r>
      <w:r>
        <w:rPr>
          <w:rFonts w:ascii="Arial" w:cs="Arial" w:eastAsia="Arial" w:hAnsi="Arial"/>
          <w:sz w:val="17"/>
          <w:szCs w:val="17"/>
          <w:color w:val="6A1834"/>
        </w:rPr>
        <w:t xml:space="preserve"> </w:t>
      </w:r>
      <w:r>
        <w:rPr>
          <w:rFonts w:ascii="Arial" w:cs="Arial" w:eastAsia="Arial" w:hAnsi="Arial"/>
          <w:sz w:val="17"/>
          <w:szCs w:val="17"/>
          <w:color w:val="000000"/>
        </w:rPr>
        <w:t>packages to senior executive officers to attract and retain top talent in a competitive industry. The compensation peer group allows the Compensation Committee to monitor the compensation practices of our primary competitors for executive talent. The Compensation Committee targets the 50th percentile for the Company’s senior executive officers’ total compensation.</w:t>
      </w:r>
    </w:p>
    <w:p>
      <w:pPr>
        <w:spacing w:after="0" w:line="151" w:lineRule="exact"/>
        <w:rPr>
          <w:sz w:val="20"/>
          <w:szCs w:val="20"/>
          <w:color w:val="auto"/>
        </w:rPr>
      </w:pPr>
    </w:p>
    <w:p>
      <w:pPr>
        <w:ind w:left="320" w:right="140"/>
        <w:spacing w:after="0" w:line="242" w:lineRule="auto"/>
        <w:rPr>
          <w:sz w:val="20"/>
          <w:szCs w:val="20"/>
          <w:color w:val="auto"/>
        </w:rPr>
      </w:pPr>
      <w:r>
        <w:rPr>
          <w:rFonts w:ascii="Arial" w:cs="Arial" w:eastAsia="Arial" w:hAnsi="Arial"/>
          <w:sz w:val="17"/>
          <w:szCs w:val="17"/>
          <w:color w:val="auto"/>
        </w:rPr>
        <w:t>In 2022, as part of our regular review of our compensation programs, as well as in connection with new employment contracts for our NEOs, the Compensation Committee considered peer group data from gaming and other related industries that the Compensation Committee believes reflect the competitive market for executive talent similar to that required by the Company. For 2022, the Compensation Committee modified the 2021 peer group by removing The Estee Lauder Companies Inc., as it was no longer comparable due to the size of the company compared to the rest of the peer group.</w:t>
      </w:r>
    </w:p>
    <w:p>
      <w:pPr>
        <w:spacing w:after="0" w:line="4"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38 //</w:t>
      </w:r>
    </w:p>
    <w:p>
      <w:pPr>
        <w:sectPr>
          <w:pgSz w:w="11900" w:h="16838" w:orient="portrait"/>
          <w:cols w:equalWidth="0" w:num="1">
            <w:col w:w="10940"/>
          </w:cols>
          <w:pgMar w:left="320" w:top="473" w:right="6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auto"/>
        </w:rPr>
        <w:t>Wynn Resorts 2022 executive compensation peer group</w:t>
      </w:r>
    </w:p>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3440" w:type="dxa"/>
            <w:vAlign w:val="bottom"/>
            <w:tcBorders>
              <w:right w:val="single" w:sz="8" w:color="A8BCBF"/>
            </w:tcBorders>
          </w:tcPr>
          <w:p>
            <w:pPr>
              <w:ind w:left="60"/>
              <w:spacing w:after="0"/>
              <w:rPr>
                <w:sz w:val="20"/>
                <w:szCs w:val="20"/>
                <w:color w:val="auto"/>
              </w:rPr>
            </w:pPr>
            <w:r>
              <w:rPr>
                <w:rFonts w:ascii="Arial" w:cs="Arial" w:eastAsia="Arial" w:hAnsi="Arial"/>
                <w:sz w:val="12"/>
                <w:szCs w:val="12"/>
                <w:b w:val="1"/>
                <w:bCs w:val="1"/>
                <w:color w:val="6A1834"/>
              </w:rPr>
              <w:t>GAMING &amp; RESORTS</w:t>
            </w:r>
          </w:p>
        </w:tc>
        <w:tc>
          <w:tcPr>
            <w:tcW w:w="4320" w:type="dxa"/>
            <w:vAlign w:val="bottom"/>
            <w:tcBorders>
              <w:right w:val="single" w:sz="8" w:color="A8BCBF"/>
            </w:tcBorders>
          </w:tcPr>
          <w:p>
            <w:pPr>
              <w:ind w:left="220"/>
              <w:spacing w:after="0"/>
              <w:rPr>
                <w:sz w:val="20"/>
                <w:szCs w:val="20"/>
                <w:color w:val="auto"/>
              </w:rPr>
            </w:pPr>
            <w:r>
              <w:rPr>
                <w:rFonts w:ascii="Arial" w:cs="Arial" w:eastAsia="Arial" w:hAnsi="Arial"/>
                <w:sz w:val="12"/>
                <w:szCs w:val="12"/>
                <w:b w:val="1"/>
                <w:bCs w:val="1"/>
                <w:color w:val="6A1834"/>
              </w:rPr>
              <w:t>TRAVEL, HOSPITALITY &amp; RESORTS</w:t>
            </w:r>
          </w:p>
        </w:tc>
        <w:tc>
          <w:tcPr>
            <w:tcW w:w="2860" w:type="dxa"/>
            <w:vAlign w:val="bottom"/>
          </w:tcPr>
          <w:p>
            <w:pPr>
              <w:ind w:left="180"/>
              <w:spacing w:after="0"/>
              <w:rPr>
                <w:sz w:val="20"/>
                <w:szCs w:val="20"/>
                <w:color w:val="auto"/>
              </w:rPr>
            </w:pPr>
            <w:r>
              <w:rPr>
                <w:rFonts w:ascii="Arial" w:cs="Arial" w:eastAsia="Arial" w:hAnsi="Arial"/>
                <w:sz w:val="12"/>
                <w:szCs w:val="12"/>
                <w:b w:val="1"/>
                <w:bCs w:val="1"/>
                <w:color w:val="6A1834"/>
              </w:rPr>
              <w:t>LIFESTYLE PRODUCTS</w:t>
            </w:r>
          </w:p>
        </w:tc>
      </w:tr>
      <w:tr>
        <w:trPr>
          <w:trHeight w:val="55"/>
        </w:trPr>
        <w:tc>
          <w:tcPr>
            <w:tcW w:w="3440" w:type="dxa"/>
            <w:vAlign w:val="bottom"/>
            <w:tcBorders>
              <w:right w:val="single" w:sz="8" w:color="A8BCBF"/>
            </w:tcBorders>
          </w:tcPr>
          <w:p>
            <w:pPr>
              <w:spacing w:after="0"/>
              <w:rPr>
                <w:sz w:val="4"/>
                <w:szCs w:val="4"/>
                <w:color w:val="auto"/>
              </w:rPr>
            </w:pPr>
          </w:p>
        </w:tc>
        <w:tc>
          <w:tcPr>
            <w:tcW w:w="4320" w:type="dxa"/>
            <w:vAlign w:val="bottom"/>
            <w:tcBorders>
              <w:right w:val="single" w:sz="8" w:color="A8BCBF"/>
            </w:tcBorders>
          </w:tcPr>
          <w:p>
            <w:pPr>
              <w:spacing w:after="0"/>
              <w:rPr>
                <w:sz w:val="4"/>
                <w:szCs w:val="4"/>
                <w:color w:val="auto"/>
              </w:rPr>
            </w:pPr>
          </w:p>
        </w:tc>
        <w:tc>
          <w:tcPr>
            <w:tcW w:w="2860" w:type="dxa"/>
            <w:vAlign w:val="bottom"/>
          </w:tcPr>
          <w:p>
            <w:pPr>
              <w:spacing w:after="0"/>
              <w:rPr>
                <w:sz w:val="4"/>
                <w:szCs w:val="4"/>
                <w:color w:val="auto"/>
              </w:rPr>
            </w:pPr>
          </w:p>
        </w:tc>
      </w:tr>
      <w:tr>
        <w:trPr>
          <w:trHeight w:val="278"/>
        </w:trPr>
        <w:tc>
          <w:tcPr>
            <w:tcW w:w="3440" w:type="dxa"/>
            <w:vAlign w:val="bottom"/>
            <w:tcBorders>
              <w:right w:val="single" w:sz="8" w:color="A8BCBF"/>
            </w:tcBorders>
            <w:shd w:val="clear" w:color="auto" w:fill="E1D0D6"/>
          </w:tcPr>
          <w:p>
            <w:pPr>
              <w:ind w:left="60"/>
              <w:spacing w:after="0"/>
              <w:rPr>
                <w:sz w:val="20"/>
                <w:szCs w:val="20"/>
                <w:color w:val="auto"/>
              </w:rPr>
            </w:pPr>
            <w:r>
              <w:rPr>
                <w:rFonts w:ascii="Arial" w:cs="Arial" w:eastAsia="Arial" w:hAnsi="Arial"/>
                <w:sz w:val="15"/>
                <w:szCs w:val="15"/>
                <w:color w:val="auto"/>
              </w:rPr>
              <w:t>Caesars Entertainment, Inc.</w:t>
            </w:r>
          </w:p>
        </w:tc>
        <w:tc>
          <w:tcPr>
            <w:tcW w:w="4320" w:type="dxa"/>
            <w:vAlign w:val="bottom"/>
            <w:tcBorders>
              <w:right w:val="single" w:sz="8" w:color="A8BCBF"/>
            </w:tcBorders>
            <w:shd w:val="clear" w:color="auto" w:fill="E1D0D6"/>
          </w:tcPr>
          <w:p>
            <w:pPr>
              <w:ind w:left="240"/>
              <w:spacing w:after="0"/>
              <w:rPr>
                <w:sz w:val="20"/>
                <w:szCs w:val="20"/>
                <w:color w:val="auto"/>
              </w:rPr>
            </w:pPr>
            <w:r>
              <w:rPr>
                <w:rFonts w:ascii="Arial" w:cs="Arial" w:eastAsia="Arial" w:hAnsi="Arial"/>
                <w:sz w:val="15"/>
                <w:szCs w:val="15"/>
                <w:color w:val="auto"/>
              </w:rPr>
              <w:t>Hilton Worldwide Holdings Inc.</w:t>
            </w:r>
          </w:p>
        </w:tc>
        <w:tc>
          <w:tcPr>
            <w:tcW w:w="2860" w:type="dxa"/>
            <w:vAlign w:val="bottom"/>
            <w:shd w:val="clear" w:color="auto" w:fill="E1D0D6"/>
          </w:tcPr>
          <w:p>
            <w:pPr>
              <w:ind w:left="180"/>
              <w:spacing w:after="0"/>
              <w:rPr>
                <w:sz w:val="20"/>
                <w:szCs w:val="20"/>
                <w:color w:val="auto"/>
              </w:rPr>
            </w:pPr>
            <w:r>
              <w:rPr>
                <w:rFonts w:ascii="Arial" w:cs="Arial" w:eastAsia="Arial" w:hAnsi="Arial"/>
                <w:sz w:val="15"/>
                <w:szCs w:val="15"/>
                <w:color w:val="auto"/>
              </w:rPr>
              <w:t>Capri Holdings Limited</w:t>
            </w:r>
          </w:p>
        </w:tc>
      </w:tr>
      <w:tr>
        <w:trPr>
          <w:trHeight w:val="86"/>
        </w:trPr>
        <w:tc>
          <w:tcPr>
            <w:tcW w:w="3440" w:type="dxa"/>
            <w:vAlign w:val="bottom"/>
            <w:tcBorders>
              <w:right w:val="single" w:sz="8" w:color="A8BCBF"/>
            </w:tcBorders>
            <w:shd w:val="clear" w:color="auto" w:fill="E1D0D6"/>
          </w:tcPr>
          <w:p>
            <w:pPr>
              <w:spacing w:after="0"/>
              <w:rPr>
                <w:sz w:val="7"/>
                <w:szCs w:val="7"/>
                <w:color w:val="auto"/>
              </w:rPr>
            </w:pPr>
          </w:p>
        </w:tc>
        <w:tc>
          <w:tcPr>
            <w:tcW w:w="4320" w:type="dxa"/>
            <w:vAlign w:val="bottom"/>
            <w:tcBorders>
              <w:right w:val="single" w:sz="8" w:color="A8BCBF"/>
            </w:tcBorders>
            <w:shd w:val="clear" w:color="auto" w:fill="E1D0D6"/>
          </w:tcPr>
          <w:p>
            <w:pPr>
              <w:spacing w:after="0"/>
              <w:rPr>
                <w:sz w:val="7"/>
                <w:szCs w:val="7"/>
                <w:color w:val="auto"/>
              </w:rPr>
            </w:pPr>
          </w:p>
        </w:tc>
        <w:tc>
          <w:tcPr>
            <w:tcW w:w="2860" w:type="dxa"/>
            <w:vAlign w:val="bottom"/>
            <w:shd w:val="clear" w:color="auto" w:fill="E1D0D6"/>
          </w:tcPr>
          <w:p>
            <w:pPr>
              <w:spacing w:after="0"/>
              <w:rPr>
                <w:sz w:val="7"/>
                <w:szCs w:val="7"/>
                <w:color w:val="auto"/>
              </w:rPr>
            </w:pPr>
          </w:p>
        </w:tc>
      </w:tr>
      <w:tr>
        <w:trPr>
          <w:trHeight w:val="278"/>
        </w:trPr>
        <w:tc>
          <w:tcPr>
            <w:tcW w:w="3440" w:type="dxa"/>
            <w:vAlign w:val="bottom"/>
            <w:tcBorders>
              <w:right w:val="single" w:sz="8" w:color="A8BCBF"/>
            </w:tcBorders>
          </w:tcPr>
          <w:p>
            <w:pPr>
              <w:ind w:left="60"/>
              <w:spacing w:after="0"/>
              <w:rPr>
                <w:sz w:val="20"/>
                <w:szCs w:val="20"/>
                <w:color w:val="auto"/>
              </w:rPr>
            </w:pPr>
            <w:r>
              <w:rPr>
                <w:rFonts w:ascii="Arial" w:cs="Arial" w:eastAsia="Arial" w:hAnsi="Arial"/>
                <w:sz w:val="15"/>
                <w:szCs w:val="15"/>
                <w:color w:val="auto"/>
              </w:rPr>
              <w:t>Las Vegas Sands Corp.</w:t>
            </w:r>
          </w:p>
        </w:tc>
        <w:tc>
          <w:tcPr>
            <w:tcW w:w="4320" w:type="dxa"/>
            <w:vAlign w:val="bottom"/>
            <w:tcBorders>
              <w:right w:val="single" w:sz="8" w:color="A8BCBF"/>
            </w:tcBorders>
          </w:tcPr>
          <w:p>
            <w:pPr>
              <w:ind w:left="240"/>
              <w:spacing w:after="0"/>
              <w:rPr>
                <w:sz w:val="20"/>
                <w:szCs w:val="20"/>
                <w:color w:val="auto"/>
              </w:rPr>
            </w:pPr>
            <w:r>
              <w:rPr>
                <w:rFonts w:ascii="Arial" w:cs="Arial" w:eastAsia="Arial" w:hAnsi="Arial"/>
                <w:sz w:val="15"/>
                <w:szCs w:val="15"/>
                <w:color w:val="auto"/>
              </w:rPr>
              <w:t>Hyatt Hotels Corporation</w:t>
            </w:r>
          </w:p>
        </w:tc>
        <w:tc>
          <w:tcPr>
            <w:tcW w:w="2860" w:type="dxa"/>
            <w:vAlign w:val="bottom"/>
          </w:tcPr>
          <w:p>
            <w:pPr>
              <w:ind w:left="180"/>
              <w:spacing w:after="0"/>
              <w:rPr>
                <w:sz w:val="20"/>
                <w:szCs w:val="20"/>
                <w:color w:val="auto"/>
              </w:rPr>
            </w:pPr>
            <w:r>
              <w:rPr>
                <w:rFonts w:ascii="Arial" w:cs="Arial" w:eastAsia="Arial" w:hAnsi="Arial"/>
                <w:sz w:val="15"/>
                <w:szCs w:val="15"/>
                <w:color w:val="auto"/>
              </w:rPr>
              <w:t>PVH Corp.</w:t>
            </w:r>
          </w:p>
        </w:tc>
      </w:tr>
      <w:tr>
        <w:trPr>
          <w:trHeight w:val="86"/>
        </w:trPr>
        <w:tc>
          <w:tcPr>
            <w:tcW w:w="3440" w:type="dxa"/>
            <w:vAlign w:val="bottom"/>
            <w:tcBorders>
              <w:right w:val="single" w:sz="8" w:color="A8BCBF"/>
            </w:tcBorders>
          </w:tcPr>
          <w:p>
            <w:pPr>
              <w:spacing w:after="0"/>
              <w:rPr>
                <w:sz w:val="7"/>
                <w:szCs w:val="7"/>
                <w:color w:val="auto"/>
              </w:rPr>
            </w:pPr>
          </w:p>
        </w:tc>
        <w:tc>
          <w:tcPr>
            <w:tcW w:w="4320" w:type="dxa"/>
            <w:vAlign w:val="bottom"/>
            <w:tcBorders>
              <w:right w:val="single" w:sz="8" w:color="A8BCBF"/>
            </w:tcBorders>
          </w:tcPr>
          <w:p>
            <w:pPr>
              <w:spacing w:after="0"/>
              <w:rPr>
                <w:sz w:val="7"/>
                <w:szCs w:val="7"/>
                <w:color w:val="auto"/>
              </w:rPr>
            </w:pPr>
          </w:p>
        </w:tc>
        <w:tc>
          <w:tcPr>
            <w:tcW w:w="2860" w:type="dxa"/>
            <w:vAlign w:val="bottom"/>
          </w:tcPr>
          <w:p>
            <w:pPr>
              <w:spacing w:after="0"/>
              <w:rPr>
                <w:sz w:val="7"/>
                <w:szCs w:val="7"/>
                <w:color w:val="auto"/>
              </w:rPr>
            </w:pPr>
          </w:p>
        </w:tc>
      </w:tr>
      <w:tr>
        <w:trPr>
          <w:trHeight w:val="278"/>
        </w:trPr>
        <w:tc>
          <w:tcPr>
            <w:tcW w:w="3440" w:type="dxa"/>
            <w:vAlign w:val="bottom"/>
            <w:tcBorders>
              <w:right w:val="single" w:sz="8" w:color="A8BCBF"/>
            </w:tcBorders>
            <w:shd w:val="clear" w:color="auto" w:fill="E1D0D6"/>
          </w:tcPr>
          <w:p>
            <w:pPr>
              <w:ind w:left="60"/>
              <w:spacing w:after="0"/>
              <w:rPr>
                <w:sz w:val="20"/>
                <w:szCs w:val="20"/>
                <w:color w:val="auto"/>
              </w:rPr>
            </w:pPr>
            <w:r>
              <w:rPr>
                <w:rFonts w:ascii="Arial" w:cs="Arial" w:eastAsia="Arial" w:hAnsi="Arial"/>
                <w:sz w:val="15"/>
                <w:szCs w:val="15"/>
                <w:color w:val="auto"/>
              </w:rPr>
              <w:t>MGM Resorts International</w:t>
            </w:r>
          </w:p>
        </w:tc>
        <w:tc>
          <w:tcPr>
            <w:tcW w:w="4320" w:type="dxa"/>
            <w:vAlign w:val="bottom"/>
            <w:tcBorders>
              <w:right w:val="single" w:sz="8" w:color="A8BCBF"/>
            </w:tcBorders>
            <w:shd w:val="clear" w:color="auto" w:fill="E1D0D6"/>
          </w:tcPr>
          <w:p>
            <w:pPr>
              <w:ind w:left="240"/>
              <w:spacing w:after="0"/>
              <w:rPr>
                <w:sz w:val="20"/>
                <w:szCs w:val="20"/>
                <w:color w:val="auto"/>
              </w:rPr>
            </w:pPr>
            <w:r>
              <w:rPr>
                <w:rFonts w:ascii="Arial" w:cs="Arial" w:eastAsia="Arial" w:hAnsi="Arial"/>
                <w:sz w:val="15"/>
                <w:szCs w:val="15"/>
                <w:color w:val="auto"/>
              </w:rPr>
              <w:t>Marriott International, Inc.</w:t>
            </w:r>
          </w:p>
        </w:tc>
        <w:tc>
          <w:tcPr>
            <w:tcW w:w="2860" w:type="dxa"/>
            <w:vAlign w:val="bottom"/>
            <w:shd w:val="clear" w:color="auto" w:fill="E1D0D6"/>
          </w:tcPr>
          <w:p>
            <w:pPr>
              <w:ind w:left="180"/>
              <w:spacing w:after="0"/>
              <w:rPr>
                <w:sz w:val="20"/>
                <w:szCs w:val="20"/>
                <w:color w:val="auto"/>
              </w:rPr>
            </w:pPr>
            <w:r>
              <w:rPr>
                <w:rFonts w:ascii="Arial" w:cs="Arial" w:eastAsia="Arial" w:hAnsi="Arial"/>
                <w:sz w:val="15"/>
                <w:szCs w:val="15"/>
                <w:color w:val="auto"/>
              </w:rPr>
              <w:t>Ralph Lauren Corporation</w:t>
            </w:r>
          </w:p>
        </w:tc>
      </w:tr>
      <w:tr>
        <w:trPr>
          <w:trHeight w:val="86"/>
        </w:trPr>
        <w:tc>
          <w:tcPr>
            <w:tcW w:w="3440" w:type="dxa"/>
            <w:vAlign w:val="bottom"/>
            <w:tcBorders>
              <w:right w:val="single" w:sz="8" w:color="A8BCBF"/>
            </w:tcBorders>
            <w:shd w:val="clear" w:color="auto" w:fill="E1D0D6"/>
          </w:tcPr>
          <w:p>
            <w:pPr>
              <w:spacing w:after="0"/>
              <w:rPr>
                <w:sz w:val="7"/>
                <w:szCs w:val="7"/>
                <w:color w:val="auto"/>
              </w:rPr>
            </w:pPr>
          </w:p>
        </w:tc>
        <w:tc>
          <w:tcPr>
            <w:tcW w:w="4320" w:type="dxa"/>
            <w:vAlign w:val="bottom"/>
            <w:tcBorders>
              <w:right w:val="single" w:sz="8" w:color="A8BCBF"/>
            </w:tcBorders>
            <w:shd w:val="clear" w:color="auto" w:fill="E1D0D6"/>
          </w:tcPr>
          <w:p>
            <w:pPr>
              <w:spacing w:after="0"/>
              <w:rPr>
                <w:sz w:val="7"/>
                <w:szCs w:val="7"/>
                <w:color w:val="auto"/>
              </w:rPr>
            </w:pPr>
          </w:p>
        </w:tc>
        <w:tc>
          <w:tcPr>
            <w:tcW w:w="2860" w:type="dxa"/>
            <w:vAlign w:val="bottom"/>
            <w:shd w:val="clear" w:color="auto" w:fill="E1D0D6"/>
          </w:tcPr>
          <w:p>
            <w:pPr>
              <w:spacing w:after="0"/>
              <w:rPr>
                <w:sz w:val="7"/>
                <w:szCs w:val="7"/>
                <w:color w:val="auto"/>
              </w:rPr>
            </w:pPr>
          </w:p>
        </w:tc>
      </w:tr>
      <w:tr>
        <w:trPr>
          <w:trHeight w:val="278"/>
        </w:trPr>
        <w:tc>
          <w:tcPr>
            <w:tcW w:w="3440" w:type="dxa"/>
            <w:vAlign w:val="bottom"/>
            <w:tcBorders>
              <w:right w:val="single" w:sz="8" w:color="A8BCBF"/>
            </w:tcBorders>
          </w:tcPr>
          <w:p>
            <w:pPr>
              <w:ind w:left="60"/>
              <w:spacing w:after="0"/>
              <w:rPr>
                <w:sz w:val="20"/>
                <w:szCs w:val="20"/>
                <w:color w:val="auto"/>
              </w:rPr>
            </w:pPr>
            <w:r>
              <w:rPr>
                <w:rFonts w:ascii="Arial" w:cs="Arial" w:eastAsia="Arial" w:hAnsi="Arial"/>
                <w:sz w:val="15"/>
                <w:szCs w:val="15"/>
                <w:color w:val="auto"/>
              </w:rPr>
              <w:t>Penn Entertainment</w:t>
            </w:r>
          </w:p>
        </w:tc>
        <w:tc>
          <w:tcPr>
            <w:tcW w:w="4320" w:type="dxa"/>
            <w:vAlign w:val="bottom"/>
            <w:tcBorders>
              <w:right w:val="single" w:sz="8" w:color="A8BCBF"/>
            </w:tcBorders>
          </w:tcPr>
          <w:p>
            <w:pPr>
              <w:ind w:left="240"/>
              <w:spacing w:after="0"/>
              <w:rPr>
                <w:sz w:val="20"/>
                <w:szCs w:val="20"/>
                <w:color w:val="auto"/>
              </w:rPr>
            </w:pPr>
            <w:r>
              <w:rPr>
                <w:rFonts w:ascii="Arial" w:cs="Arial" w:eastAsia="Arial" w:hAnsi="Arial"/>
                <w:sz w:val="15"/>
                <w:szCs w:val="15"/>
                <w:color w:val="auto"/>
              </w:rPr>
              <w:t>Norwegian Cruise Line Holdings Ltd</w:t>
            </w:r>
          </w:p>
        </w:tc>
        <w:tc>
          <w:tcPr>
            <w:tcW w:w="2860" w:type="dxa"/>
            <w:vAlign w:val="bottom"/>
          </w:tcPr>
          <w:p>
            <w:pPr>
              <w:ind w:left="180"/>
              <w:spacing w:after="0"/>
              <w:rPr>
                <w:sz w:val="20"/>
                <w:szCs w:val="20"/>
                <w:color w:val="auto"/>
              </w:rPr>
            </w:pPr>
            <w:r>
              <w:rPr>
                <w:rFonts w:ascii="Arial" w:cs="Arial" w:eastAsia="Arial" w:hAnsi="Arial"/>
                <w:sz w:val="15"/>
                <w:szCs w:val="15"/>
                <w:color w:val="auto"/>
              </w:rPr>
              <w:t>Tapestry, Inc.</w:t>
            </w:r>
          </w:p>
        </w:tc>
      </w:tr>
      <w:tr>
        <w:trPr>
          <w:trHeight w:val="86"/>
        </w:trPr>
        <w:tc>
          <w:tcPr>
            <w:tcW w:w="3440" w:type="dxa"/>
            <w:vAlign w:val="bottom"/>
            <w:tcBorders>
              <w:right w:val="single" w:sz="8" w:color="A8BCBF"/>
            </w:tcBorders>
          </w:tcPr>
          <w:p>
            <w:pPr>
              <w:spacing w:after="0"/>
              <w:rPr>
                <w:sz w:val="7"/>
                <w:szCs w:val="7"/>
                <w:color w:val="auto"/>
              </w:rPr>
            </w:pPr>
          </w:p>
        </w:tc>
        <w:tc>
          <w:tcPr>
            <w:tcW w:w="4320" w:type="dxa"/>
            <w:vAlign w:val="bottom"/>
            <w:tcBorders>
              <w:right w:val="single" w:sz="8" w:color="A8BCBF"/>
            </w:tcBorders>
          </w:tcPr>
          <w:p>
            <w:pPr>
              <w:spacing w:after="0"/>
              <w:rPr>
                <w:sz w:val="7"/>
                <w:szCs w:val="7"/>
                <w:color w:val="auto"/>
              </w:rPr>
            </w:pPr>
          </w:p>
        </w:tc>
        <w:tc>
          <w:tcPr>
            <w:tcW w:w="2860" w:type="dxa"/>
            <w:vAlign w:val="bottom"/>
          </w:tcPr>
          <w:p>
            <w:pPr>
              <w:spacing w:after="0"/>
              <w:rPr>
                <w:sz w:val="7"/>
                <w:szCs w:val="7"/>
                <w:color w:val="auto"/>
              </w:rPr>
            </w:pPr>
          </w:p>
        </w:tc>
      </w:tr>
      <w:tr>
        <w:trPr>
          <w:trHeight w:val="278"/>
        </w:trPr>
        <w:tc>
          <w:tcPr>
            <w:tcW w:w="3440" w:type="dxa"/>
            <w:vAlign w:val="bottom"/>
            <w:tcBorders>
              <w:right w:val="single" w:sz="8" w:color="A8BCBF"/>
            </w:tcBorders>
            <w:shd w:val="clear" w:color="auto" w:fill="E1D0D6"/>
          </w:tcPr>
          <w:p>
            <w:pPr>
              <w:spacing w:after="0"/>
              <w:rPr>
                <w:sz w:val="24"/>
                <w:szCs w:val="24"/>
                <w:color w:val="auto"/>
              </w:rPr>
            </w:pPr>
          </w:p>
        </w:tc>
        <w:tc>
          <w:tcPr>
            <w:tcW w:w="4320" w:type="dxa"/>
            <w:vAlign w:val="bottom"/>
            <w:tcBorders>
              <w:right w:val="single" w:sz="8" w:color="A8BCBF"/>
            </w:tcBorders>
            <w:shd w:val="clear" w:color="auto" w:fill="E1D0D6"/>
          </w:tcPr>
          <w:p>
            <w:pPr>
              <w:ind w:left="240"/>
              <w:spacing w:after="0"/>
              <w:rPr>
                <w:sz w:val="20"/>
                <w:szCs w:val="20"/>
                <w:color w:val="auto"/>
              </w:rPr>
            </w:pPr>
            <w:r>
              <w:rPr>
                <w:rFonts w:ascii="Arial" w:cs="Arial" w:eastAsia="Arial" w:hAnsi="Arial"/>
                <w:sz w:val="15"/>
                <w:szCs w:val="15"/>
                <w:color w:val="auto"/>
              </w:rPr>
              <w:t>Royal Caribbean Cruises Ltd</w:t>
            </w:r>
          </w:p>
        </w:tc>
        <w:tc>
          <w:tcPr>
            <w:tcW w:w="2860" w:type="dxa"/>
            <w:vAlign w:val="bottom"/>
            <w:shd w:val="clear" w:color="auto" w:fill="E1D0D6"/>
          </w:tcPr>
          <w:p>
            <w:pPr>
              <w:ind w:left="180"/>
              <w:spacing w:after="0"/>
              <w:rPr>
                <w:sz w:val="20"/>
                <w:szCs w:val="20"/>
                <w:color w:val="auto"/>
              </w:rPr>
            </w:pPr>
            <w:r>
              <w:rPr>
                <w:rFonts w:ascii="Arial" w:cs="Arial" w:eastAsia="Arial" w:hAnsi="Arial"/>
                <w:sz w:val="15"/>
                <w:szCs w:val="15"/>
                <w:color w:val="auto"/>
              </w:rPr>
              <w:t>V.F. Corporation</w:t>
            </w:r>
          </w:p>
        </w:tc>
      </w:tr>
      <w:tr>
        <w:trPr>
          <w:trHeight w:val="86"/>
        </w:trPr>
        <w:tc>
          <w:tcPr>
            <w:tcW w:w="3440" w:type="dxa"/>
            <w:vAlign w:val="bottom"/>
            <w:tcBorders>
              <w:right w:val="single" w:sz="8" w:color="A8BCBF"/>
            </w:tcBorders>
            <w:shd w:val="clear" w:color="auto" w:fill="E1D0D6"/>
          </w:tcPr>
          <w:p>
            <w:pPr>
              <w:spacing w:after="0"/>
              <w:rPr>
                <w:sz w:val="7"/>
                <w:szCs w:val="7"/>
                <w:color w:val="auto"/>
              </w:rPr>
            </w:pPr>
          </w:p>
        </w:tc>
        <w:tc>
          <w:tcPr>
            <w:tcW w:w="4320" w:type="dxa"/>
            <w:vAlign w:val="bottom"/>
            <w:tcBorders>
              <w:right w:val="single" w:sz="8" w:color="A8BCBF"/>
            </w:tcBorders>
            <w:shd w:val="clear" w:color="auto" w:fill="E1D0D6"/>
          </w:tcPr>
          <w:p>
            <w:pPr>
              <w:spacing w:after="0"/>
              <w:rPr>
                <w:sz w:val="7"/>
                <w:szCs w:val="7"/>
                <w:color w:val="auto"/>
              </w:rPr>
            </w:pPr>
          </w:p>
        </w:tc>
        <w:tc>
          <w:tcPr>
            <w:tcW w:w="2860" w:type="dxa"/>
            <w:vAlign w:val="bottom"/>
            <w:shd w:val="clear" w:color="auto" w:fill="E1D0D6"/>
          </w:tcPr>
          <w:p>
            <w:pPr>
              <w:spacing w:after="0"/>
              <w:rPr>
                <w:sz w:val="7"/>
                <w:szCs w:val="7"/>
                <w:color w:val="auto"/>
              </w:rPr>
            </w:pPr>
          </w:p>
        </w:tc>
      </w:tr>
      <w:tr>
        <w:trPr>
          <w:trHeight w:val="278"/>
        </w:trPr>
        <w:tc>
          <w:tcPr>
            <w:tcW w:w="3440" w:type="dxa"/>
            <w:vAlign w:val="bottom"/>
            <w:tcBorders>
              <w:right w:val="single" w:sz="8" w:color="A8BCBF"/>
            </w:tcBorders>
          </w:tcPr>
          <w:p>
            <w:pPr>
              <w:spacing w:after="0"/>
              <w:rPr>
                <w:sz w:val="24"/>
                <w:szCs w:val="24"/>
                <w:color w:val="auto"/>
              </w:rPr>
            </w:pPr>
          </w:p>
        </w:tc>
        <w:tc>
          <w:tcPr>
            <w:tcW w:w="4320" w:type="dxa"/>
            <w:vAlign w:val="bottom"/>
            <w:tcBorders>
              <w:right w:val="single" w:sz="8" w:color="A8BCBF"/>
            </w:tcBorders>
          </w:tcPr>
          <w:p>
            <w:pPr>
              <w:ind w:left="240"/>
              <w:spacing w:after="0"/>
              <w:rPr>
                <w:sz w:val="20"/>
                <w:szCs w:val="20"/>
                <w:color w:val="auto"/>
              </w:rPr>
            </w:pPr>
            <w:r>
              <w:rPr>
                <w:rFonts w:ascii="Arial" w:cs="Arial" w:eastAsia="Arial" w:hAnsi="Arial"/>
                <w:sz w:val="15"/>
                <w:szCs w:val="15"/>
                <w:color w:val="auto"/>
              </w:rPr>
              <w:t>Wyndham Hotels &amp; Resorts, Inc.</w:t>
            </w:r>
          </w:p>
        </w:tc>
        <w:tc>
          <w:tcPr>
            <w:tcW w:w="2860" w:type="dxa"/>
            <w:vAlign w:val="bottom"/>
          </w:tcPr>
          <w:p>
            <w:pPr>
              <w:spacing w:after="0"/>
              <w:rPr>
                <w:sz w:val="24"/>
                <w:szCs w:val="24"/>
                <w:color w:val="auto"/>
              </w:rPr>
            </w:pPr>
          </w:p>
        </w:tc>
      </w:tr>
      <w:tr>
        <w:trPr>
          <w:trHeight w:val="86"/>
        </w:trPr>
        <w:tc>
          <w:tcPr>
            <w:tcW w:w="3440" w:type="dxa"/>
            <w:vAlign w:val="bottom"/>
            <w:tcBorders>
              <w:right w:val="single" w:sz="8" w:color="A8BCBF"/>
            </w:tcBorders>
          </w:tcPr>
          <w:p>
            <w:pPr>
              <w:spacing w:after="0"/>
              <w:rPr>
                <w:sz w:val="7"/>
                <w:szCs w:val="7"/>
                <w:color w:val="auto"/>
              </w:rPr>
            </w:pPr>
          </w:p>
        </w:tc>
        <w:tc>
          <w:tcPr>
            <w:tcW w:w="4320" w:type="dxa"/>
            <w:vAlign w:val="bottom"/>
            <w:tcBorders>
              <w:right w:val="single" w:sz="8" w:color="A8BCBF"/>
            </w:tcBorders>
          </w:tcPr>
          <w:p>
            <w:pPr>
              <w:spacing w:after="0"/>
              <w:rPr>
                <w:sz w:val="7"/>
                <w:szCs w:val="7"/>
                <w:color w:val="auto"/>
              </w:rPr>
            </w:pPr>
          </w:p>
        </w:tc>
        <w:tc>
          <w:tcPr>
            <w:tcW w:w="2860" w:type="dxa"/>
            <w:vAlign w:val="bottom"/>
          </w:tcPr>
          <w:p>
            <w:pPr>
              <w:spacing w:after="0"/>
              <w:rPr>
                <w:sz w:val="7"/>
                <w:szCs w:val="7"/>
                <w:color w:val="auto"/>
              </w:rPr>
            </w:pPr>
          </w:p>
        </w:tc>
      </w:tr>
    </w:tbl>
    <w:p>
      <w:pPr>
        <w:spacing w:after="0" w:line="181" w:lineRule="exact"/>
        <w:rPr>
          <w:sz w:val="20"/>
          <w:szCs w:val="20"/>
          <w:color w:val="auto"/>
        </w:rPr>
      </w:pPr>
    </w:p>
    <w:p>
      <w:pPr>
        <w:ind w:left="320" w:right="300"/>
        <w:spacing w:after="0" w:line="256" w:lineRule="auto"/>
        <w:rPr>
          <w:sz w:val="20"/>
          <w:szCs w:val="20"/>
          <w:color w:val="auto"/>
        </w:rPr>
      </w:pPr>
      <w:r>
        <w:rPr>
          <w:rFonts w:ascii="Arial" w:cs="Arial" w:eastAsia="Arial" w:hAnsi="Arial"/>
          <w:sz w:val="17"/>
          <w:szCs w:val="17"/>
          <w:color w:val="auto"/>
        </w:rPr>
        <w:t>The 16 companies in the peer group generally had revenue, market capitalization and total enterprise value (as of December 31, 2022) similar to those of the Company as set forth below.</w:t>
      </w:r>
    </w:p>
    <w:p>
      <w:pPr>
        <w:spacing w:after="0" w:line="182" w:lineRule="exact"/>
        <w:rPr>
          <w:sz w:val="20"/>
          <w:szCs w:val="20"/>
          <w:color w:val="auto"/>
        </w:rPr>
      </w:pPr>
    </w:p>
    <w:tbl>
      <w:tblPr>
        <w:tblLayout w:type="fixed"/>
        <w:tblInd w:w="320" w:type="dxa"/>
        <w:tblCellMar>
          <w:top w:w="0" w:type="dxa"/>
          <w:left w:w="0" w:type="dxa"/>
          <w:bottom w:w="0" w:type="dxa"/>
          <w:right w:w="0" w:type="dxa"/>
        </w:tblCellMar>
      </w:tblPr>
      <w:tr>
        <w:trPr>
          <w:trHeight w:val="286"/>
        </w:trPr>
        <w:tc>
          <w:tcPr>
            <w:tcW w:w="3080" w:type="dxa"/>
            <w:vAlign w:val="bottom"/>
            <w:tcBorders>
              <w:right w:val="single" w:sz="8" w:color="A8BCBF"/>
            </w:tcBorders>
          </w:tcPr>
          <w:p>
            <w:pPr>
              <w:spacing w:after="0"/>
              <w:rPr>
                <w:sz w:val="24"/>
                <w:szCs w:val="24"/>
                <w:color w:val="auto"/>
              </w:rPr>
            </w:pPr>
          </w:p>
        </w:tc>
        <w:tc>
          <w:tcPr>
            <w:tcW w:w="2820" w:type="dxa"/>
            <w:vAlign w:val="bottom"/>
            <w:tcBorders>
              <w:right w:val="single" w:sz="8" w:color="9E9E9E"/>
            </w:tcBorders>
          </w:tcPr>
          <w:p>
            <w:pPr>
              <w:jc w:val="center"/>
              <w:ind w:left="38"/>
              <w:spacing w:after="0"/>
              <w:rPr>
                <w:sz w:val="20"/>
                <w:szCs w:val="20"/>
                <w:color w:val="auto"/>
              </w:rPr>
            </w:pPr>
            <w:r>
              <w:rPr>
                <w:rFonts w:ascii="Arial" w:cs="Arial" w:eastAsia="Arial" w:hAnsi="Arial"/>
                <w:sz w:val="14"/>
                <w:szCs w:val="14"/>
                <w:b w:val="1"/>
                <w:bCs w:val="1"/>
                <w:color w:val="6A1834"/>
                <w:w w:val="99"/>
              </w:rPr>
              <w:t>WYNN RESORTS</w:t>
            </w:r>
          </w:p>
        </w:tc>
        <w:tc>
          <w:tcPr>
            <w:tcW w:w="230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14"/>
                <w:szCs w:val="14"/>
                <w:b w:val="1"/>
                <w:bCs w:val="1"/>
                <w:color w:val="6A1834"/>
              </w:rPr>
              <w:t>PEER GROUP</w:t>
            </w:r>
          </w:p>
        </w:tc>
      </w:tr>
      <w:tr>
        <w:trPr>
          <w:trHeight w:val="286"/>
        </w:trPr>
        <w:tc>
          <w:tcPr>
            <w:tcW w:w="3080" w:type="dxa"/>
            <w:vAlign w:val="bottom"/>
            <w:tcBorders>
              <w:right w:val="single" w:sz="8" w:color="A8BCBF"/>
            </w:tcBorders>
            <w:shd w:val="clear" w:color="auto" w:fill="E1D0D6"/>
          </w:tcPr>
          <w:p>
            <w:pPr>
              <w:ind w:left="60"/>
              <w:spacing w:after="0"/>
              <w:rPr>
                <w:sz w:val="20"/>
                <w:szCs w:val="20"/>
                <w:color w:val="auto"/>
              </w:rPr>
            </w:pPr>
            <w:r>
              <w:rPr>
                <w:rFonts w:ascii="Arial" w:cs="Arial" w:eastAsia="Arial" w:hAnsi="Arial"/>
                <w:sz w:val="17"/>
                <w:szCs w:val="17"/>
                <w:color w:val="auto"/>
              </w:rPr>
              <w:t>Revenue</w:t>
            </w:r>
          </w:p>
        </w:tc>
        <w:tc>
          <w:tcPr>
            <w:tcW w:w="2820" w:type="dxa"/>
            <w:vAlign w:val="bottom"/>
            <w:tcBorders>
              <w:right w:val="single" w:sz="8" w:color="A8BCBF"/>
            </w:tcBorders>
            <w:shd w:val="clear" w:color="auto" w:fill="E1D0D6"/>
          </w:tcPr>
          <w:p>
            <w:pPr>
              <w:jc w:val="center"/>
              <w:ind w:left="38"/>
              <w:spacing w:after="0"/>
              <w:rPr>
                <w:sz w:val="20"/>
                <w:szCs w:val="20"/>
                <w:color w:val="auto"/>
              </w:rPr>
            </w:pPr>
            <w:r>
              <w:rPr>
                <w:rFonts w:ascii="Arial" w:cs="Arial" w:eastAsia="Arial" w:hAnsi="Arial"/>
                <w:sz w:val="17"/>
                <w:szCs w:val="17"/>
                <w:color w:val="auto"/>
              </w:rPr>
              <w:t>$3.8 billion</w:t>
            </w:r>
          </w:p>
        </w:tc>
        <w:tc>
          <w:tcPr>
            <w:tcW w:w="2300" w:type="dxa"/>
            <w:vAlign w:val="bottom"/>
            <w:tcBorders>
              <w:right w:val="single" w:sz="8" w:color="A8BCBF"/>
            </w:tcBorders>
            <w:shd w:val="clear" w:color="auto" w:fill="E1D0D6"/>
          </w:tcPr>
          <w:p>
            <w:pPr>
              <w:jc w:val="center"/>
              <w:ind w:left="253"/>
              <w:spacing w:after="0"/>
              <w:rPr>
                <w:sz w:val="20"/>
                <w:szCs w:val="20"/>
                <w:color w:val="auto"/>
              </w:rPr>
            </w:pPr>
            <w:r>
              <w:rPr>
                <w:rFonts w:ascii="Arial" w:cs="Arial" w:eastAsia="Arial" w:hAnsi="Arial"/>
                <w:sz w:val="17"/>
                <w:szCs w:val="17"/>
                <w:color w:val="auto"/>
              </w:rPr>
              <w:t>Range:</w:t>
            </w:r>
          </w:p>
        </w:tc>
        <w:tc>
          <w:tcPr>
            <w:tcW w:w="2420" w:type="dxa"/>
            <w:vAlign w:val="bottom"/>
            <w:shd w:val="clear" w:color="auto" w:fill="E1D0D6"/>
          </w:tcPr>
          <w:p>
            <w:pPr>
              <w:ind w:left="300"/>
              <w:spacing w:after="0"/>
              <w:rPr>
                <w:sz w:val="20"/>
                <w:szCs w:val="20"/>
                <w:color w:val="auto"/>
              </w:rPr>
            </w:pPr>
            <w:r>
              <w:rPr>
                <w:rFonts w:ascii="Arial" w:cs="Arial" w:eastAsia="Arial" w:hAnsi="Arial"/>
                <w:sz w:val="17"/>
                <w:szCs w:val="17"/>
                <w:color w:val="auto"/>
              </w:rPr>
              <w:t>$1.6 billion–$19.3 billion</w:t>
            </w:r>
          </w:p>
        </w:tc>
      </w:tr>
      <w:tr>
        <w:trPr>
          <w:trHeight w:val="78"/>
        </w:trPr>
        <w:tc>
          <w:tcPr>
            <w:tcW w:w="3080" w:type="dxa"/>
            <w:vAlign w:val="bottom"/>
            <w:tcBorders>
              <w:right w:val="single" w:sz="8" w:color="A8BCBF"/>
            </w:tcBorders>
            <w:shd w:val="clear" w:color="auto" w:fill="E1D0D6"/>
          </w:tcPr>
          <w:p>
            <w:pPr>
              <w:spacing w:after="0"/>
              <w:rPr>
                <w:sz w:val="6"/>
                <w:szCs w:val="6"/>
                <w:color w:val="auto"/>
              </w:rPr>
            </w:pPr>
          </w:p>
        </w:tc>
        <w:tc>
          <w:tcPr>
            <w:tcW w:w="2820" w:type="dxa"/>
            <w:vAlign w:val="bottom"/>
            <w:tcBorders>
              <w:right w:val="single" w:sz="8" w:color="A8BCBF"/>
            </w:tcBorders>
            <w:shd w:val="clear" w:color="auto" w:fill="E1D0D6"/>
          </w:tcPr>
          <w:p>
            <w:pPr>
              <w:spacing w:after="0"/>
              <w:rPr>
                <w:sz w:val="6"/>
                <w:szCs w:val="6"/>
                <w:color w:val="auto"/>
              </w:rPr>
            </w:pPr>
          </w:p>
        </w:tc>
        <w:tc>
          <w:tcPr>
            <w:tcW w:w="2300" w:type="dxa"/>
            <w:vAlign w:val="bottom"/>
            <w:tcBorders>
              <w:right w:val="single" w:sz="8" w:color="A8BCBF"/>
            </w:tcBorders>
            <w:shd w:val="clear" w:color="auto" w:fill="E1D0D6"/>
          </w:tcPr>
          <w:p>
            <w:pPr>
              <w:spacing w:after="0"/>
              <w:rPr>
                <w:sz w:val="6"/>
                <w:szCs w:val="6"/>
                <w:color w:val="auto"/>
              </w:rPr>
            </w:pPr>
          </w:p>
        </w:tc>
        <w:tc>
          <w:tcPr>
            <w:tcW w:w="2420" w:type="dxa"/>
            <w:vAlign w:val="bottom"/>
            <w:shd w:val="clear" w:color="auto" w:fill="E1D0D6"/>
          </w:tcPr>
          <w:p>
            <w:pPr>
              <w:spacing w:after="0"/>
              <w:rPr>
                <w:sz w:val="6"/>
                <w:szCs w:val="6"/>
                <w:color w:val="auto"/>
              </w:rPr>
            </w:pPr>
          </w:p>
        </w:tc>
      </w:tr>
      <w:tr>
        <w:trPr>
          <w:trHeight w:val="286"/>
        </w:trPr>
        <w:tc>
          <w:tcPr>
            <w:tcW w:w="3080" w:type="dxa"/>
            <w:vAlign w:val="bottom"/>
            <w:tcBorders>
              <w:right w:val="single" w:sz="8" w:color="A8BCBF"/>
            </w:tcBorders>
          </w:tcPr>
          <w:p>
            <w:pPr>
              <w:spacing w:after="0"/>
              <w:rPr>
                <w:sz w:val="24"/>
                <w:szCs w:val="24"/>
                <w:color w:val="auto"/>
              </w:rPr>
            </w:pPr>
          </w:p>
        </w:tc>
        <w:tc>
          <w:tcPr>
            <w:tcW w:w="2820" w:type="dxa"/>
            <w:vAlign w:val="bottom"/>
            <w:tcBorders>
              <w:right w:val="single" w:sz="8" w:color="A8BCBF"/>
            </w:tcBorders>
          </w:tcPr>
          <w:p>
            <w:pPr>
              <w:spacing w:after="0"/>
              <w:rPr>
                <w:sz w:val="24"/>
                <w:szCs w:val="24"/>
                <w:color w:val="auto"/>
              </w:rPr>
            </w:pPr>
          </w:p>
        </w:tc>
        <w:tc>
          <w:tcPr>
            <w:tcW w:w="2300" w:type="dxa"/>
            <w:vAlign w:val="bottom"/>
            <w:tcBorders>
              <w:right w:val="single" w:sz="8" w:color="A8BCBF"/>
            </w:tcBorders>
          </w:tcPr>
          <w:p>
            <w:pPr>
              <w:jc w:val="center"/>
              <w:ind w:left="233"/>
              <w:spacing w:after="0"/>
              <w:rPr>
                <w:sz w:val="20"/>
                <w:szCs w:val="20"/>
                <w:color w:val="auto"/>
              </w:rPr>
            </w:pPr>
            <w:r>
              <w:rPr>
                <w:rFonts w:ascii="Arial" w:cs="Arial" w:eastAsia="Arial" w:hAnsi="Arial"/>
                <w:sz w:val="17"/>
                <w:szCs w:val="17"/>
                <w:color w:val="auto"/>
              </w:rPr>
              <w:t>Median:</w:t>
            </w:r>
          </w:p>
        </w:tc>
        <w:tc>
          <w:tcPr>
            <w:tcW w:w="2420" w:type="dxa"/>
            <w:vAlign w:val="bottom"/>
          </w:tcPr>
          <w:p>
            <w:pPr>
              <w:ind w:left="300"/>
              <w:spacing w:after="0"/>
              <w:rPr>
                <w:sz w:val="20"/>
                <w:szCs w:val="20"/>
                <w:color w:val="auto"/>
              </w:rPr>
            </w:pPr>
            <w:r>
              <w:rPr>
                <w:rFonts w:ascii="Arial" w:cs="Arial" w:eastAsia="Arial" w:hAnsi="Arial"/>
                <w:sz w:val="17"/>
                <w:szCs w:val="17"/>
                <w:color w:val="auto"/>
              </w:rPr>
              <w:t>$6.7 billion</w:t>
            </w:r>
          </w:p>
        </w:tc>
      </w:tr>
      <w:tr>
        <w:trPr>
          <w:trHeight w:val="78"/>
        </w:trPr>
        <w:tc>
          <w:tcPr>
            <w:tcW w:w="3080" w:type="dxa"/>
            <w:vAlign w:val="bottom"/>
            <w:tcBorders>
              <w:right w:val="single" w:sz="8" w:color="A8BCBF"/>
            </w:tcBorders>
          </w:tcPr>
          <w:p>
            <w:pPr>
              <w:spacing w:after="0"/>
              <w:rPr>
                <w:sz w:val="6"/>
                <w:szCs w:val="6"/>
                <w:color w:val="auto"/>
              </w:rPr>
            </w:pPr>
          </w:p>
        </w:tc>
        <w:tc>
          <w:tcPr>
            <w:tcW w:w="2820" w:type="dxa"/>
            <w:vAlign w:val="bottom"/>
            <w:tcBorders>
              <w:right w:val="single" w:sz="8" w:color="A8BCBF"/>
            </w:tcBorders>
          </w:tcPr>
          <w:p>
            <w:pPr>
              <w:spacing w:after="0"/>
              <w:rPr>
                <w:sz w:val="6"/>
                <w:szCs w:val="6"/>
                <w:color w:val="auto"/>
              </w:rPr>
            </w:pPr>
          </w:p>
        </w:tc>
        <w:tc>
          <w:tcPr>
            <w:tcW w:w="2300" w:type="dxa"/>
            <w:vAlign w:val="bottom"/>
            <w:tcBorders>
              <w:right w:val="single" w:sz="8" w:color="A8BCBF"/>
            </w:tcBorders>
          </w:tcPr>
          <w:p>
            <w:pPr>
              <w:spacing w:after="0"/>
              <w:rPr>
                <w:sz w:val="6"/>
                <w:szCs w:val="6"/>
                <w:color w:val="auto"/>
              </w:rPr>
            </w:pPr>
          </w:p>
        </w:tc>
        <w:tc>
          <w:tcPr>
            <w:tcW w:w="2420" w:type="dxa"/>
            <w:vAlign w:val="bottom"/>
          </w:tcPr>
          <w:p>
            <w:pPr>
              <w:spacing w:after="0"/>
              <w:rPr>
                <w:sz w:val="6"/>
                <w:szCs w:val="6"/>
                <w:color w:val="auto"/>
              </w:rPr>
            </w:pPr>
          </w:p>
        </w:tc>
      </w:tr>
      <w:tr>
        <w:trPr>
          <w:trHeight w:val="286"/>
        </w:trPr>
        <w:tc>
          <w:tcPr>
            <w:tcW w:w="3080" w:type="dxa"/>
            <w:vAlign w:val="bottom"/>
            <w:tcBorders>
              <w:right w:val="single" w:sz="8" w:color="A8BCBF"/>
            </w:tcBorders>
            <w:shd w:val="clear" w:color="auto" w:fill="E1D0D6"/>
          </w:tcPr>
          <w:p>
            <w:pPr>
              <w:ind w:left="60"/>
              <w:spacing w:after="0"/>
              <w:rPr>
                <w:sz w:val="20"/>
                <w:szCs w:val="20"/>
                <w:color w:val="auto"/>
              </w:rPr>
            </w:pPr>
            <w:r>
              <w:rPr>
                <w:rFonts w:ascii="Arial" w:cs="Arial" w:eastAsia="Arial" w:hAnsi="Arial"/>
                <w:sz w:val="17"/>
                <w:szCs w:val="17"/>
                <w:color w:val="auto"/>
              </w:rPr>
              <w:t>Market Capitalization</w:t>
            </w:r>
          </w:p>
        </w:tc>
        <w:tc>
          <w:tcPr>
            <w:tcW w:w="2820" w:type="dxa"/>
            <w:vAlign w:val="bottom"/>
            <w:tcBorders>
              <w:right w:val="single" w:sz="8" w:color="A8BCBF"/>
            </w:tcBorders>
            <w:shd w:val="clear" w:color="auto" w:fill="E1D0D6"/>
          </w:tcPr>
          <w:p>
            <w:pPr>
              <w:jc w:val="center"/>
              <w:ind w:left="38"/>
              <w:spacing w:after="0"/>
              <w:rPr>
                <w:sz w:val="20"/>
                <w:szCs w:val="20"/>
                <w:color w:val="auto"/>
              </w:rPr>
            </w:pPr>
            <w:r>
              <w:rPr>
                <w:rFonts w:ascii="Arial" w:cs="Arial" w:eastAsia="Arial" w:hAnsi="Arial"/>
                <w:sz w:val="17"/>
                <w:szCs w:val="17"/>
                <w:color w:val="auto"/>
              </w:rPr>
              <w:t>$9.3 billion</w:t>
            </w:r>
          </w:p>
        </w:tc>
        <w:tc>
          <w:tcPr>
            <w:tcW w:w="2300" w:type="dxa"/>
            <w:vAlign w:val="bottom"/>
            <w:tcBorders>
              <w:right w:val="single" w:sz="8" w:color="A8BCBF"/>
            </w:tcBorders>
            <w:shd w:val="clear" w:color="auto" w:fill="E1D0D6"/>
          </w:tcPr>
          <w:p>
            <w:pPr>
              <w:jc w:val="center"/>
              <w:ind w:left="253"/>
              <w:spacing w:after="0"/>
              <w:rPr>
                <w:sz w:val="20"/>
                <w:szCs w:val="20"/>
                <w:color w:val="auto"/>
              </w:rPr>
            </w:pPr>
            <w:r>
              <w:rPr>
                <w:rFonts w:ascii="Arial" w:cs="Arial" w:eastAsia="Arial" w:hAnsi="Arial"/>
                <w:sz w:val="17"/>
                <w:szCs w:val="17"/>
                <w:color w:val="auto"/>
              </w:rPr>
              <w:t>Range:</w:t>
            </w:r>
          </w:p>
        </w:tc>
        <w:tc>
          <w:tcPr>
            <w:tcW w:w="2420" w:type="dxa"/>
            <w:vAlign w:val="bottom"/>
            <w:shd w:val="clear" w:color="auto" w:fill="E1D0D6"/>
          </w:tcPr>
          <w:p>
            <w:pPr>
              <w:ind w:left="300"/>
              <w:spacing w:after="0"/>
              <w:rPr>
                <w:sz w:val="20"/>
                <w:szCs w:val="20"/>
                <w:color w:val="auto"/>
              </w:rPr>
            </w:pPr>
            <w:r>
              <w:rPr>
                <w:rFonts w:ascii="Arial" w:cs="Arial" w:eastAsia="Arial" w:hAnsi="Arial"/>
                <w:sz w:val="17"/>
                <w:szCs w:val="17"/>
                <w:color w:val="auto"/>
              </w:rPr>
              <w:t>$4.5 billion–$47.1 billion</w:t>
            </w:r>
          </w:p>
        </w:tc>
      </w:tr>
      <w:tr>
        <w:trPr>
          <w:trHeight w:val="78"/>
        </w:trPr>
        <w:tc>
          <w:tcPr>
            <w:tcW w:w="3080" w:type="dxa"/>
            <w:vAlign w:val="bottom"/>
            <w:tcBorders>
              <w:right w:val="single" w:sz="8" w:color="A8BCBF"/>
            </w:tcBorders>
            <w:shd w:val="clear" w:color="auto" w:fill="E1D0D6"/>
          </w:tcPr>
          <w:p>
            <w:pPr>
              <w:spacing w:after="0"/>
              <w:rPr>
                <w:sz w:val="6"/>
                <w:szCs w:val="6"/>
                <w:color w:val="auto"/>
              </w:rPr>
            </w:pPr>
          </w:p>
        </w:tc>
        <w:tc>
          <w:tcPr>
            <w:tcW w:w="2820" w:type="dxa"/>
            <w:vAlign w:val="bottom"/>
            <w:tcBorders>
              <w:right w:val="single" w:sz="8" w:color="A8BCBF"/>
            </w:tcBorders>
            <w:shd w:val="clear" w:color="auto" w:fill="E1D0D6"/>
          </w:tcPr>
          <w:p>
            <w:pPr>
              <w:spacing w:after="0"/>
              <w:rPr>
                <w:sz w:val="6"/>
                <w:szCs w:val="6"/>
                <w:color w:val="auto"/>
              </w:rPr>
            </w:pPr>
          </w:p>
        </w:tc>
        <w:tc>
          <w:tcPr>
            <w:tcW w:w="2300" w:type="dxa"/>
            <w:vAlign w:val="bottom"/>
            <w:tcBorders>
              <w:right w:val="single" w:sz="8" w:color="A8BCBF"/>
            </w:tcBorders>
            <w:shd w:val="clear" w:color="auto" w:fill="E1D0D6"/>
          </w:tcPr>
          <w:p>
            <w:pPr>
              <w:spacing w:after="0"/>
              <w:rPr>
                <w:sz w:val="6"/>
                <w:szCs w:val="6"/>
                <w:color w:val="auto"/>
              </w:rPr>
            </w:pPr>
          </w:p>
        </w:tc>
        <w:tc>
          <w:tcPr>
            <w:tcW w:w="2420" w:type="dxa"/>
            <w:vAlign w:val="bottom"/>
            <w:shd w:val="clear" w:color="auto" w:fill="E1D0D6"/>
          </w:tcPr>
          <w:p>
            <w:pPr>
              <w:spacing w:after="0"/>
              <w:rPr>
                <w:sz w:val="6"/>
                <w:szCs w:val="6"/>
                <w:color w:val="auto"/>
              </w:rPr>
            </w:pPr>
          </w:p>
        </w:tc>
      </w:tr>
      <w:tr>
        <w:trPr>
          <w:trHeight w:val="286"/>
        </w:trPr>
        <w:tc>
          <w:tcPr>
            <w:tcW w:w="3080" w:type="dxa"/>
            <w:vAlign w:val="bottom"/>
            <w:tcBorders>
              <w:right w:val="single" w:sz="8" w:color="A8BCBF"/>
            </w:tcBorders>
          </w:tcPr>
          <w:p>
            <w:pPr>
              <w:spacing w:after="0"/>
              <w:rPr>
                <w:sz w:val="24"/>
                <w:szCs w:val="24"/>
                <w:color w:val="auto"/>
              </w:rPr>
            </w:pPr>
          </w:p>
        </w:tc>
        <w:tc>
          <w:tcPr>
            <w:tcW w:w="2820" w:type="dxa"/>
            <w:vAlign w:val="bottom"/>
            <w:tcBorders>
              <w:right w:val="single" w:sz="8" w:color="A8BCBF"/>
            </w:tcBorders>
          </w:tcPr>
          <w:p>
            <w:pPr>
              <w:spacing w:after="0"/>
              <w:rPr>
                <w:sz w:val="24"/>
                <w:szCs w:val="24"/>
                <w:color w:val="auto"/>
              </w:rPr>
            </w:pPr>
          </w:p>
        </w:tc>
        <w:tc>
          <w:tcPr>
            <w:tcW w:w="2300" w:type="dxa"/>
            <w:vAlign w:val="bottom"/>
            <w:tcBorders>
              <w:right w:val="single" w:sz="8" w:color="A8BCBF"/>
            </w:tcBorders>
          </w:tcPr>
          <w:p>
            <w:pPr>
              <w:jc w:val="center"/>
              <w:ind w:left="233"/>
              <w:spacing w:after="0"/>
              <w:rPr>
                <w:sz w:val="20"/>
                <w:szCs w:val="20"/>
                <w:color w:val="auto"/>
              </w:rPr>
            </w:pPr>
            <w:r>
              <w:rPr>
                <w:rFonts w:ascii="Arial" w:cs="Arial" w:eastAsia="Arial" w:hAnsi="Arial"/>
                <w:sz w:val="17"/>
                <w:szCs w:val="17"/>
                <w:color w:val="auto"/>
              </w:rPr>
              <w:t>Median:</w:t>
            </w:r>
          </w:p>
        </w:tc>
        <w:tc>
          <w:tcPr>
            <w:tcW w:w="2420" w:type="dxa"/>
            <w:vAlign w:val="bottom"/>
          </w:tcPr>
          <w:p>
            <w:pPr>
              <w:ind w:left="300"/>
              <w:spacing w:after="0"/>
              <w:rPr>
                <w:sz w:val="20"/>
                <w:szCs w:val="20"/>
                <w:color w:val="auto"/>
              </w:rPr>
            </w:pPr>
            <w:r>
              <w:rPr>
                <w:rFonts w:ascii="Arial" w:cs="Arial" w:eastAsia="Arial" w:hAnsi="Arial"/>
                <w:sz w:val="17"/>
                <w:szCs w:val="17"/>
                <w:color w:val="auto"/>
              </w:rPr>
              <w:t>$9.2 billion</w:t>
            </w:r>
          </w:p>
        </w:tc>
      </w:tr>
      <w:tr>
        <w:trPr>
          <w:trHeight w:val="78"/>
        </w:trPr>
        <w:tc>
          <w:tcPr>
            <w:tcW w:w="3080" w:type="dxa"/>
            <w:vAlign w:val="bottom"/>
            <w:tcBorders>
              <w:right w:val="single" w:sz="8" w:color="A8BCBF"/>
            </w:tcBorders>
          </w:tcPr>
          <w:p>
            <w:pPr>
              <w:spacing w:after="0"/>
              <w:rPr>
                <w:sz w:val="6"/>
                <w:szCs w:val="6"/>
                <w:color w:val="auto"/>
              </w:rPr>
            </w:pPr>
          </w:p>
        </w:tc>
        <w:tc>
          <w:tcPr>
            <w:tcW w:w="2820" w:type="dxa"/>
            <w:vAlign w:val="bottom"/>
            <w:tcBorders>
              <w:right w:val="single" w:sz="8" w:color="A8BCBF"/>
            </w:tcBorders>
          </w:tcPr>
          <w:p>
            <w:pPr>
              <w:spacing w:after="0"/>
              <w:rPr>
                <w:sz w:val="6"/>
                <w:szCs w:val="6"/>
                <w:color w:val="auto"/>
              </w:rPr>
            </w:pPr>
          </w:p>
        </w:tc>
        <w:tc>
          <w:tcPr>
            <w:tcW w:w="2300" w:type="dxa"/>
            <w:vAlign w:val="bottom"/>
            <w:tcBorders>
              <w:right w:val="single" w:sz="8" w:color="A8BCBF"/>
            </w:tcBorders>
          </w:tcPr>
          <w:p>
            <w:pPr>
              <w:spacing w:after="0"/>
              <w:rPr>
                <w:sz w:val="6"/>
                <w:szCs w:val="6"/>
                <w:color w:val="auto"/>
              </w:rPr>
            </w:pPr>
          </w:p>
        </w:tc>
        <w:tc>
          <w:tcPr>
            <w:tcW w:w="2420" w:type="dxa"/>
            <w:vAlign w:val="bottom"/>
          </w:tcPr>
          <w:p>
            <w:pPr>
              <w:spacing w:after="0"/>
              <w:rPr>
                <w:sz w:val="6"/>
                <w:szCs w:val="6"/>
                <w:color w:val="auto"/>
              </w:rPr>
            </w:pPr>
          </w:p>
        </w:tc>
      </w:tr>
      <w:tr>
        <w:trPr>
          <w:trHeight w:val="286"/>
        </w:trPr>
        <w:tc>
          <w:tcPr>
            <w:tcW w:w="3080" w:type="dxa"/>
            <w:vAlign w:val="bottom"/>
            <w:tcBorders>
              <w:right w:val="single" w:sz="8" w:color="A8BCBF"/>
            </w:tcBorders>
            <w:shd w:val="clear" w:color="auto" w:fill="E1D0D6"/>
          </w:tcPr>
          <w:p>
            <w:pPr>
              <w:ind w:left="60"/>
              <w:spacing w:after="0"/>
              <w:rPr>
                <w:sz w:val="20"/>
                <w:szCs w:val="20"/>
                <w:color w:val="auto"/>
              </w:rPr>
            </w:pPr>
            <w:r>
              <w:rPr>
                <w:rFonts w:ascii="Arial" w:cs="Arial" w:eastAsia="Arial" w:hAnsi="Arial"/>
                <w:sz w:val="17"/>
                <w:szCs w:val="17"/>
                <w:color w:val="auto"/>
              </w:rPr>
              <w:t>Enterprise Value</w:t>
            </w:r>
          </w:p>
        </w:tc>
        <w:tc>
          <w:tcPr>
            <w:tcW w:w="2820" w:type="dxa"/>
            <w:vAlign w:val="bottom"/>
            <w:tcBorders>
              <w:right w:val="single" w:sz="8" w:color="A8BCBF"/>
            </w:tcBorders>
            <w:shd w:val="clear" w:color="auto" w:fill="E1D0D6"/>
          </w:tcPr>
          <w:p>
            <w:pPr>
              <w:jc w:val="center"/>
              <w:ind w:left="18"/>
              <w:spacing w:after="0"/>
              <w:rPr>
                <w:sz w:val="20"/>
                <w:szCs w:val="20"/>
                <w:color w:val="auto"/>
              </w:rPr>
            </w:pPr>
            <w:r>
              <w:rPr>
                <w:rFonts w:ascii="Arial" w:cs="Arial" w:eastAsia="Arial" w:hAnsi="Arial"/>
                <w:sz w:val="17"/>
                <w:szCs w:val="17"/>
                <w:color w:val="auto"/>
              </w:rPr>
              <w:t>$18.8 billion</w:t>
            </w:r>
          </w:p>
        </w:tc>
        <w:tc>
          <w:tcPr>
            <w:tcW w:w="2300" w:type="dxa"/>
            <w:vAlign w:val="bottom"/>
            <w:tcBorders>
              <w:right w:val="single" w:sz="8" w:color="A8BCBF"/>
            </w:tcBorders>
            <w:shd w:val="clear" w:color="auto" w:fill="E1D0D6"/>
          </w:tcPr>
          <w:p>
            <w:pPr>
              <w:jc w:val="center"/>
              <w:ind w:left="253"/>
              <w:spacing w:after="0"/>
              <w:rPr>
                <w:sz w:val="20"/>
                <w:szCs w:val="20"/>
                <w:color w:val="auto"/>
              </w:rPr>
            </w:pPr>
            <w:r>
              <w:rPr>
                <w:rFonts w:ascii="Arial" w:cs="Arial" w:eastAsia="Arial" w:hAnsi="Arial"/>
                <w:sz w:val="17"/>
                <w:szCs w:val="17"/>
                <w:color w:val="auto"/>
              </w:rPr>
              <w:t>Range:</w:t>
            </w:r>
          </w:p>
        </w:tc>
        <w:tc>
          <w:tcPr>
            <w:tcW w:w="2420" w:type="dxa"/>
            <w:vAlign w:val="bottom"/>
            <w:shd w:val="clear" w:color="auto" w:fill="E1D0D6"/>
          </w:tcPr>
          <w:p>
            <w:pPr>
              <w:ind w:left="300"/>
              <w:spacing w:after="0"/>
              <w:rPr>
                <w:sz w:val="20"/>
                <w:szCs w:val="20"/>
                <w:color w:val="auto"/>
              </w:rPr>
            </w:pPr>
            <w:r>
              <w:rPr>
                <w:rFonts w:ascii="Arial" w:cs="Arial" w:eastAsia="Arial" w:hAnsi="Arial"/>
                <w:sz w:val="17"/>
                <w:szCs w:val="17"/>
                <w:color w:val="auto"/>
              </w:rPr>
              <w:t>$7.7 billion–$56.5 billion</w:t>
            </w:r>
          </w:p>
        </w:tc>
      </w:tr>
      <w:tr>
        <w:trPr>
          <w:trHeight w:val="78"/>
        </w:trPr>
        <w:tc>
          <w:tcPr>
            <w:tcW w:w="3080" w:type="dxa"/>
            <w:vAlign w:val="bottom"/>
            <w:tcBorders>
              <w:right w:val="single" w:sz="8" w:color="A8BCBF"/>
            </w:tcBorders>
            <w:shd w:val="clear" w:color="auto" w:fill="E1D0D6"/>
          </w:tcPr>
          <w:p>
            <w:pPr>
              <w:spacing w:after="0"/>
              <w:rPr>
                <w:sz w:val="6"/>
                <w:szCs w:val="6"/>
                <w:color w:val="auto"/>
              </w:rPr>
            </w:pPr>
          </w:p>
        </w:tc>
        <w:tc>
          <w:tcPr>
            <w:tcW w:w="2820" w:type="dxa"/>
            <w:vAlign w:val="bottom"/>
            <w:tcBorders>
              <w:right w:val="single" w:sz="8" w:color="A8BCBF"/>
            </w:tcBorders>
            <w:shd w:val="clear" w:color="auto" w:fill="E1D0D6"/>
          </w:tcPr>
          <w:p>
            <w:pPr>
              <w:spacing w:after="0"/>
              <w:rPr>
                <w:sz w:val="6"/>
                <w:szCs w:val="6"/>
                <w:color w:val="auto"/>
              </w:rPr>
            </w:pPr>
          </w:p>
        </w:tc>
        <w:tc>
          <w:tcPr>
            <w:tcW w:w="2300" w:type="dxa"/>
            <w:vAlign w:val="bottom"/>
            <w:tcBorders>
              <w:right w:val="single" w:sz="8" w:color="A8BCBF"/>
            </w:tcBorders>
            <w:shd w:val="clear" w:color="auto" w:fill="E1D0D6"/>
          </w:tcPr>
          <w:p>
            <w:pPr>
              <w:spacing w:after="0"/>
              <w:rPr>
                <w:sz w:val="6"/>
                <w:szCs w:val="6"/>
                <w:color w:val="auto"/>
              </w:rPr>
            </w:pPr>
          </w:p>
        </w:tc>
        <w:tc>
          <w:tcPr>
            <w:tcW w:w="2420" w:type="dxa"/>
            <w:vAlign w:val="bottom"/>
            <w:shd w:val="clear" w:color="auto" w:fill="E1D0D6"/>
          </w:tcPr>
          <w:p>
            <w:pPr>
              <w:spacing w:after="0"/>
              <w:rPr>
                <w:sz w:val="6"/>
                <w:szCs w:val="6"/>
                <w:color w:val="auto"/>
              </w:rPr>
            </w:pPr>
          </w:p>
        </w:tc>
      </w:tr>
      <w:tr>
        <w:trPr>
          <w:trHeight w:val="286"/>
        </w:trPr>
        <w:tc>
          <w:tcPr>
            <w:tcW w:w="3080" w:type="dxa"/>
            <w:vAlign w:val="bottom"/>
            <w:tcBorders>
              <w:right w:val="single" w:sz="8" w:color="A8BCBF"/>
            </w:tcBorders>
          </w:tcPr>
          <w:p>
            <w:pPr>
              <w:spacing w:after="0"/>
              <w:rPr>
                <w:sz w:val="24"/>
                <w:szCs w:val="24"/>
                <w:color w:val="auto"/>
              </w:rPr>
            </w:pPr>
          </w:p>
        </w:tc>
        <w:tc>
          <w:tcPr>
            <w:tcW w:w="2820" w:type="dxa"/>
            <w:vAlign w:val="bottom"/>
            <w:tcBorders>
              <w:right w:val="single" w:sz="8" w:color="A8BCBF"/>
            </w:tcBorders>
          </w:tcPr>
          <w:p>
            <w:pPr>
              <w:spacing w:after="0"/>
              <w:rPr>
                <w:sz w:val="24"/>
                <w:szCs w:val="24"/>
                <w:color w:val="auto"/>
              </w:rPr>
            </w:pPr>
          </w:p>
        </w:tc>
        <w:tc>
          <w:tcPr>
            <w:tcW w:w="2300" w:type="dxa"/>
            <w:vAlign w:val="bottom"/>
            <w:tcBorders>
              <w:right w:val="single" w:sz="8" w:color="A8BCBF"/>
            </w:tcBorders>
          </w:tcPr>
          <w:p>
            <w:pPr>
              <w:jc w:val="center"/>
              <w:ind w:left="233"/>
              <w:spacing w:after="0"/>
              <w:rPr>
                <w:sz w:val="20"/>
                <w:szCs w:val="20"/>
                <w:color w:val="auto"/>
              </w:rPr>
            </w:pPr>
            <w:r>
              <w:rPr>
                <w:rFonts w:ascii="Arial" w:cs="Arial" w:eastAsia="Arial" w:hAnsi="Arial"/>
                <w:sz w:val="17"/>
                <w:szCs w:val="17"/>
                <w:color w:val="auto"/>
              </w:rPr>
              <w:t>Median:</w:t>
            </w:r>
          </w:p>
        </w:tc>
        <w:tc>
          <w:tcPr>
            <w:tcW w:w="2420" w:type="dxa"/>
            <w:vAlign w:val="bottom"/>
          </w:tcPr>
          <w:p>
            <w:pPr>
              <w:ind w:left="300"/>
              <w:spacing w:after="0"/>
              <w:rPr>
                <w:sz w:val="20"/>
                <w:szCs w:val="20"/>
                <w:color w:val="auto"/>
              </w:rPr>
            </w:pPr>
            <w:r>
              <w:rPr>
                <w:rFonts w:ascii="Arial" w:cs="Arial" w:eastAsia="Arial" w:hAnsi="Arial"/>
                <w:sz w:val="17"/>
                <w:szCs w:val="17"/>
                <w:color w:val="auto"/>
              </w:rPr>
              <w:t>$17.2 billion</w:t>
            </w:r>
          </w:p>
        </w:tc>
      </w:tr>
      <w:tr>
        <w:trPr>
          <w:trHeight w:val="78"/>
        </w:trPr>
        <w:tc>
          <w:tcPr>
            <w:tcW w:w="3080" w:type="dxa"/>
            <w:vAlign w:val="bottom"/>
            <w:tcBorders>
              <w:right w:val="single" w:sz="8" w:color="A8BCBF"/>
            </w:tcBorders>
          </w:tcPr>
          <w:p>
            <w:pPr>
              <w:spacing w:after="0"/>
              <w:rPr>
                <w:sz w:val="6"/>
                <w:szCs w:val="6"/>
                <w:color w:val="auto"/>
              </w:rPr>
            </w:pPr>
          </w:p>
        </w:tc>
        <w:tc>
          <w:tcPr>
            <w:tcW w:w="2820" w:type="dxa"/>
            <w:vAlign w:val="bottom"/>
            <w:tcBorders>
              <w:right w:val="single" w:sz="8" w:color="A8BCBF"/>
            </w:tcBorders>
          </w:tcPr>
          <w:p>
            <w:pPr>
              <w:spacing w:after="0"/>
              <w:rPr>
                <w:sz w:val="6"/>
                <w:szCs w:val="6"/>
                <w:color w:val="auto"/>
              </w:rPr>
            </w:pPr>
          </w:p>
        </w:tc>
        <w:tc>
          <w:tcPr>
            <w:tcW w:w="2300" w:type="dxa"/>
            <w:vAlign w:val="bottom"/>
            <w:tcBorders>
              <w:right w:val="single" w:sz="8" w:color="A8BCBF"/>
            </w:tcBorders>
          </w:tcPr>
          <w:p>
            <w:pPr>
              <w:spacing w:after="0"/>
              <w:rPr>
                <w:sz w:val="6"/>
                <w:szCs w:val="6"/>
                <w:color w:val="auto"/>
              </w:rPr>
            </w:pPr>
          </w:p>
        </w:tc>
        <w:tc>
          <w:tcPr>
            <w:tcW w:w="2420" w:type="dxa"/>
            <w:vAlign w:val="bottom"/>
          </w:tcPr>
          <w:p>
            <w:pPr>
              <w:spacing w:after="0"/>
              <w:rPr>
                <w:sz w:val="6"/>
                <w:szCs w:val="6"/>
                <w:color w:val="auto"/>
              </w:rPr>
            </w:pPr>
          </w:p>
        </w:tc>
      </w:tr>
    </w:tbl>
    <w:p>
      <w:pPr>
        <w:spacing w:after="0" w:line="62" w:lineRule="exact"/>
        <w:rPr>
          <w:sz w:val="20"/>
          <w:szCs w:val="20"/>
          <w:color w:val="auto"/>
        </w:rPr>
      </w:pPr>
    </w:p>
    <w:p>
      <w:pPr>
        <w:ind w:left="320"/>
        <w:spacing w:after="0"/>
        <w:rPr>
          <w:sz w:val="20"/>
          <w:szCs w:val="20"/>
          <w:color w:val="auto"/>
        </w:rPr>
      </w:pPr>
      <w:r>
        <w:rPr>
          <w:rFonts w:ascii="Arial" w:cs="Arial" w:eastAsia="Arial" w:hAnsi="Arial"/>
          <w:sz w:val="10"/>
          <w:szCs w:val="10"/>
          <w:color w:val="auto"/>
        </w:rPr>
        <w:t>Data source: Bloomberg.</w:t>
      </w:r>
    </w:p>
    <w:p>
      <w:pPr>
        <w:spacing w:after="0" w:line="173" w:lineRule="exact"/>
        <w:rPr>
          <w:sz w:val="20"/>
          <w:szCs w:val="20"/>
          <w:color w:val="auto"/>
        </w:rPr>
      </w:pPr>
    </w:p>
    <w:p>
      <w:pPr>
        <w:ind w:left="320" w:right="560"/>
        <w:spacing w:after="0" w:line="256" w:lineRule="auto"/>
        <w:rPr>
          <w:sz w:val="20"/>
          <w:szCs w:val="20"/>
          <w:color w:val="auto"/>
        </w:rPr>
      </w:pPr>
      <w:r>
        <w:rPr>
          <w:rFonts w:ascii="Arial" w:cs="Arial" w:eastAsia="Arial" w:hAnsi="Arial"/>
          <w:sz w:val="17"/>
          <w:szCs w:val="17"/>
          <w:color w:val="auto"/>
        </w:rPr>
        <w:t>Our CEO pay is below the 25th percentile based on publicly reported executive compensation information in 2022 peer group proxy statements as of March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115570</wp:posOffset>
            </wp:positionV>
            <wp:extent cx="4535170" cy="255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535170" cy="255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 39 //</w:t>
      </w:r>
    </w:p>
    <w:p>
      <w:pPr>
        <w:sectPr>
          <w:pgSz w:w="11900" w:h="16838" w:orient="portrait"/>
          <w:cols w:equalWidth="0" w:num="1">
            <w:col w:w="10940"/>
          </w:cols>
          <w:pgMar w:left="320" w:top="473" w:right="6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Non-disclosure of certain metrics and targets</w:t>
      </w:r>
    </w:p>
    <w:p>
      <w:pPr>
        <w:spacing w:after="0" w:line="33" w:lineRule="exact"/>
        <w:rPr>
          <w:sz w:val="20"/>
          <w:szCs w:val="20"/>
          <w:color w:val="auto"/>
        </w:rPr>
      </w:pPr>
    </w:p>
    <w:p>
      <w:pPr>
        <w:ind w:left="320" w:right="200"/>
        <w:spacing w:after="0" w:line="245" w:lineRule="auto"/>
        <w:rPr>
          <w:sz w:val="20"/>
          <w:szCs w:val="20"/>
          <w:color w:val="auto"/>
        </w:rPr>
      </w:pPr>
      <w:r>
        <w:rPr>
          <w:rFonts w:ascii="Arial" w:cs="Arial" w:eastAsia="Arial" w:hAnsi="Arial"/>
          <w:sz w:val="17"/>
          <w:szCs w:val="17"/>
          <w:color w:val="auto"/>
        </w:rPr>
        <w:t>The Company believes in transparency and strives to disclose as much information to shareholders as possible except when we believe that providing full, or even limited, disclosure would be detrimental to the interests of shareholders. We believe certain disclosures could provide our competitors with insight regarding confidential business strategies without meaningfully adding to shareholders’ understanding.</w:t>
      </w:r>
    </w:p>
    <w:p>
      <w:pPr>
        <w:spacing w:after="0" w:line="332"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Other aspects of our executive compensation</w:t>
      </w:r>
    </w:p>
    <w:p>
      <w:pPr>
        <w:spacing w:after="0" w:line="46" w:lineRule="exact"/>
        <w:rPr>
          <w:sz w:val="20"/>
          <w:szCs w:val="20"/>
          <w:color w:val="auto"/>
        </w:rPr>
      </w:pPr>
    </w:p>
    <w:p>
      <w:pPr>
        <w:ind w:left="320" w:right="200"/>
        <w:spacing w:after="0" w:line="256" w:lineRule="auto"/>
        <w:rPr>
          <w:sz w:val="20"/>
          <w:szCs w:val="20"/>
          <w:color w:val="auto"/>
        </w:rPr>
      </w:pPr>
      <w:r>
        <w:rPr>
          <w:rFonts w:ascii="Arial" w:cs="Arial" w:eastAsia="Arial" w:hAnsi="Arial"/>
          <w:sz w:val="17"/>
          <w:szCs w:val="17"/>
          <w:color w:val="6A1834"/>
        </w:rPr>
        <w:t xml:space="preserve">STOCK OWNERSHIP REQUIREMENTS: </w:t>
      </w:r>
      <w:r>
        <w:rPr>
          <w:rFonts w:ascii="Arial" w:cs="Arial" w:eastAsia="Arial" w:hAnsi="Arial"/>
          <w:sz w:val="17"/>
          <w:szCs w:val="17"/>
          <w:color w:val="000000"/>
        </w:rPr>
        <w:t>The Board has adopted the following stock ownership requirements applicable to members of</w:t>
      </w:r>
      <w:r>
        <w:rPr>
          <w:rFonts w:ascii="Arial" w:cs="Arial" w:eastAsia="Arial" w:hAnsi="Arial"/>
          <w:sz w:val="17"/>
          <w:szCs w:val="17"/>
          <w:color w:val="6A1834"/>
        </w:rPr>
        <w:t xml:space="preserve"> </w:t>
      </w:r>
      <w:r>
        <w:rPr>
          <w:rFonts w:ascii="Arial" w:cs="Arial" w:eastAsia="Arial" w:hAnsi="Arial"/>
          <w:sz w:val="17"/>
          <w:szCs w:val="17"/>
          <w:color w:val="000000"/>
        </w:rPr>
        <w:t>the Board of Directors and senior officers:</w:t>
      </w:r>
    </w:p>
    <w:p>
      <w:pPr>
        <w:spacing w:after="0" w:line="182" w:lineRule="exact"/>
        <w:rPr>
          <w:sz w:val="20"/>
          <w:szCs w:val="20"/>
          <w:color w:val="auto"/>
        </w:rPr>
      </w:pPr>
    </w:p>
    <w:tbl>
      <w:tblPr>
        <w:tblLayout w:type="fixed"/>
        <w:tblInd w:w="320" w:type="dxa"/>
        <w:tblCellMar>
          <w:top w:w="0" w:type="dxa"/>
          <w:left w:w="0" w:type="dxa"/>
          <w:bottom w:w="0" w:type="dxa"/>
          <w:right w:w="0" w:type="dxa"/>
        </w:tblCellMar>
      </w:tblPr>
      <w:tr>
        <w:trPr>
          <w:trHeight w:val="403"/>
        </w:trPr>
        <w:tc>
          <w:tcPr>
            <w:tcW w:w="5320" w:type="dxa"/>
            <w:vAlign w:val="bottom"/>
            <w:tcBorders>
              <w:right w:val="single" w:sz="8" w:color="A8BCBF"/>
            </w:tcBorders>
            <w:shd w:val="clear" w:color="auto" w:fill="E1D0D6"/>
          </w:tcPr>
          <w:p>
            <w:pPr>
              <w:ind w:left="220"/>
              <w:spacing w:after="0"/>
              <w:rPr>
                <w:sz w:val="20"/>
                <w:szCs w:val="20"/>
                <w:color w:val="auto"/>
              </w:rPr>
            </w:pPr>
            <w:r>
              <w:rPr>
                <w:rFonts w:ascii="Arial" w:cs="Arial" w:eastAsia="Arial" w:hAnsi="Arial"/>
                <w:sz w:val="17"/>
                <w:szCs w:val="17"/>
                <w:color w:val="auto"/>
              </w:rPr>
              <w:t>Chief Executive Officer</w:t>
            </w:r>
          </w:p>
        </w:tc>
        <w:tc>
          <w:tcPr>
            <w:tcW w:w="5300" w:type="dxa"/>
            <w:vAlign w:val="bottom"/>
            <w:shd w:val="clear" w:color="auto" w:fill="E1D0D6"/>
          </w:tcPr>
          <w:p>
            <w:pPr>
              <w:ind w:left="220"/>
              <w:spacing w:after="0"/>
              <w:rPr>
                <w:sz w:val="20"/>
                <w:szCs w:val="20"/>
                <w:color w:val="auto"/>
              </w:rPr>
            </w:pPr>
            <w:r>
              <w:rPr>
                <w:rFonts w:ascii="Arial" w:cs="Arial" w:eastAsia="Arial" w:hAnsi="Arial"/>
                <w:sz w:val="17"/>
                <w:szCs w:val="17"/>
                <w:color w:val="auto"/>
              </w:rPr>
              <w:t>6x base salary</w:t>
            </w:r>
          </w:p>
        </w:tc>
      </w:tr>
      <w:tr>
        <w:trPr>
          <w:trHeight w:val="117"/>
        </w:trPr>
        <w:tc>
          <w:tcPr>
            <w:tcW w:w="5320" w:type="dxa"/>
            <w:vAlign w:val="bottom"/>
            <w:tcBorders>
              <w:right w:val="single" w:sz="8" w:color="A8BCBF"/>
            </w:tcBorders>
            <w:shd w:val="clear" w:color="auto" w:fill="E1D0D6"/>
          </w:tcPr>
          <w:p>
            <w:pPr>
              <w:spacing w:after="0"/>
              <w:rPr>
                <w:sz w:val="10"/>
                <w:szCs w:val="10"/>
                <w:color w:val="auto"/>
              </w:rPr>
            </w:pPr>
          </w:p>
        </w:tc>
        <w:tc>
          <w:tcPr>
            <w:tcW w:w="5300" w:type="dxa"/>
            <w:vAlign w:val="bottom"/>
            <w:shd w:val="clear" w:color="auto" w:fill="E1D0D6"/>
          </w:tcPr>
          <w:p>
            <w:pPr>
              <w:spacing w:after="0"/>
              <w:rPr>
                <w:sz w:val="10"/>
                <w:szCs w:val="10"/>
                <w:color w:val="auto"/>
              </w:rPr>
            </w:pPr>
          </w:p>
        </w:tc>
      </w:tr>
      <w:tr>
        <w:trPr>
          <w:trHeight w:val="377"/>
        </w:trPr>
        <w:tc>
          <w:tcPr>
            <w:tcW w:w="5320" w:type="dxa"/>
            <w:vAlign w:val="bottom"/>
            <w:tcBorders>
              <w:right w:val="single" w:sz="8" w:color="A8BCBF"/>
            </w:tcBorders>
          </w:tcPr>
          <w:p>
            <w:pPr>
              <w:ind w:left="220"/>
              <w:spacing w:after="0"/>
              <w:rPr>
                <w:sz w:val="20"/>
                <w:szCs w:val="20"/>
                <w:color w:val="auto"/>
              </w:rPr>
            </w:pPr>
            <w:r>
              <w:rPr>
                <w:rFonts w:ascii="Arial" w:cs="Arial" w:eastAsia="Arial" w:hAnsi="Arial"/>
                <w:sz w:val="17"/>
                <w:szCs w:val="17"/>
                <w:color w:val="auto"/>
              </w:rPr>
              <w:t>Other NEOs</w:t>
            </w:r>
          </w:p>
        </w:tc>
        <w:tc>
          <w:tcPr>
            <w:tcW w:w="5300" w:type="dxa"/>
            <w:vAlign w:val="bottom"/>
          </w:tcPr>
          <w:p>
            <w:pPr>
              <w:ind w:left="220"/>
              <w:spacing w:after="0"/>
              <w:rPr>
                <w:sz w:val="20"/>
                <w:szCs w:val="20"/>
                <w:color w:val="auto"/>
              </w:rPr>
            </w:pPr>
            <w:r>
              <w:rPr>
                <w:rFonts w:ascii="Arial" w:cs="Arial" w:eastAsia="Arial" w:hAnsi="Arial"/>
                <w:sz w:val="17"/>
                <w:szCs w:val="17"/>
                <w:color w:val="auto"/>
              </w:rPr>
              <w:t>3x base salary</w:t>
            </w:r>
          </w:p>
        </w:tc>
      </w:tr>
      <w:tr>
        <w:trPr>
          <w:trHeight w:val="91"/>
        </w:trPr>
        <w:tc>
          <w:tcPr>
            <w:tcW w:w="5320" w:type="dxa"/>
            <w:vAlign w:val="bottom"/>
            <w:tcBorders>
              <w:right w:val="single" w:sz="8" w:color="A8BCBF"/>
            </w:tcBorders>
          </w:tcPr>
          <w:p>
            <w:pPr>
              <w:spacing w:after="0"/>
              <w:rPr>
                <w:sz w:val="7"/>
                <w:szCs w:val="7"/>
                <w:color w:val="auto"/>
              </w:rPr>
            </w:pPr>
          </w:p>
        </w:tc>
        <w:tc>
          <w:tcPr>
            <w:tcW w:w="5300" w:type="dxa"/>
            <w:vAlign w:val="bottom"/>
          </w:tcPr>
          <w:p>
            <w:pPr>
              <w:spacing w:after="0"/>
              <w:rPr>
                <w:sz w:val="7"/>
                <w:szCs w:val="7"/>
                <w:color w:val="auto"/>
              </w:rPr>
            </w:pPr>
          </w:p>
        </w:tc>
      </w:tr>
      <w:tr>
        <w:trPr>
          <w:trHeight w:val="377"/>
        </w:trPr>
        <w:tc>
          <w:tcPr>
            <w:tcW w:w="5320" w:type="dxa"/>
            <w:vAlign w:val="bottom"/>
            <w:tcBorders>
              <w:right w:val="single" w:sz="8" w:color="A8BCBF"/>
            </w:tcBorders>
            <w:shd w:val="clear" w:color="auto" w:fill="E1D0D6"/>
          </w:tcPr>
          <w:p>
            <w:pPr>
              <w:ind w:left="220"/>
              <w:spacing w:after="0"/>
              <w:rPr>
                <w:sz w:val="20"/>
                <w:szCs w:val="20"/>
                <w:color w:val="auto"/>
              </w:rPr>
            </w:pPr>
            <w:r>
              <w:rPr>
                <w:rFonts w:ascii="Arial" w:cs="Arial" w:eastAsia="Arial" w:hAnsi="Arial"/>
                <w:sz w:val="17"/>
                <w:szCs w:val="17"/>
                <w:color w:val="auto"/>
              </w:rPr>
              <w:t>Non-employee Members of the Board</w:t>
            </w:r>
          </w:p>
        </w:tc>
        <w:tc>
          <w:tcPr>
            <w:tcW w:w="5300" w:type="dxa"/>
            <w:vAlign w:val="bottom"/>
            <w:shd w:val="clear" w:color="auto" w:fill="E1D0D6"/>
          </w:tcPr>
          <w:p>
            <w:pPr>
              <w:ind w:left="220"/>
              <w:spacing w:after="0"/>
              <w:rPr>
                <w:sz w:val="20"/>
                <w:szCs w:val="20"/>
                <w:color w:val="auto"/>
              </w:rPr>
            </w:pPr>
            <w:r>
              <w:rPr>
                <w:rFonts w:ascii="Arial" w:cs="Arial" w:eastAsia="Arial" w:hAnsi="Arial"/>
                <w:sz w:val="17"/>
                <w:szCs w:val="17"/>
                <w:color w:val="auto"/>
              </w:rPr>
              <w:t>3x annual retainer</w:t>
            </w:r>
          </w:p>
        </w:tc>
      </w:tr>
      <w:tr>
        <w:trPr>
          <w:trHeight w:val="91"/>
        </w:trPr>
        <w:tc>
          <w:tcPr>
            <w:tcW w:w="5320" w:type="dxa"/>
            <w:vAlign w:val="bottom"/>
            <w:tcBorders>
              <w:right w:val="single" w:sz="8" w:color="A8BCBF"/>
            </w:tcBorders>
            <w:shd w:val="clear" w:color="auto" w:fill="E1D0D6"/>
          </w:tcPr>
          <w:p>
            <w:pPr>
              <w:spacing w:after="0"/>
              <w:rPr>
                <w:sz w:val="7"/>
                <w:szCs w:val="7"/>
                <w:color w:val="auto"/>
              </w:rPr>
            </w:pPr>
          </w:p>
        </w:tc>
        <w:tc>
          <w:tcPr>
            <w:tcW w:w="5300" w:type="dxa"/>
            <w:vAlign w:val="bottom"/>
            <w:shd w:val="clear" w:color="auto" w:fill="E1D0D6"/>
          </w:tcPr>
          <w:p>
            <w:pPr>
              <w:spacing w:after="0"/>
              <w:rPr>
                <w:sz w:val="7"/>
                <w:szCs w:val="7"/>
                <w:color w:val="auto"/>
              </w:rPr>
            </w:pPr>
          </w:p>
        </w:tc>
      </w:tr>
    </w:tbl>
    <w:p>
      <w:pPr>
        <w:spacing w:after="0" w:line="168" w:lineRule="exact"/>
        <w:rPr>
          <w:sz w:val="20"/>
          <w:szCs w:val="20"/>
          <w:color w:val="auto"/>
        </w:rPr>
      </w:pPr>
    </w:p>
    <w:p>
      <w:pPr>
        <w:ind w:left="320" w:right="200"/>
        <w:spacing w:after="0" w:line="245" w:lineRule="auto"/>
        <w:rPr>
          <w:sz w:val="20"/>
          <w:szCs w:val="20"/>
          <w:color w:val="auto"/>
        </w:rPr>
      </w:pPr>
      <w:r>
        <w:rPr>
          <w:rFonts w:ascii="Arial" w:cs="Arial" w:eastAsia="Arial" w:hAnsi="Arial"/>
          <w:sz w:val="17"/>
          <w:szCs w:val="17"/>
          <w:color w:val="auto"/>
        </w:rPr>
        <w:t>Ownership requirements must be met for NEOs within five years of appointment to office and for Directors within five years of election to the Board, with vested options and all restricted stock grants counted toward satisfaction of ownership requirements. If a NEO fails to make progress towards meeting these requirements, he or she will be automatically restricted by the Company from selling shares in future vesting beyond what is required to meet tax obligations. Currently, all members of the Board and NEOs satisfy the requirements.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6A1834"/>
        </w:rPr>
        <w:t>CLAWBACK POLICY</w:t>
      </w:r>
    </w:p>
    <w:p>
      <w:pPr>
        <w:spacing w:after="0" w:line="6" w:lineRule="exact"/>
        <w:rPr>
          <w:sz w:val="20"/>
          <w:szCs w:val="20"/>
          <w:color w:val="auto"/>
        </w:rPr>
      </w:pPr>
    </w:p>
    <w:p>
      <w:pPr>
        <w:ind w:left="320" w:right="420"/>
        <w:spacing w:after="0" w:line="243" w:lineRule="auto"/>
        <w:rPr>
          <w:sz w:val="20"/>
          <w:szCs w:val="20"/>
          <w:color w:val="auto"/>
        </w:rPr>
      </w:pPr>
      <w:r>
        <w:rPr>
          <w:rFonts w:ascii="Arial" w:cs="Arial" w:eastAsia="Arial" w:hAnsi="Arial"/>
          <w:sz w:val="17"/>
          <w:szCs w:val="17"/>
          <w:color w:val="auto"/>
        </w:rPr>
        <w:t>In anticipation of Nasdaq implementing a clawback policy rule in response to the SEC’s final rule issued in 2022, the Board adopted a clawback policy for executive officer compensation. Incentive-based compensation paid to our current or former executive officers, including our current or former NEOs, is subject to clawback (</w:t>
      </w:r>
      <w:r>
        <w:rPr>
          <w:rFonts w:ascii="Arial" w:cs="Arial" w:eastAsia="Arial" w:hAnsi="Arial"/>
          <w:sz w:val="17"/>
          <w:szCs w:val="17"/>
          <w:i w:val="1"/>
          <w:iCs w:val="1"/>
          <w:color w:val="auto"/>
        </w:rPr>
        <w:t>i.e.</w:t>
      </w:r>
      <w:r>
        <w:rPr>
          <w:rFonts w:ascii="Arial" w:cs="Arial" w:eastAsia="Arial" w:hAnsi="Arial"/>
          <w:sz w:val="17"/>
          <w:szCs w:val="17"/>
          <w:color w:val="auto"/>
        </w:rPr>
        <w:t>, repaid by the NEO to the Company) if there is a restatement of our financial statements within three years of the payment. The amount of the clawback generally is equal to the difference between the compensation received by the NEO and the payment that would have been made based on the restated financial results.</w:t>
      </w:r>
    </w:p>
    <w:p>
      <w:pPr>
        <w:spacing w:after="0" w:line="155" w:lineRule="exact"/>
        <w:rPr>
          <w:sz w:val="20"/>
          <w:szCs w:val="20"/>
          <w:color w:val="auto"/>
        </w:rPr>
      </w:pPr>
    </w:p>
    <w:p>
      <w:pPr>
        <w:ind w:left="320" w:right="20"/>
        <w:spacing w:after="0" w:line="243" w:lineRule="auto"/>
        <w:rPr>
          <w:sz w:val="20"/>
          <w:szCs w:val="20"/>
          <w:color w:val="auto"/>
        </w:rPr>
      </w:pPr>
      <w:r>
        <w:rPr>
          <w:rFonts w:ascii="Arial" w:cs="Arial" w:eastAsia="Arial" w:hAnsi="Arial"/>
          <w:sz w:val="17"/>
          <w:szCs w:val="17"/>
          <w:color w:val="6A1834"/>
        </w:rPr>
        <w:t xml:space="preserve">ROLE OF THE COMPENSATION COMMITTEE AND MANAGEMENT IN SETTING COMPENSATION: </w:t>
      </w:r>
      <w:r>
        <w:rPr>
          <w:rFonts w:ascii="Arial" w:cs="Arial" w:eastAsia="Arial" w:hAnsi="Arial"/>
          <w:sz w:val="17"/>
          <w:szCs w:val="17"/>
          <w:color w:val="000000"/>
        </w:rPr>
        <w:t>The Compensation Committee</w:t>
      </w:r>
      <w:r>
        <w:rPr>
          <w:rFonts w:ascii="Arial" w:cs="Arial" w:eastAsia="Arial" w:hAnsi="Arial"/>
          <w:sz w:val="17"/>
          <w:szCs w:val="17"/>
          <w:color w:val="6A1834"/>
        </w:rPr>
        <w:t xml:space="preserve"> </w:t>
      </w:r>
      <w:r>
        <w:rPr>
          <w:rFonts w:ascii="Arial" w:cs="Arial" w:eastAsia="Arial" w:hAnsi="Arial"/>
          <w:sz w:val="17"/>
          <w:szCs w:val="17"/>
          <w:color w:val="000000"/>
        </w:rPr>
        <w:t>sets all elements of compensation for our NEOs based upon the NEO’s contributions to the operating and strategic performance of the Company. The Compensation Committee considers the recommendations of the CEO in establishing compensation for all other NEOs. In addition, the CEO performs annual reviews of our senior executive officers and makes recommendations to the Compensation Committee. The Compensation Committee reviews the recommendations and makes final decisions regarding compensation for our senior executive officers.</w:t>
      </w:r>
    </w:p>
    <w:p>
      <w:pPr>
        <w:spacing w:after="0" w:line="350" w:lineRule="exact"/>
        <w:rPr>
          <w:sz w:val="20"/>
          <w:szCs w:val="20"/>
          <w:color w:val="auto"/>
        </w:rPr>
      </w:pPr>
    </w:p>
    <w:p>
      <w:pPr>
        <w:ind w:left="320" w:right="20"/>
        <w:spacing w:after="0" w:line="242" w:lineRule="auto"/>
        <w:rPr>
          <w:sz w:val="20"/>
          <w:szCs w:val="20"/>
          <w:color w:val="auto"/>
        </w:rPr>
      </w:pPr>
      <w:r>
        <w:rPr>
          <w:rFonts w:ascii="Arial" w:cs="Arial" w:eastAsia="Arial" w:hAnsi="Arial"/>
          <w:sz w:val="17"/>
          <w:szCs w:val="17"/>
          <w:color w:val="6A1834"/>
        </w:rPr>
        <w:t xml:space="preserve">ROLE OF THE COMPENSATION CONSULTANT: </w:t>
      </w:r>
      <w:r>
        <w:rPr>
          <w:rFonts w:ascii="Arial" w:cs="Arial" w:eastAsia="Arial" w:hAnsi="Arial"/>
          <w:sz w:val="17"/>
          <w:szCs w:val="17"/>
          <w:color w:val="000000"/>
        </w:rPr>
        <w:t>The Compensation Committee has the authority to retain compensation consulting firms</w:t>
      </w:r>
      <w:r>
        <w:rPr>
          <w:rFonts w:ascii="Arial" w:cs="Arial" w:eastAsia="Arial" w:hAnsi="Arial"/>
          <w:sz w:val="17"/>
          <w:szCs w:val="17"/>
          <w:color w:val="6A1834"/>
        </w:rPr>
        <w:t xml:space="preserve"> </w:t>
      </w:r>
      <w:r>
        <w:rPr>
          <w:rFonts w:ascii="Arial" w:cs="Arial" w:eastAsia="Arial" w:hAnsi="Arial"/>
          <w:sz w:val="17"/>
          <w:szCs w:val="17"/>
          <w:color w:val="000000"/>
        </w:rPr>
        <w:t>exclusively to assist it in the evaluation of senior executive officer and employee compensation and benefit programs. In 2022, the Compensation Committee retained Radford a nationally recognized independent compensation consulting firm, to assist in performing its duties. Radford does not provide services to the Company other than the advice on director and executive compensation that it may provide the Compensation Committee when requested. In 2022, Radford, at the direction of the Compensation Committee, completed a peer group review and competitive compensation analysis, in connection with the Compensation Committee’s review of compensation levels of our NEOs. The Compensation Committee retains sole responsibility for engaging its advisors.</w:t>
      </w:r>
    </w:p>
    <w:p>
      <w:pPr>
        <w:spacing w:after="0" w:line="168" w:lineRule="exact"/>
        <w:rPr>
          <w:sz w:val="20"/>
          <w:szCs w:val="20"/>
          <w:color w:val="auto"/>
        </w:rPr>
      </w:pPr>
    </w:p>
    <w:p>
      <w:pPr>
        <w:ind w:left="320" w:right="20"/>
        <w:spacing w:after="0" w:line="245" w:lineRule="auto"/>
        <w:rPr>
          <w:sz w:val="20"/>
          <w:szCs w:val="20"/>
          <w:color w:val="auto"/>
        </w:rPr>
      </w:pPr>
      <w:r>
        <w:rPr>
          <w:rFonts w:ascii="Arial" w:cs="Arial" w:eastAsia="Arial" w:hAnsi="Arial"/>
          <w:sz w:val="17"/>
          <w:szCs w:val="17"/>
          <w:color w:val="6A1834"/>
        </w:rPr>
        <w:t xml:space="preserve">INDEPENDENCE OF THE COMPENSATION CONSULTANT: </w:t>
      </w:r>
      <w:r>
        <w:rPr>
          <w:rFonts w:ascii="Arial" w:cs="Arial" w:eastAsia="Arial" w:hAnsi="Arial"/>
          <w:sz w:val="17"/>
          <w:szCs w:val="17"/>
          <w:color w:val="000000"/>
        </w:rPr>
        <w:t>The Compensation Committee has determined that Radford is independent,</w:t>
      </w:r>
      <w:r>
        <w:rPr>
          <w:rFonts w:ascii="Arial" w:cs="Arial" w:eastAsia="Arial" w:hAnsi="Arial"/>
          <w:sz w:val="17"/>
          <w:szCs w:val="17"/>
          <w:color w:val="6A1834"/>
        </w:rPr>
        <w:t xml:space="preserve"> </w:t>
      </w:r>
      <w:r>
        <w:rPr>
          <w:rFonts w:ascii="Arial" w:cs="Arial" w:eastAsia="Arial" w:hAnsi="Arial"/>
          <w:sz w:val="17"/>
          <w:szCs w:val="17"/>
          <w:color w:val="000000"/>
        </w:rPr>
        <w:t>and the services provided by Radford currently do not and during 2022 did not raise any conflict of interests. In reaching these conclusions, the Compensation Committee considered the factors set forth in Rule 10C-1 of the Exchange Act and applicable listing standards.</w:t>
      </w:r>
    </w:p>
    <w:p>
      <w:pPr>
        <w:spacing w:after="0" w:line="196"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40 //</w:t>
      </w:r>
    </w:p>
    <w:p>
      <w:pPr>
        <w:sectPr>
          <w:pgSz w:w="11900" w:h="16838" w:orient="portrait"/>
          <w:cols w:equalWidth="0" w:num="1">
            <w:col w:w="10940"/>
          </w:cols>
          <w:pgMar w:left="320" w:top="473" w:right="6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spacing w:after="0"/>
        <w:rPr>
          <w:sz w:val="20"/>
          <w:szCs w:val="20"/>
          <w:color w:val="auto"/>
        </w:rPr>
      </w:pPr>
      <w:r>
        <w:rPr>
          <w:rFonts w:ascii="Arial" w:cs="Arial" w:eastAsia="Arial" w:hAnsi="Arial"/>
          <w:sz w:val="17"/>
          <w:szCs w:val="17"/>
          <w:color w:val="6A1834"/>
        </w:rPr>
        <w:t xml:space="preserve">EMPLOYMENT CONTRACTS: </w:t>
      </w:r>
      <w:r>
        <w:rPr>
          <w:rFonts w:ascii="Arial" w:cs="Arial" w:eastAsia="Arial" w:hAnsi="Arial"/>
          <w:sz w:val="17"/>
          <w:szCs w:val="17"/>
          <w:color w:val="000000"/>
        </w:rPr>
        <w:t>We have a longstanding practice of entering into multi-year employment contracts with our senior</w:t>
      </w:r>
      <w:r>
        <w:rPr>
          <w:rFonts w:ascii="Arial" w:cs="Arial" w:eastAsia="Arial" w:hAnsi="Arial"/>
          <w:sz w:val="17"/>
          <w:szCs w:val="17"/>
          <w:color w:val="6A1834"/>
        </w:rPr>
        <w:t xml:space="preserve"> </w:t>
      </w:r>
      <w:r>
        <w:rPr>
          <w:rFonts w:ascii="Arial" w:cs="Arial" w:eastAsia="Arial" w:hAnsi="Arial"/>
          <w:sz w:val="17"/>
          <w:szCs w:val="17"/>
          <w:color w:val="000000"/>
        </w:rPr>
        <w:t>executive officers and senior management. We believe that employment contracts provide greater assurance of continuity and retention of critical creative and operating talent in a highly competitive industry. Employment contracts for our NEOs are approved by the Compensation Committee in consultation with the Compensation Committee’s independent compensation advisors, as needed. The employment contracts for the NEOs currently employed by the Company specify their base salary and provide that if the executive’s employment (i) terminates without cause at the Company’s election, (ii) is terminated by the executive following the Company’s material breach of the agreement or (iii) is terminated by the executive for good reason after a change in control, the executive will receive a separation payment as described in more detail under the heading “Potential Payments Upon Termination or Change in Control.” The employment contracts and the terms of equity awards also provide that vesting of some or all of an executive’s equity awards will accelerate upon certain events. Current employment contracts do not provide for any excise tax gross ups. We believe that providing for these benefits in these situations enhances the value of the business by preserving the continuity of management during potential change in control situations and by focusing our senior executives on our long-term priorities. Additional information regarding payments under these provisions is provided under the heading “Potential Payments Upon Termination or Change in Control.”</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Compensation committee report</w:t>
      </w:r>
    </w:p>
    <w:p>
      <w:pPr>
        <w:spacing w:after="0" w:line="33" w:lineRule="exact"/>
        <w:rPr>
          <w:sz w:val="20"/>
          <w:szCs w:val="20"/>
          <w:color w:val="auto"/>
        </w:rPr>
      </w:pPr>
    </w:p>
    <w:p>
      <w:pPr>
        <w:ind w:left="320" w:right="100"/>
        <w:spacing w:after="0" w:line="247" w:lineRule="auto"/>
        <w:rPr>
          <w:sz w:val="20"/>
          <w:szCs w:val="20"/>
          <w:color w:val="auto"/>
        </w:rPr>
      </w:pPr>
      <w:r>
        <w:rPr>
          <w:rFonts w:ascii="Arial" w:cs="Arial" w:eastAsia="Arial" w:hAnsi="Arial"/>
          <w:sz w:val="17"/>
          <w:szCs w:val="17"/>
          <w:color w:val="auto"/>
        </w:rPr>
        <w:t>We have reviewed and discussed the Compensation Discussion and Analysis required by Item 402(b) of Regulation S-K with the Company’s management. Based on such review and discussion, we have recommended to the Board that the Compensation Discussion and Analysis be included in this Proxy Statement.</w:t>
      </w:r>
    </w:p>
    <w:p>
      <w:pPr>
        <w:spacing w:after="0" w:line="164"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Compensation Committee</w:t>
      </w:r>
    </w:p>
    <w:p>
      <w:pPr>
        <w:spacing w:after="0" w:line="168"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Betsy S. Atkins, Chair</w:t>
      </w:r>
    </w:p>
    <w:p>
      <w:pPr>
        <w:ind w:left="7320"/>
        <w:spacing w:after="0"/>
        <w:rPr>
          <w:sz w:val="20"/>
          <w:szCs w:val="20"/>
          <w:color w:val="auto"/>
        </w:rPr>
      </w:pPr>
      <w:r>
        <w:rPr>
          <w:rFonts w:ascii="Arial" w:cs="Arial" w:eastAsia="Arial" w:hAnsi="Arial"/>
          <w:sz w:val="17"/>
          <w:szCs w:val="17"/>
          <w:color w:val="auto"/>
        </w:rPr>
        <w:t>Richard J. Byrne</w:t>
      </w:r>
    </w:p>
    <w:p>
      <w:pPr>
        <w:ind w:left="7320"/>
        <w:spacing w:after="0"/>
        <w:rPr>
          <w:sz w:val="20"/>
          <w:szCs w:val="20"/>
          <w:color w:val="auto"/>
        </w:rPr>
      </w:pPr>
      <w:r>
        <w:rPr>
          <w:rFonts w:ascii="Arial" w:cs="Arial" w:eastAsia="Arial" w:hAnsi="Arial"/>
          <w:sz w:val="17"/>
          <w:szCs w:val="17"/>
          <w:color w:val="auto"/>
        </w:rPr>
        <w:t>Margaret J. Myers</w:t>
      </w:r>
    </w:p>
    <w:p>
      <w:pPr>
        <w:ind w:left="7320"/>
        <w:spacing w:after="0"/>
        <w:rPr>
          <w:sz w:val="20"/>
          <w:szCs w:val="20"/>
          <w:color w:val="auto"/>
        </w:rPr>
      </w:pPr>
      <w:r>
        <w:rPr>
          <w:rFonts w:ascii="Arial" w:cs="Arial" w:eastAsia="Arial" w:hAnsi="Arial"/>
          <w:sz w:val="17"/>
          <w:szCs w:val="17"/>
          <w:color w:val="auto"/>
        </w:rPr>
        <w:t>Clark T. Randt, Jr.</w:t>
      </w:r>
    </w:p>
    <w:p>
      <w:pPr>
        <w:spacing w:after="0" w:line="14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 41 //</w:t>
      </w:r>
    </w:p>
    <w:p>
      <w:pPr>
        <w:sectPr>
          <w:pgSz w:w="11900" w:h="16838" w:orient="portrait"/>
          <w:cols w:equalWidth="0" w:num="1">
            <w:col w:w="10900"/>
          </w:cols>
          <w:pgMar w:left="320" w:top="473" w:right="679" w:bottom="1440" w:gutter="0" w:footer="0" w:header="0"/>
        </w:sectPr>
      </w:pPr>
    </w:p>
    <w:bookmarkStart w:id="52" w:name="page53"/>
    <w:bookmarkEnd w:id="52"/>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ectPr>
          <w:pgSz w:w="11900" w:h="16838" w:orient="portrait"/>
          <w:cols w:equalWidth="0" w:num="1">
            <w:col w:w="10139"/>
          </w:cols>
          <w:pgMar w:left="320" w:top="473" w:right="1440"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right="580"/>
        <w:spacing w:after="0" w:line="256" w:lineRule="auto"/>
        <w:rPr>
          <w:sz w:val="20"/>
          <w:szCs w:val="20"/>
          <w:color w:val="auto"/>
        </w:rPr>
      </w:pPr>
      <w:r>
        <w:rPr>
          <w:rFonts w:ascii="Arial" w:cs="Arial" w:eastAsia="Arial" w:hAnsi="Arial"/>
          <w:sz w:val="17"/>
          <w:szCs w:val="17"/>
          <w:color w:val="auto"/>
        </w:rPr>
        <w:t>The table below summarizes the total compensation awarded to, earned by, or paid to, each of our NEOs for the fiscal years ended December 31, 2022, 2021 and 2020.</w:t>
      </w:r>
    </w:p>
    <w:p>
      <w:pPr>
        <w:spacing w:after="0" w:line="181" w:lineRule="exact"/>
        <w:rPr>
          <w:sz w:val="20"/>
          <w:szCs w:val="20"/>
          <w:color w:val="auto"/>
        </w:rPr>
      </w:pPr>
    </w:p>
    <w:p>
      <w:pPr>
        <w:ind w:left="320" w:right="160"/>
        <w:spacing w:after="0" w:line="243" w:lineRule="auto"/>
        <w:rPr>
          <w:sz w:val="20"/>
          <w:szCs w:val="20"/>
          <w:color w:val="auto"/>
        </w:rPr>
      </w:pPr>
      <w:r>
        <w:rPr>
          <w:rFonts w:ascii="Arial" w:cs="Arial" w:eastAsia="Arial" w:hAnsi="Arial"/>
          <w:sz w:val="17"/>
          <w:szCs w:val="17"/>
          <w:color w:val="auto"/>
        </w:rPr>
        <w:t>The table below is presented in a manner consistent with Regulation S-K. As discussed in the Compensation Discussion and Analysis section of this proxy, on May 11, 2022 in an effort to preserve liquidity due to the ongoing pandemic related travel restrictions to and from Macau, Mr. Billings, Ms. Cameron-Doe, and Ms. Whittemore voluntarily elected to exchange 35%, 33%, and 33% of their remaining cash base salary for 2022, respectively, for a stock option of equivalent value. The value of the stock option grant is included in the Salary column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214630</wp:posOffset>
            </wp:positionV>
            <wp:extent cx="6748780" cy="39979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48780" cy="3997960"/>
                    </a:xfrm>
                    <a:prstGeom prst="rect">
                      <a:avLst/>
                    </a:prstGeom>
                    <a:noFill/>
                  </pic:spPr>
                </pic:pic>
              </a:graphicData>
            </a:graphic>
          </wp:anchor>
        </w:drawing>
      </w:r>
    </w:p>
    <w:p>
      <w:pPr>
        <w:spacing w:after="0" w:line="318"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3800" w:type="dxa"/>
            <w:vAlign w:val="bottom"/>
            <w:shd w:val="clear" w:color="auto" w:fill="DEDBD3"/>
          </w:tcPr>
          <w:p>
            <w:pPr>
              <w:spacing w:after="0"/>
              <w:rPr>
                <w:sz w:val="20"/>
                <w:szCs w:val="20"/>
                <w:color w:val="auto"/>
              </w:rPr>
            </w:pPr>
          </w:p>
        </w:tc>
        <w:tc>
          <w:tcPr>
            <w:tcW w:w="160" w:type="dxa"/>
            <w:vAlign w:val="bottom"/>
            <w:shd w:val="clear" w:color="auto" w:fill="DEDBD3"/>
          </w:tcPr>
          <w:p>
            <w:pPr>
              <w:spacing w:after="0"/>
              <w:rPr>
                <w:sz w:val="20"/>
                <w:szCs w:val="20"/>
                <w:color w:val="auto"/>
              </w:rPr>
            </w:pPr>
          </w:p>
        </w:tc>
        <w:tc>
          <w:tcPr>
            <w:tcW w:w="480" w:type="dxa"/>
            <w:vAlign w:val="bottom"/>
            <w:shd w:val="clear" w:color="auto" w:fill="DEDBD3"/>
          </w:tcPr>
          <w:p>
            <w:pPr>
              <w:spacing w:after="0"/>
              <w:rPr>
                <w:sz w:val="20"/>
                <w:szCs w:val="20"/>
                <w:color w:val="auto"/>
              </w:rPr>
            </w:pPr>
          </w:p>
        </w:tc>
        <w:tc>
          <w:tcPr>
            <w:tcW w:w="980" w:type="dxa"/>
            <w:vAlign w:val="bottom"/>
            <w:shd w:val="clear" w:color="auto" w:fill="DEDBD3"/>
          </w:tcPr>
          <w:p>
            <w:pPr>
              <w:spacing w:after="0"/>
              <w:rPr>
                <w:sz w:val="20"/>
                <w:szCs w:val="20"/>
                <w:color w:val="auto"/>
              </w:rPr>
            </w:pPr>
          </w:p>
        </w:tc>
        <w:tc>
          <w:tcPr>
            <w:tcW w:w="1020" w:type="dxa"/>
            <w:vAlign w:val="bottom"/>
            <w:shd w:val="clear" w:color="auto" w:fill="DEDBD3"/>
          </w:tcPr>
          <w:p>
            <w:pPr>
              <w:spacing w:after="0"/>
              <w:rPr>
                <w:sz w:val="20"/>
                <w:szCs w:val="20"/>
                <w:color w:val="auto"/>
              </w:rPr>
            </w:pPr>
          </w:p>
        </w:tc>
        <w:tc>
          <w:tcPr>
            <w:tcW w:w="960" w:type="dxa"/>
            <w:vAlign w:val="bottom"/>
            <w:shd w:val="clear" w:color="auto" w:fill="DEDBD3"/>
          </w:tcPr>
          <w:p>
            <w:pPr>
              <w:spacing w:after="0"/>
              <w:rPr>
                <w:sz w:val="20"/>
                <w:szCs w:val="20"/>
                <w:color w:val="auto"/>
              </w:rPr>
            </w:pPr>
          </w:p>
        </w:tc>
        <w:tc>
          <w:tcPr>
            <w:tcW w:w="1100" w:type="dxa"/>
            <w:vAlign w:val="bottom"/>
            <w:shd w:val="clear" w:color="auto" w:fill="DEDBD3"/>
          </w:tcPr>
          <w:p>
            <w:pPr>
              <w:jc w:val="center"/>
              <w:spacing w:after="0"/>
              <w:rPr>
                <w:sz w:val="20"/>
                <w:szCs w:val="20"/>
                <w:color w:val="auto"/>
              </w:rPr>
            </w:pPr>
            <w:r>
              <w:rPr>
                <w:rFonts w:ascii="Arial" w:cs="Arial" w:eastAsia="Arial" w:hAnsi="Arial"/>
                <w:sz w:val="10"/>
                <w:szCs w:val="10"/>
                <w:b w:val="1"/>
                <w:bCs w:val="1"/>
                <w:color w:val="auto"/>
              </w:rPr>
              <w:t>NON-EQUITY</w:t>
            </w:r>
          </w:p>
        </w:tc>
        <w:tc>
          <w:tcPr>
            <w:tcW w:w="1120" w:type="dxa"/>
            <w:vAlign w:val="bottom"/>
            <w:shd w:val="clear" w:color="auto" w:fill="DEDBD3"/>
          </w:tcPr>
          <w:p>
            <w:pPr>
              <w:spacing w:after="0"/>
              <w:rPr>
                <w:sz w:val="20"/>
                <w:szCs w:val="20"/>
                <w:color w:val="auto"/>
              </w:rPr>
            </w:pPr>
          </w:p>
        </w:tc>
        <w:tc>
          <w:tcPr>
            <w:tcW w:w="1000" w:type="dxa"/>
            <w:vAlign w:val="bottom"/>
            <w:shd w:val="clear" w:color="auto" w:fill="DEDBD3"/>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800" w:type="dxa"/>
            <w:vAlign w:val="bottom"/>
            <w:vMerge w:val="restart"/>
            <w:shd w:val="clear" w:color="auto" w:fill="DEDBD3"/>
          </w:tcPr>
          <w:p>
            <w:pPr>
              <w:ind w:left="120"/>
              <w:spacing w:after="0"/>
              <w:rPr>
                <w:sz w:val="20"/>
                <w:szCs w:val="20"/>
                <w:color w:val="auto"/>
              </w:rPr>
            </w:pPr>
            <w:r>
              <w:rPr>
                <w:rFonts w:ascii="Arial" w:cs="Arial" w:eastAsia="Arial" w:hAnsi="Arial"/>
                <w:sz w:val="10"/>
                <w:szCs w:val="10"/>
                <w:b w:val="1"/>
                <w:bCs w:val="1"/>
                <w:color w:val="auto"/>
              </w:rPr>
              <w:t>NAME AND</w:t>
            </w:r>
          </w:p>
        </w:tc>
        <w:tc>
          <w:tcPr>
            <w:tcW w:w="160" w:type="dxa"/>
            <w:vAlign w:val="bottom"/>
            <w:shd w:val="clear" w:color="auto" w:fill="DEDBD3"/>
          </w:tcPr>
          <w:p>
            <w:pPr>
              <w:spacing w:after="0"/>
              <w:rPr>
                <w:sz w:val="10"/>
                <w:szCs w:val="10"/>
                <w:color w:val="auto"/>
              </w:rPr>
            </w:pPr>
          </w:p>
        </w:tc>
        <w:tc>
          <w:tcPr>
            <w:tcW w:w="480" w:type="dxa"/>
            <w:vAlign w:val="bottom"/>
            <w:shd w:val="clear" w:color="auto" w:fill="DEDBD3"/>
          </w:tcPr>
          <w:p>
            <w:pPr>
              <w:spacing w:after="0"/>
              <w:rPr>
                <w:sz w:val="10"/>
                <w:szCs w:val="10"/>
                <w:color w:val="auto"/>
              </w:rPr>
            </w:pPr>
          </w:p>
        </w:tc>
        <w:tc>
          <w:tcPr>
            <w:tcW w:w="980" w:type="dxa"/>
            <w:vAlign w:val="bottom"/>
            <w:vMerge w:val="restart"/>
            <w:shd w:val="clear" w:color="auto" w:fill="DEDBD3"/>
          </w:tcPr>
          <w:p>
            <w:pPr>
              <w:ind w:left="220"/>
              <w:spacing w:after="0"/>
              <w:rPr>
                <w:sz w:val="20"/>
                <w:szCs w:val="20"/>
                <w:color w:val="auto"/>
              </w:rPr>
            </w:pPr>
            <w:r>
              <w:rPr>
                <w:rFonts w:ascii="Arial" w:cs="Arial" w:eastAsia="Arial" w:hAnsi="Arial"/>
                <w:sz w:val="10"/>
                <w:szCs w:val="10"/>
                <w:b w:val="1"/>
                <w:bCs w:val="1"/>
                <w:color w:val="auto"/>
              </w:rPr>
              <w:t>SALARY ($)</w:t>
            </w:r>
          </w:p>
        </w:tc>
        <w:tc>
          <w:tcPr>
            <w:tcW w:w="1020" w:type="dxa"/>
            <w:vAlign w:val="bottom"/>
            <w:shd w:val="clear" w:color="auto" w:fill="DEDBD3"/>
          </w:tcPr>
          <w:p>
            <w:pPr>
              <w:jc w:val="center"/>
              <w:spacing w:after="0"/>
              <w:rPr>
                <w:sz w:val="20"/>
                <w:szCs w:val="20"/>
                <w:color w:val="auto"/>
              </w:rPr>
            </w:pPr>
            <w:r>
              <w:rPr>
                <w:rFonts w:ascii="Arial" w:cs="Arial" w:eastAsia="Arial" w:hAnsi="Arial"/>
                <w:sz w:val="10"/>
                <w:szCs w:val="10"/>
                <w:b w:val="1"/>
                <w:bCs w:val="1"/>
                <w:color w:val="auto"/>
              </w:rPr>
              <w:t>STOCK</w:t>
            </w:r>
          </w:p>
        </w:tc>
        <w:tc>
          <w:tcPr>
            <w:tcW w:w="960" w:type="dxa"/>
            <w:vAlign w:val="bottom"/>
            <w:shd w:val="clear" w:color="auto" w:fill="DEDBD3"/>
          </w:tcPr>
          <w:p>
            <w:pPr>
              <w:jc w:val="center"/>
              <w:spacing w:after="0"/>
              <w:rPr>
                <w:sz w:val="20"/>
                <w:szCs w:val="20"/>
                <w:color w:val="auto"/>
              </w:rPr>
            </w:pPr>
            <w:r>
              <w:rPr>
                <w:rFonts w:ascii="Arial" w:cs="Arial" w:eastAsia="Arial" w:hAnsi="Arial"/>
                <w:sz w:val="10"/>
                <w:szCs w:val="10"/>
                <w:b w:val="1"/>
                <w:bCs w:val="1"/>
                <w:color w:val="auto"/>
              </w:rPr>
              <w:t>OPTION</w:t>
            </w:r>
          </w:p>
        </w:tc>
        <w:tc>
          <w:tcPr>
            <w:tcW w:w="1100" w:type="dxa"/>
            <w:vAlign w:val="bottom"/>
            <w:shd w:val="clear" w:color="auto" w:fill="DEDBD3"/>
          </w:tcPr>
          <w:p>
            <w:pPr>
              <w:jc w:val="center"/>
              <w:spacing w:after="0"/>
              <w:rPr>
                <w:sz w:val="20"/>
                <w:szCs w:val="20"/>
                <w:color w:val="auto"/>
              </w:rPr>
            </w:pPr>
            <w:r>
              <w:rPr>
                <w:rFonts w:ascii="Arial" w:cs="Arial" w:eastAsia="Arial" w:hAnsi="Arial"/>
                <w:sz w:val="10"/>
                <w:szCs w:val="10"/>
                <w:b w:val="1"/>
                <w:bCs w:val="1"/>
                <w:color w:val="auto"/>
              </w:rPr>
              <w:t>INCENTIVE</w:t>
            </w:r>
          </w:p>
        </w:tc>
        <w:tc>
          <w:tcPr>
            <w:tcW w:w="1120" w:type="dxa"/>
            <w:vAlign w:val="bottom"/>
            <w:shd w:val="clear" w:color="auto" w:fill="DEDBD3"/>
          </w:tcPr>
          <w:p>
            <w:pPr>
              <w:jc w:val="center"/>
              <w:spacing w:after="0"/>
              <w:rPr>
                <w:sz w:val="20"/>
                <w:szCs w:val="20"/>
                <w:color w:val="auto"/>
              </w:rPr>
            </w:pPr>
            <w:r>
              <w:rPr>
                <w:rFonts w:ascii="Arial" w:cs="Arial" w:eastAsia="Arial" w:hAnsi="Arial"/>
                <w:sz w:val="10"/>
                <w:szCs w:val="10"/>
                <w:b w:val="1"/>
                <w:bCs w:val="1"/>
                <w:color w:val="auto"/>
              </w:rPr>
              <w:t>All OTHER</w:t>
            </w:r>
          </w:p>
        </w:tc>
        <w:tc>
          <w:tcPr>
            <w:tcW w:w="1000" w:type="dxa"/>
            <w:vAlign w:val="bottom"/>
            <w:shd w:val="clear" w:color="auto" w:fill="DEDBD3"/>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3800" w:type="dxa"/>
            <w:vAlign w:val="bottom"/>
            <w:vMerge w:val="continue"/>
            <w:shd w:val="clear" w:color="auto" w:fill="DEDBD3"/>
          </w:tcPr>
          <w:p>
            <w:pPr>
              <w:spacing w:after="0"/>
              <w:rPr>
                <w:sz w:val="4"/>
                <w:szCs w:val="4"/>
                <w:color w:val="auto"/>
              </w:rPr>
            </w:pPr>
          </w:p>
        </w:tc>
        <w:tc>
          <w:tcPr>
            <w:tcW w:w="160" w:type="dxa"/>
            <w:vAlign w:val="bottom"/>
            <w:shd w:val="clear" w:color="auto" w:fill="DEDBD3"/>
          </w:tcPr>
          <w:p>
            <w:pPr>
              <w:spacing w:after="0"/>
              <w:rPr>
                <w:sz w:val="4"/>
                <w:szCs w:val="4"/>
                <w:color w:val="auto"/>
              </w:rPr>
            </w:pPr>
          </w:p>
        </w:tc>
        <w:tc>
          <w:tcPr>
            <w:tcW w:w="480" w:type="dxa"/>
            <w:vAlign w:val="bottom"/>
            <w:vMerge w:val="restart"/>
            <w:shd w:val="clear" w:color="auto" w:fill="DEDBD3"/>
          </w:tcPr>
          <w:p>
            <w:pPr>
              <w:jc w:val="right"/>
              <w:ind w:right="116"/>
              <w:spacing w:after="0"/>
              <w:rPr>
                <w:sz w:val="20"/>
                <w:szCs w:val="20"/>
                <w:color w:val="auto"/>
              </w:rPr>
            </w:pPr>
            <w:r>
              <w:rPr>
                <w:rFonts w:ascii="Arial" w:cs="Arial" w:eastAsia="Arial" w:hAnsi="Arial"/>
                <w:sz w:val="10"/>
                <w:szCs w:val="10"/>
                <w:b w:val="1"/>
                <w:bCs w:val="1"/>
                <w:color w:val="auto"/>
              </w:rPr>
              <w:t>YEAR</w:t>
            </w:r>
          </w:p>
        </w:tc>
        <w:tc>
          <w:tcPr>
            <w:tcW w:w="980" w:type="dxa"/>
            <w:vAlign w:val="bottom"/>
            <w:vMerge w:val="continue"/>
            <w:shd w:val="clear" w:color="auto" w:fill="DEDBD3"/>
          </w:tcPr>
          <w:p>
            <w:pPr>
              <w:spacing w:after="0"/>
              <w:rPr>
                <w:sz w:val="4"/>
                <w:szCs w:val="4"/>
                <w:color w:val="auto"/>
              </w:rPr>
            </w:pPr>
          </w:p>
        </w:tc>
        <w:tc>
          <w:tcPr>
            <w:tcW w:w="1020" w:type="dxa"/>
            <w:vAlign w:val="bottom"/>
            <w:vMerge w:val="restart"/>
            <w:shd w:val="clear" w:color="auto" w:fill="DEDBD3"/>
          </w:tcPr>
          <w:p>
            <w:pPr>
              <w:jc w:val="center"/>
              <w:spacing w:after="0"/>
              <w:rPr>
                <w:sz w:val="20"/>
                <w:szCs w:val="20"/>
                <w:color w:val="auto"/>
              </w:rPr>
            </w:pPr>
            <w:r>
              <w:rPr>
                <w:rFonts w:ascii="Arial" w:cs="Arial" w:eastAsia="Arial" w:hAnsi="Arial"/>
                <w:sz w:val="10"/>
                <w:szCs w:val="10"/>
                <w:b w:val="1"/>
                <w:bCs w:val="1"/>
                <w:color w:val="auto"/>
              </w:rPr>
              <w:t>AWARDS</w:t>
            </w:r>
          </w:p>
        </w:tc>
        <w:tc>
          <w:tcPr>
            <w:tcW w:w="960" w:type="dxa"/>
            <w:vAlign w:val="bottom"/>
            <w:vMerge w:val="restart"/>
            <w:shd w:val="clear" w:color="auto" w:fill="DEDBD3"/>
          </w:tcPr>
          <w:p>
            <w:pPr>
              <w:jc w:val="center"/>
              <w:spacing w:after="0"/>
              <w:rPr>
                <w:sz w:val="20"/>
                <w:szCs w:val="20"/>
                <w:color w:val="auto"/>
              </w:rPr>
            </w:pPr>
            <w:r>
              <w:rPr>
                <w:rFonts w:ascii="Arial" w:cs="Arial" w:eastAsia="Arial" w:hAnsi="Arial"/>
                <w:sz w:val="10"/>
                <w:szCs w:val="10"/>
                <w:b w:val="1"/>
                <w:bCs w:val="1"/>
                <w:color w:val="auto"/>
              </w:rPr>
              <w:t>AWARDS</w:t>
            </w:r>
          </w:p>
        </w:tc>
        <w:tc>
          <w:tcPr>
            <w:tcW w:w="1100" w:type="dxa"/>
            <w:vAlign w:val="bottom"/>
            <w:vMerge w:val="restart"/>
            <w:shd w:val="clear" w:color="auto" w:fill="DEDBD3"/>
          </w:tcPr>
          <w:p>
            <w:pPr>
              <w:jc w:val="center"/>
              <w:spacing w:after="0"/>
              <w:rPr>
                <w:sz w:val="20"/>
                <w:szCs w:val="20"/>
                <w:color w:val="auto"/>
              </w:rPr>
            </w:pPr>
            <w:r>
              <w:rPr>
                <w:rFonts w:ascii="Arial" w:cs="Arial" w:eastAsia="Arial" w:hAnsi="Arial"/>
                <w:sz w:val="10"/>
                <w:szCs w:val="10"/>
                <w:b w:val="1"/>
                <w:bCs w:val="1"/>
                <w:color w:val="auto"/>
              </w:rPr>
              <w:t>PLAN</w:t>
            </w:r>
          </w:p>
        </w:tc>
        <w:tc>
          <w:tcPr>
            <w:tcW w:w="1120" w:type="dxa"/>
            <w:vAlign w:val="bottom"/>
            <w:vMerge w:val="restart"/>
            <w:shd w:val="clear" w:color="auto" w:fill="DEDBD3"/>
          </w:tcPr>
          <w:p>
            <w:pPr>
              <w:jc w:val="center"/>
              <w:spacing w:after="0"/>
              <w:rPr>
                <w:sz w:val="20"/>
                <w:szCs w:val="20"/>
                <w:color w:val="auto"/>
              </w:rPr>
            </w:pPr>
            <w:r>
              <w:rPr>
                <w:rFonts w:ascii="Arial" w:cs="Arial" w:eastAsia="Arial" w:hAnsi="Arial"/>
                <w:sz w:val="10"/>
                <w:szCs w:val="10"/>
                <w:b w:val="1"/>
                <w:bCs w:val="1"/>
                <w:color w:val="auto"/>
              </w:rPr>
              <w:t>COMPENSATION</w:t>
            </w:r>
          </w:p>
        </w:tc>
        <w:tc>
          <w:tcPr>
            <w:tcW w:w="1000" w:type="dxa"/>
            <w:vAlign w:val="bottom"/>
            <w:vMerge w:val="restart"/>
            <w:shd w:val="clear" w:color="auto" w:fill="DEDBD3"/>
          </w:tcPr>
          <w:p>
            <w:pPr>
              <w:ind w:left="260"/>
              <w:spacing w:after="0"/>
              <w:rPr>
                <w:sz w:val="20"/>
                <w:szCs w:val="20"/>
                <w:color w:val="auto"/>
              </w:rPr>
            </w:pPr>
            <w:r>
              <w:rPr>
                <w:rFonts w:ascii="Arial" w:cs="Arial" w:eastAsia="Arial" w:hAnsi="Arial"/>
                <w:sz w:val="10"/>
                <w:szCs w:val="10"/>
                <w:b w:val="1"/>
                <w:bCs w:val="1"/>
                <w:color w:val="auto"/>
              </w:rPr>
              <w:t>TOTAL ($)</w:t>
            </w:r>
          </w:p>
        </w:tc>
        <w:tc>
          <w:tcPr>
            <w:tcW w:w="0" w:type="dxa"/>
            <w:vAlign w:val="bottom"/>
          </w:tcPr>
          <w:p>
            <w:pPr>
              <w:spacing w:after="0"/>
              <w:rPr>
                <w:sz w:val="1"/>
                <w:szCs w:val="1"/>
                <w:color w:val="auto"/>
              </w:rPr>
            </w:pPr>
          </w:p>
        </w:tc>
      </w:tr>
      <w:tr>
        <w:trPr>
          <w:trHeight w:val="65"/>
        </w:trPr>
        <w:tc>
          <w:tcPr>
            <w:tcW w:w="3800" w:type="dxa"/>
            <w:vAlign w:val="bottom"/>
            <w:vMerge w:val="restart"/>
            <w:shd w:val="clear" w:color="auto" w:fill="DEDBD3"/>
          </w:tcPr>
          <w:p>
            <w:pPr>
              <w:ind w:left="120"/>
              <w:spacing w:after="0"/>
              <w:rPr>
                <w:sz w:val="20"/>
                <w:szCs w:val="20"/>
                <w:color w:val="auto"/>
              </w:rPr>
            </w:pPr>
            <w:r>
              <w:rPr>
                <w:rFonts w:ascii="Arial" w:cs="Arial" w:eastAsia="Arial" w:hAnsi="Arial"/>
                <w:sz w:val="10"/>
                <w:szCs w:val="10"/>
                <w:b w:val="1"/>
                <w:bCs w:val="1"/>
                <w:color w:val="auto"/>
              </w:rPr>
              <w:t>PRINCIPAL POSITION</w:t>
            </w:r>
          </w:p>
        </w:tc>
        <w:tc>
          <w:tcPr>
            <w:tcW w:w="160" w:type="dxa"/>
            <w:vAlign w:val="bottom"/>
            <w:shd w:val="clear" w:color="auto" w:fill="DEDBD3"/>
          </w:tcPr>
          <w:p>
            <w:pPr>
              <w:spacing w:after="0"/>
              <w:rPr>
                <w:sz w:val="5"/>
                <w:szCs w:val="5"/>
                <w:color w:val="auto"/>
              </w:rPr>
            </w:pPr>
          </w:p>
        </w:tc>
        <w:tc>
          <w:tcPr>
            <w:tcW w:w="480" w:type="dxa"/>
            <w:vAlign w:val="bottom"/>
            <w:vMerge w:val="continue"/>
            <w:shd w:val="clear" w:color="auto" w:fill="DEDBD3"/>
          </w:tcPr>
          <w:p>
            <w:pPr>
              <w:spacing w:after="0"/>
              <w:rPr>
                <w:sz w:val="5"/>
                <w:szCs w:val="5"/>
                <w:color w:val="auto"/>
              </w:rPr>
            </w:pPr>
          </w:p>
        </w:tc>
        <w:tc>
          <w:tcPr>
            <w:tcW w:w="980" w:type="dxa"/>
            <w:vAlign w:val="bottom"/>
            <w:vMerge w:val="restart"/>
            <w:shd w:val="clear" w:color="auto" w:fill="DEDBD3"/>
          </w:tcPr>
          <w:p>
            <w:pPr>
              <w:jc w:val="center"/>
              <w:spacing w:after="0"/>
              <w:rPr>
                <w:sz w:val="20"/>
                <w:szCs w:val="20"/>
                <w:color w:val="auto"/>
              </w:rPr>
            </w:pPr>
            <w:r>
              <w:rPr>
                <w:rFonts w:ascii="Arial" w:cs="Arial" w:eastAsia="Arial" w:hAnsi="Arial"/>
                <w:sz w:val="10"/>
                <w:szCs w:val="10"/>
                <w:b w:val="1"/>
                <w:bCs w:val="1"/>
                <w:color w:val="auto"/>
              </w:rPr>
              <w:t>(1)</w:t>
            </w:r>
          </w:p>
        </w:tc>
        <w:tc>
          <w:tcPr>
            <w:tcW w:w="1020" w:type="dxa"/>
            <w:vAlign w:val="bottom"/>
            <w:vMerge w:val="continue"/>
            <w:shd w:val="clear" w:color="auto" w:fill="DEDBD3"/>
          </w:tcPr>
          <w:p>
            <w:pPr>
              <w:spacing w:after="0"/>
              <w:rPr>
                <w:sz w:val="5"/>
                <w:szCs w:val="5"/>
                <w:color w:val="auto"/>
              </w:rPr>
            </w:pPr>
          </w:p>
        </w:tc>
        <w:tc>
          <w:tcPr>
            <w:tcW w:w="960" w:type="dxa"/>
            <w:vAlign w:val="bottom"/>
            <w:vMerge w:val="continue"/>
            <w:shd w:val="clear" w:color="auto" w:fill="DEDBD3"/>
          </w:tcPr>
          <w:p>
            <w:pPr>
              <w:spacing w:after="0"/>
              <w:rPr>
                <w:sz w:val="5"/>
                <w:szCs w:val="5"/>
                <w:color w:val="auto"/>
              </w:rPr>
            </w:pPr>
          </w:p>
        </w:tc>
        <w:tc>
          <w:tcPr>
            <w:tcW w:w="1100" w:type="dxa"/>
            <w:vAlign w:val="bottom"/>
            <w:vMerge w:val="continue"/>
            <w:shd w:val="clear" w:color="auto" w:fill="DEDBD3"/>
          </w:tcPr>
          <w:p>
            <w:pPr>
              <w:spacing w:after="0"/>
              <w:rPr>
                <w:sz w:val="5"/>
                <w:szCs w:val="5"/>
                <w:color w:val="auto"/>
              </w:rPr>
            </w:pPr>
          </w:p>
        </w:tc>
        <w:tc>
          <w:tcPr>
            <w:tcW w:w="1120" w:type="dxa"/>
            <w:vAlign w:val="bottom"/>
            <w:vMerge w:val="continue"/>
            <w:shd w:val="clear" w:color="auto" w:fill="DEDBD3"/>
          </w:tcPr>
          <w:p>
            <w:pPr>
              <w:spacing w:after="0"/>
              <w:rPr>
                <w:sz w:val="5"/>
                <w:szCs w:val="5"/>
                <w:color w:val="auto"/>
              </w:rPr>
            </w:pPr>
          </w:p>
        </w:tc>
        <w:tc>
          <w:tcPr>
            <w:tcW w:w="1000" w:type="dxa"/>
            <w:vAlign w:val="bottom"/>
            <w:vMerge w:val="continue"/>
            <w:shd w:val="clear" w:color="auto" w:fill="DEDBD3"/>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3800" w:type="dxa"/>
            <w:vAlign w:val="bottom"/>
            <w:vMerge w:val="continue"/>
            <w:shd w:val="clear" w:color="auto" w:fill="DEDBD3"/>
          </w:tcPr>
          <w:p>
            <w:pPr>
              <w:spacing w:after="0"/>
              <w:rPr>
                <w:sz w:val="6"/>
                <w:szCs w:val="6"/>
                <w:color w:val="auto"/>
              </w:rPr>
            </w:pPr>
          </w:p>
        </w:tc>
        <w:tc>
          <w:tcPr>
            <w:tcW w:w="160" w:type="dxa"/>
            <w:vAlign w:val="bottom"/>
            <w:shd w:val="clear" w:color="auto" w:fill="DEDBD3"/>
          </w:tcPr>
          <w:p>
            <w:pPr>
              <w:spacing w:after="0"/>
              <w:rPr>
                <w:sz w:val="6"/>
                <w:szCs w:val="6"/>
                <w:color w:val="auto"/>
              </w:rPr>
            </w:pPr>
          </w:p>
        </w:tc>
        <w:tc>
          <w:tcPr>
            <w:tcW w:w="480" w:type="dxa"/>
            <w:vAlign w:val="bottom"/>
            <w:shd w:val="clear" w:color="auto" w:fill="DEDBD3"/>
          </w:tcPr>
          <w:p>
            <w:pPr>
              <w:spacing w:after="0"/>
              <w:rPr>
                <w:sz w:val="6"/>
                <w:szCs w:val="6"/>
                <w:color w:val="auto"/>
              </w:rPr>
            </w:pPr>
          </w:p>
        </w:tc>
        <w:tc>
          <w:tcPr>
            <w:tcW w:w="980" w:type="dxa"/>
            <w:vAlign w:val="bottom"/>
            <w:vMerge w:val="continue"/>
            <w:shd w:val="clear" w:color="auto" w:fill="DEDBD3"/>
          </w:tcPr>
          <w:p>
            <w:pPr>
              <w:spacing w:after="0"/>
              <w:rPr>
                <w:sz w:val="6"/>
                <w:szCs w:val="6"/>
                <w:color w:val="auto"/>
              </w:rPr>
            </w:pPr>
          </w:p>
        </w:tc>
        <w:tc>
          <w:tcPr>
            <w:tcW w:w="1020" w:type="dxa"/>
            <w:vAlign w:val="bottom"/>
            <w:vMerge w:val="restart"/>
            <w:shd w:val="clear" w:color="auto" w:fill="DEDBD3"/>
          </w:tcPr>
          <w:p>
            <w:pPr>
              <w:jc w:val="center"/>
              <w:spacing w:after="0"/>
              <w:rPr>
                <w:sz w:val="20"/>
                <w:szCs w:val="20"/>
                <w:color w:val="auto"/>
              </w:rPr>
            </w:pPr>
            <w:r>
              <w:rPr>
                <w:rFonts w:ascii="Arial" w:cs="Arial" w:eastAsia="Arial" w:hAnsi="Arial"/>
                <w:sz w:val="10"/>
                <w:szCs w:val="10"/>
                <w:b w:val="1"/>
                <w:bCs w:val="1"/>
                <w:color w:val="auto"/>
              </w:rPr>
              <w:t>($)(2)(3)</w:t>
            </w:r>
          </w:p>
        </w:tc>
        <w:tc>
          <w:tcPr>
            <w:tcW w:w="960" w:type="dxa"/>
            <w:vAlign w:val="bottom"/>
            <w:vMerge w:val="restart"/>
            <w:shd w:val="clear" w:color="auto" w:fill="DEDBD3"/>
          </w:tcPr>
          <w:p>
            <w:pPr>
              <w:jc w:val="center"/>
              <w:spacing w:after="0"/>
              <w:rPr>
                <w:sz w:val="20"/>
                <w:szCs w:val="20"/>
                <w:color w:val="auto"/>
              </w:rPr>
            </w:pPr>
            <w:r>
              <w:rPr>
                <w:rFonts w:ascii="Arial" w:cs="Arial" w:eastAsia="Arial" w:hAnsi="Arial"/>
                <w:sz w:val="10"/>
                <w:szCs w:val="10"/>
                <w:b w:val="1"/>
                <w:bCs w:val="1"/>
                <w:color w:val="auto"/>
              </w:rPr>
              <w:t>($)(3)(4)</w:t>
            </w:r>
          </w:p>
        </w:tc>
        <w:tc>
          <w:tcPr>
            <w:tcW w:w="1100" w:type="dxa"/>
            <w:vAlign w:val="bottom"/>
            <w:vMerge w:val="restart"/>
            <w:shd w:val="clear" w:color="auto" w:fill="DEDBD3"/>
          </w:tcPr>
          <w:p>
            <w:pPr>
              <w:jc w:val="center"/>
              <w:spacing w:after="0"/>
              <w:rPr>
                <w:sz w:val="20"/>
                <w:szCs w:val="20"/>
                <w:color w:val="auto"/>
              </w:rPr>
            </w:pPr>
            <w:r>
              <w:rPr>
                <w:rFonts w:ascii="Arial" w:cs="Arial" w:eastAsia="Arial" w:hAnsi="Arial"/>
                <w:sz w:val="10"/>
                <w:szCs w:val="10"/>
                <w:b w:val="1"/>
                <w:bCs w:val="1"/>
                <w:color w:val="auto"/>
              </w:rPr>
              <w:t>COMPENSATION</w:t>
            </w:r>
          </w:p>
        </w:tc>
        <w:tc>
          <w:tcPr>
            <w:tcW w:w="1120" w:type="dxa"/>
            <w:vAlign w:val="bottom"/>
            <w:vMerge w:val="restart"/>
            <w:shd w:val="clear" w:color="auto" w:fill="DEDBD3"/>
          </w:tcPr>
          <w:p>
            <w:pPr>
              <w:jc w:val="center"/>
              <w:spacing w:after="0"/>
              <w:rPr>
                <w:sz w:val="20"/>
                <w:szCs w:val="20"/>
                <w:color w:val="auto"/>
              </w:rPr>
            </w:pPr>
            <w:r>
              <w:rPr>
                <w:rFonts w:ascii="Arial" w:cs="Arial" w:eastAsia="Arial" w:hAnsi="Arial"/>
                <w:sz w:val="10"/>
                <w:szCs w:val="10"/>
                <w:b w:val="1"/>
                <w:bCs w:val="1"/>
                <w:color w:val="auto"/>
              </w:rPr>
              <w:t>($)(6)</w:t>
            </w:r>
          </w:p>
        </w:tc>
        <w:tc>
          <w:tcPr>
            <w:tcW w:w="1000" w:type="dxa"/>
            <w:vAlign w:val="bottom"/>
            <w:shd w:val="clear" w:color="auto" w:fill="DEDBD3"/>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3800" w:type="dxa"/>
            <w:vAlign w:val="bottom"/>
            <w:shd w:val="clear" w:color="auto" w:fill="DEDBD3"/>
          </w:tcPr>
          <w:p>
            <w:pPr>
              <w:spacing w:after="0"/>
              <w:rPr>
                <w:sz w:val="3"/>
                <w:szCs w:val="3"/>
                <w:color w:val="auto"/>
              </w:rPr>
            </w:pPr>
          </w:p>
        </w:tc>
        <w:tc>
          <w:tcPr>
            <w:tcW w:w="160" w:type="dxa"/>
            <w:vAlign w:val="bottom"/>
            <w:shd w:val="clear" w:color="auto" w:fill="DEDBD3"/>
          </w:tcPr>
          <w:p>
            <w:pPr>
              <w:spacing w:after="0"/>
              <w:rPr>
                <w:sz w:val="3"/>
                <w:szCs w:val="3"/>
                <w:color w:val="auto"/>
              </w:rPr>
            </w:pPr>
          </w:p>
        </w:tc>
        <w:tc>
          <w:tcPr>
            <w:tcW w:w="480" w:type="dxa"/>
            <w:vAlign w:val="bottom"/>
            <w:shd w:val="clear" w:color="auto" w:fill="DEDBD3"/>
          </w:tcPr>
          <w:p>
            <w:pPr>
              <w:spacing w:after="0"/>
              <w:rPr>
                <w:sz w:val="3"/>
                <w:szCs w:val="3"/>
                <w:color w:val="auto"/>
              </w:rPr>
            </w:pPr>
          </w:p>
        </w:tc>
        <w:tc>
          <w:tcPr>
            <w:tcW w:w="980" w:type="dxa"/>
            <w:vAlign w:val="bottom"/>
            <w:shd w:val="clear" w:color="auto" w:fill="DEDBD3"/>
          </w:tcPr>
          <w:p>
            <w:pPr>
              <w:spacing w:after="0"/>
              <w:rPr>
                <w:sz w:val="3"/>
                <w:szCs w:val="3"/>
                <w:color w:val="auto"/>
              </w:rPr>
            </w:pPr>
          </w:p>
        </w:tc>
        <w:tc>
          <w:tcPr>
            <w:tcW w:w="1020" w:type="dxa"/>
            <w:vAlign w:val="bottom"/>
            <w:vMerge w:val="continue"/>
            <w:shd w:val="clear" w:color="auto" w:fill="DEDBD3"/>
          </w:tcPr>
          <w:p>
            <w:pPr>
              <w:spacing w:after="0"/>
              <w:rPr>
                <w:sz w:val="3"/>
                <w:szCs w:val="3"/>
                <w:color w:val="auto"/>
              </w:rPr>
            </w:pPr>
          </w:p>
        </w:tc>
        <w:tc>
          <w:tcPr>
            <w:tcW w:w="960" w:type="dxa"/>
            <w:vAlign w:val="bottom"/>
            <w:vMerge w:val="continue"/>
            <w:shd w:val="clear" w:color="auto" w:fill="DEDBD3"/>
          </w:tcPr>
          <w:p>
            <w:pPr>
              <w:spacing w:after="0"/>
              <w:rPr>
                <w:sz w:val="3"/>
                <w:szCs w:val="3"/>
                <w:color w:val="auto"/>
              </w:rPr>
            </w:pPr>
          </w:p>
        </w:tc>
        <w:tc>
          <w:tcPr>
            <w:tcW w:w="1100" w:type="dxa"/>
            <w:vAlign w:val="bottom"/>
            <w:vMerge w:val="continue"/>
            <w:shd w:val="clear" w:color="auto" w:fill="DEDBD3"/>
          </w:tcPr>
          <w:p>
            <w:pPr>
              <w:spacing w:after="0"/>
              <w:rPr>
                <w:sz w:val="3"/>
                <w:szCs w:val="3"/>
                <w:color w:val="auto"/>
              </w:rPr>
            </w:pPr>
          </w:p>
        </w:tc>
        <w:tc>
          <w:tcPr>
            <w:tcW w:w="1120" w:type="dxa"/>
            <w:vAlign w:val="bottom"/>
            <w:vMerge w:val="continue"/>
            <w:shd w:val="clear" w:color="auto" w:fill="DEDBD3"/>
          </w:tcPr>
          <w:p>
            <w:pPr>
              <w:spacing w:after="0"/>
              <w:rPr>
                <w:sz w:val="3"/>
                <w:szCs w:val="3"/>
                <w:color w:val="auto"/>
              </w:rPr>
            </w:pPr>
          </w:p>
        </w:tc>
        <w:tc>
          <w:tcPr>
            <w:tcW w:w="1000" w:type="dxa"/>
            <w:vAlign w:val="bottom"/>
            <w:shd w:val="clear" w:color="auto" w:fill="DEDBD3"/>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3800" w:type="dxa"/>
            <w:vAlign w:val="bottom"/>
            <w:shd w:val="clear" w:color="auto" w:fill="DEDBD3"/>
          </w:tcPr>
          <w:p>
            <w:pPr>
              <w:spacing w:after="0"/>
              <w:rPr>
                <w:sz w:val="11"/>
                <w:szCs w:val="11"/>
                <w:color w:val="auto"/>
              </w:rPr>
            </w:pPr>
          </w:p>
        </w:tc>
        <w:tc>
          <w:tcPr>
            <w:tcW w:w="160" w:type="dxa"/>
            <w:vAlign w:val="bottom"/>
            <w:shd w:val="clear" w:color="auto" w:fill="DEDBD3"/>
          </w:tcPr>
          <w:p>
            <w:pPr>
              <w:spacing w:after="0"/>
              <w:rPr>
                <w:sz w:val="11"/>
                <w:szCs w:val="11"/>
                <w:color w:val="auto"/>
              </w:rPr>
            </w:pPr>
          </w:p>
        </w:tc>
        <w:tc>
          <w:tcPr>
            <w:tcW w:w="480" w:type="dxa"/>
            <w:vAlign w:val="bottom"/>
            <w:shd w:val="clear" w:color="auto" w:fill="DEDBD3"/>
          </w:tcPr>
          <w:p>
            <w:pPr>
              <w:spacing w:after="0"/>
              <w:rPr>
                <w:sz w:val="11"/>
                <w:szCs w:val="11"/>
                <w:color w:val="auto"/>
              </w:rPr>
            </w:pPr>
          </w:p>
        </w:tc>
        <w:tc>
          <w:tcPr>
            <w:tcW w:w="980" w:type="dxa"/>
            <w:vAlign w:val="bottom"/>
            <w:shd w:val="clear" w:color="auto" w:fill="DEDBD3"/>
          </w:tcPr>
          <w:p>
            <w:pPr>
              <w:spacing w:after="0"/>
              <w:rPr>
                <w:sz w:val="11"/>
                <w:szCs w:val="11"/>
                <w:color w:val="auto"/>
              </w:rPr>
            </w:pPr>
          </w:p>
        </w:tc>
        <w:tc>
          <w:tcPr>
            <w:tcW w:w="1020" w:type="dxa"/>
            <w:vAlign w:val="bottom"/>
            <w:shd w:val="clear" w:color="auto" w:fill="DEDBD3"/>
          </w:tcPr>
          <w:p>
            <w:pPr>
              <w:spacing w:after="0"/>
              <w:rPr>
                <w:sz w:val="11"/>
                <w:szCs w:val="11"/>
                <w:color w:val="auto"/>
              </w:rPr>
            </w:pPr>
          </w:p>
        </w:tc>
        <w:tc>
          <w:tcPr>
            <w:tcW w:w="960" w:type="dxa"/>
            <w:vAlign w:val="bottom"/>
            <w:shd w:val="clear" w:color="auto" w:fill="DEDBD3"/>
          </w:tcPr>
          <w:p>
            <w:pPr>
              <w:spacing w:after="0"/>
              <w:rPr>
                <w:sz w:val="11"/>
                <w:szCs w:val="11"/>
                <w:color w:val="auto"/>
              </w:rPr>
            </w:pPr>
          </w:p>
        </w:tc>
        <w:tc>
          <w:tcPr>
            <w:tcW w:w="1100" w:type="dxa"/>
            <w:vAlign w:val="bottom"/>
            <w:shd w:val="clear" w:color="auto" w:fill="DEDBD3"/>
          </w:tcPr>
          <w:p>
            <w:pPr>
              <w:jc w:val="center"/>
              <w:spacing w:after="0"/>
              <w:rPr>
                <w:sz w:val="20"/>
                <w:szCs w:val="20"/>
                <w:color w:val="auto"/>
              </w:rPr>
            </w:pPr>
            <w:r>
              <w:rPr>
                <w:rFonts w:ascii="Arial" w:cs="Arial" w:eastAsia="Arial" w:hAnsi="Arial"/>
                <w:sz w:val="10"/>
                <w:szCs w:val="10"/>
                <w:b w:val="1"/>
                <w:bCs w:val="1"/>
                <w:color w:val="auto"/>
              </w:rPr>
              <w:t>($)(5)</w:t>
            </w:r>
          </w:p>
        </w:tc>
        <w:tc>
          <w:tcPr>
            <w:tcW w:w="1120" w:type="dxa"/>
            <w:vAlign w:val="bottom"/>
            <w:shd w:val="clear" w:color="auto" w:fill="DEDBD3"/>
          </w:tcPr>
          <w:p>
            <w:pPr>
              <w:spacing w:after="0"/>
              <w:rPr>
                <w:sz w:val="11"/>
                <w:szCs w:val="11"/>
                <w:color w:val="auto"/>
              </w:rPr>
            </w:pPr>
          </w:p>
        </w:tc>
        <w:tc>
          <w:tcPr>
            <w:tcW w:w="1000" w:type="dxa"/>
            <w:vAlign w:val="bottom"/>
            <w:shd w:val="clear" w:color="auto" w:fill="DEDBD3"/>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800" w:type="dxa"/>
            <w:vAlign w:val="bottom"/>
            <w:shd w:val="clear" w:color="auto" w:fill="DEDBD3"/>
          </w:tcPr>
          <w:p>
            <w:pPr>
              <w:spacing w:after="0"/>
              <w:rPr>
                <w:sz w:val="9"/>
                <w:szCs w:val="9"/>
                <w:color w:val="auto"/>
              </w:rPr>
            </w:pPr>
          </w:p>
        </w:tc>
        <w:tc>
          <w:tcPr>
            <w:tcW w:w="160" w:type="dxa"/>
            <w:vAlign w:val="bottom"/>
            <w:shd w:val="clear" w:color="auto" w:fill="DEDBD3"/>
          </w:tcPr>
          <w:p>
            <w:pPr>
              <w:spacing w:after="0"/>
              <w:rPr>
                <w:sz w:val="9"/>
                <w:szCs w:val="9"/>
                <w:color w:val="auto"/>
              </w:rPr>
            </w:pPr>
          </w:p>
        </w:tc>
        <w:tc>
          <w:tcPr>
            <w:tcW w:w="480" w:type="dxa"/>
            <w:vAlign w:val="bottom"/>
            <w:shd w:val="clear" w:color="auto" w:fill="DEDBD3"/>
          </w:tcPr>
          <w:p>
            <w:pPr>
              <w:spacing w:after="0"/>
              <w:rPr>
                <w:sz w:val="9"/>
                <w:szCs w:val="9"/>
                <w:color w:val="auto"/>
              </w:rPr>
            </w:pPr>
          </w:p>
        </w:tc>
        <w:tc>
          <w:tcPr>
            <w:tcW w:w="980" w:type="dxa"/>
            <w:vAlign w:val="bottom"/>
            <w:shd w:val="clear" w:color="auto" w:fill="DEDBD3"/>
          </w:tcPr>
          <w:p>
            <w:pPr>
              <w:spacing w:after="0"/>
              <w:rPr>
                <w:sz w:val="9"/>
                <w:szCs w:val="9"/>
                <w:color w:val="auto"/>
              </w:rPr>
            </w:pPr>
          </w:p>
        </w:tc>
        <w:tc>
          <w:tcPr>
            <w:tcW w:w="1020" w:type="dxa"/>
            <w:vAlign w:val="bottom"/>
            <w:shd w:val="clear" w:color="auto" w:fill="DEDBD3"/>
          </w:tcPr>
          <w:p>
            <w:pPr>
              <w:spacing w:after="0"/>
              <w:rPr>
                <w:sz w:val="9"/>
                <w:szCs w:val="9"/>
                <w:color w:val="auto"/>
              </w:rPr>
            </w:pPr>
          </w:p>
        </w:tc>
        <w:tc>
          <w:tcPr>
            <w:tcW w:w="960" w:type="dxa"/>
            <w:vAlign w:val="bottom"/>
            <w:shd w:val="clear" w:color="auto" w:fill="DEDBD3"/>
          </w:tcPr>
          <w:p>
            <w:pPr>
              <w:spacing w:after="0"/>
              <w:rPr>
                <w:sz w:val="9"/>
                <w:szCs w:val="9"/>
                <w:color w:val="auto"/>
              </w:rPr>
            </w:pPr>
          </w:p>
        </w:tc>
        <w:tc>
          <w:tcPr>
            <w:tcW w:w="1100" w:type="dxa"/>
            <w:vAlign w:val="bottom"/>
            <w:shd w:val="clear" w:color="auto" w:fill="DEDBD3"/>
          </w:tcPr>
          <w:p>
            <w:pPr>
              <w:spacing w:after="0"/>
              <w:rPr>
                <w:sz w:val="9"/>
                <w:szCs w:val="9"/>
                <w:color w:val="auto"/>
              </w:rPr>
            </w:pPr>
          </w:p>
        </w:tc>
        <w:tc>
          <w:tcPr>
            <w:tcW w:w="1120" w:type="dxa"/>
            <w:vAlign w:val="bottom"/>
            <w:shd w:val="clear" w:color="auto" w:fill="DEDBD3"/>
          </w:tcPr>
          <w:p>
            <w:pPr>
              <w:spacing w:after="0"/>
              <w:rPr>
                <w:sz w:val="9"/>
                <w:szCs w:val="9"/>
                <w:color w:val="auto"/>
              </w:rPr>
            </w:pPr>
          </w:p>
        </w:tc>
        <w:tc>
          <w:tcPr>
            <w:tcW w:w="1000" w:type="dxa"/>
            <w:vAlign w:val="bottom"/>
            <w:shd w:val="clear" w:color="auto" w:fill="DEDBD3"/>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3800" w:type="dxa"/>
            <w:vAlign w:val="bottom"/>
            <w:shd w:val="clear" w:color="auto" w:fill="FDF9F2"/>
          </w:tcPr>
          <w:p>
            <w:pPr>
              <w:spacing w:after="0"/>
              <w:rPr>
                <w:sz w:val="24"/>
                <w:szCs w:val="24"/>
                <w:color w:val="auto"/>
              </w:rPr>
            </w:pPr>
          </w:p>
        </w:tc>
        <w:tc>
          <w:tcPr>
            <w:tcW w:w="640" w:type="dxa"/>
            <w:vAlign w:val="bottom"/>
            <w:gridSpan w:val="2"/>
            <w:shd w:val="clear" w:color="auto" w:fill="FDF9F2"/>
          </w:tcPr>
          <w:p>
            <w:pPr>
              <w:jc w:val="right"/>
              <w:ind w:right="56"/>
              <w:spacing w:after="0"/>
              <w:rPr>
                <w:sz w:val="20"/>
                <w:szCs w:val="20"/>
                <w:color w:val="auto"/>
              </w:rPr>
            </w:pPr>
            <w:r>
              <w:rPr>
                <w:rFonts w:ascii="Arial" w:cs="Arial" w:eastAsia="Arial" w:hAnsi="Arial"/>
                <w:sz w:val="14"/>
                <w:szCs w:val="14"/>
                <w:color w:val="auto"/>
              </w:rPr>
              <w:t>2022</w:t>
            </w:r>
          </w:p>
        </w:tc>
        <w:tc>
          <w:tcPr>
            <w:tcW w:w="98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$1,752,115</w:t>
            </w:r>
          </w:p>
        </w:tc>
        <w:tc>
          <w:tcPr>
            <w:tcW w:w="102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$8,575,772</w:t>
            </w:r>
          </w:p>
        </w:tc>
        <w:tc>
          <w:tcPr>
            <w:tcW w:w="96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8"/>
              </w:rPr>
              <w:t>$49,977</w:t>
            </w:r>
          </w:p>
        </w:tc>
        <w:tc>
          <w:tcPr>
            <w:tcW w:w="110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$1,825,715</w:t>
            </w:r>
          </w:p>
        </w:tc>
        <w:tc>
          <w:tcPr>
            <w:tcW w:w="112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8"/>
              </w:rPr>
              <w:t>$25,508</w:t>
            </w:r>
          </w:p>
        </w:tc>
        <w:tc>
          <w:tcPr>
            <w:tcW w:w="100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7"/>
              </w:rPr>
              <w:t>$12,229,087</w:t>
            </w:r>
          </w:p>
        </w:tc>
        <w:tc>
          <w:tcPr>
            <w:tcW w:w="0" w:type="dxa"/>
            <w:vAlign w:val="bottom"/>
          </w:tcPr>
          <w:p>
            <w:pPr>
              <w:spacing w:after="0"/>
              <w:rPr>
                <w:sz w:val="1"/>
                <w:szCs w:val="1"/>
                <w:color w:val="auto"/>
              </w:rPr>
            </w:pPr>
          </w:p>
        </w:tc>
      </w:tr>
      <w:tr>
        <w:trPr>
          <w:trHeight w:val="493"/>
        </w:trPr>
        <w:tc>
          <w:tcPr>
            <w:tcW w:w="3800" w:type="dxa"/>
            <w:vAlign w:val="bottom"/>
            <w:shd w:val="clear" w:color="auto" w:fill="FDF9F2"/>
          </w:tcPr>
          <w:p>
            <w:pPr>
              <w:ind w:left="80"/>
              <w:spacing w:after="0"/>
              <w:rPr>
                <w:sz w:val="20"/>
                <w:szCs w:val="20"/>
                <w:color w:val="auto"/>
              </w:rPr>
            </w:pPr>
            <w:r>
              <w:rPr>
                <w:rFonts w:ascii="Arial" w:cs="Arial" w:eastAsia="Arial" w:hAnsi="Arial"/>
                <w:sz w:val="10"/>
                <w:szCs w:val="10"/>
                <w:b w:val="1"/>
                <w:bCs w:val="1"/>
                <w:color w:val="auto"/>
              </w:rPr>
              <w:t>Craig S. Billings (7)</w:t>
            </w:r>
          </w:p>
        </w:tc>
        <w:tc>
          <w:tcPr>
            <w:tcW w:w="640" w:type="dxa"/>
            <w:vAlign w:val="bottom"/>
            <w:gridSpan w:val="2"/>
            <w:shd w:val="clear" w:color="auto" w:fill="FDF9F2"/>
          </w:tcPr>
          <w:p>
            <w:pPr>
              <w:jc w:val="right"/>
              <w:ind w:right="56"/>
              <w:spacing w:after="0"/>
              <w:rPr>
                <w:sz w:val="20"/>
                <w:szCs w:val="20"/>
                <w:color w:val="auto"/>
              </w:rPr>
            </w:pPr>
            <w:r>
              <w:rPr>
                <w:rFonts w:ascii="Arial" w:cs="Arial" w:eastAsia="Arial" w:hAnsi="Arial"/>
                <w:sz w:val="14"/>
                <w:szCs w:val="14"/>
                <w:color w:val="auto"/>
              </w:rPr>
              <w:t>2021</w:t>
            </w:r>
          </w:p>
        </w:tc>
        <w:tc>
          <w:tcPr>
            <w:tcW w:w="98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$1,140,000</w:t>
            </w:r>
          </w:p>
        </w:tc>
        <w:tc>
          <w:tcPr>
            <w:tcW w:w="102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$8,361,675</w:t>
            </w:r>
          </w:p>
        </w:tc>
        <w:tc>
          <w:tcPr>
            <w:tcW w:w="96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6"/>
              </w:rPr>
              <w:t>$-</w:t>
            </w:r>
          </w:p>
        </w:tc>
        <w:tc>
          <w:tcPr>
            <w:tcW w:w="110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$1,200,000</w:t>
            </w:r>
          </w:p>
        </w:tc>
        <w:tc>
          <w:tcPr>
            <w:tcW w:w="112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8"/>
              </w:rPr>
              <w:t>$11,671</w:t>
            </w:r>
          </w:p>
        </w:tc>
        <w:tc>
          <w:tcPr>
            <w:tcW w:w="100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7"/>
              </w:rPr>
              <w:t>$10,713,346</w:t>
            </w:r>
          </w:p>
        </w:tc>
        <w:tc>
          <w:tcPr>
            <w:tcW w:w="0" w:type="dxa"/>
            <w:vAlign w:val="bottom"/>
          </w:tcPr>
          <w:p>
            <w:pPr>
              <w:spacing w:after="0"/>
              <w:rPr>
                <w:sz w:val="1"/>
                <w:szCs w:val="1"/>
                <w:color w:val="auto"/>
              </w:rPr>
            </w:pPr>
          </w:p>
        </w:tc>
      </w:tr>
      <w:tr>
        <w:trPr>
          <w:trHeight w:val="166"/>
        </w:trPr>
        <w:tc>
          <w:tcPr>
            <w:tcW w:w="3800" w:type="dxa"/>
            <w:vAlign w:val="bottom"/>
            <w:shd w:val="clear" w:color="auto" w:fill="FDF9F2"/>
          </w:tcPr>
          <w:p>
            <w:pPr>
              <w:ind w:left="80"/>
              <w:spacing w:after="0"/>
              <w:rPr>
                <w:sz w:val="20"/>
                <w:szCs w:val="20"/>
                <w:color w:val="auto"/>
              </w:rPr>
            </w:pPr>
            <w:r>
              <w:rPr>
                <w:rFonts w:ascii="Arial" w:cs="Arial" w:eastAsia="Arial" w:hAnsi="Arial"/>
                <w:sz w:val="14"/>
                <w:szCs w:val="14"/>
                <w:color w:val="auto"/>
              </w:rPr>
              <w:t>Chief Executive Officer</w:t>
            </w:r>
          </w:p>
        </w:tc>
        <w:tc>
          <w:tcPr>
            <w:tcW w:w="160" w:type="dxa"/>
            <w:vAlign w:val="bottom"/>
            <w:shd w:val="clear" w:color="auto" w:fill="FDF9F2"/>
          </w:tcPr>
          <w:p>
            <w:pPr>
              <w:spacing w:after="0"/>
              <w:rPr>
                <w:sz w:val="14"/>
                <w:szCs w:val="14"/>
                <w:color w:val="auto"/>
              </w:rPr>
            </w:pPr>
          </w:p>
        </w:tc>
        <w:tc>
          <w:tcPr>
            <w:tcW w:w="480" w:type="dxa"/>
            <w:vAlign w:val="bottom"/>
            <w:shd w:val="clear" w:color="auto" w:fill="FDF9F2"/>
          </w:tcPr>
          <w:p>
            <w:pPr>
              <w:spacing w:after="0"/>
              <w:rPr>
                <w:sz w:val="14"/>
                <w:szCs w:val="14"/>
                <w:color w:val="auto"/>
              </w:rPr>
            </w:pPr>
          </w:p>
        </w:tc>
        <w:tc>
          <w:tcPr>
            <w:tcW w:w="980" w:type="dxa"/>
            <w:vAlign w:val="bottom"/>
            <w:shd w:val="clear" w:color="auto" w:fill="FDF9F2"/>
          </w:tcPr>
          <w:p>
            <w:pPr>
              <w:spacing w:after="0"/>
              <w:rPr>
                <w:sz w:val="14"/>
                <w:szCs w:val="14"/>
                <w:color w:val="auto"/>
              </w:rPr>
            </w:pPr>
          </w:p>
        </w:tc>
        <w:tc>
          <w:tcPr>
            <w:tcW w:w="1020" w:type="dxa"/>
            <w:vAlign w:val="bottom"/>
            <w:shd w:val="clear" w:color="auto" w:fill="FDF9F2"/>
          </w:tcPr>
          <w:p>
            <w:pPr>
              <w:spacing w:after="0"/>
              <w:rPr>
                <w:sz w:val="14"/>
                <w:szCs w:val="14"/>
                <w:color w:val="auto"/>
              </w:rPr>
            </w:pPr>
          </w:p>
        </w:tc>
        <w:tc>
          <w:tcPr>
            <w:tcW w:w="960" w:type="dxa"/>
            <w:vAlign w:val="bottom"/>
            <w:shd w:val="clear" w:color="auto" w:fill="FDF9F2"/>
          </w:tcPr>
          <w:p>
            <w:pPr>
              <w:spacing w:after="0"/>
              <w:rPr>
                <w:sz w:val="14"/>
                <w:szCs w:val="14"/>
                <w:color w:val="auto"/>
              </w:rPr>
            </w:pPr>
          </w:p>
        </w:tc>
        <w:tc>
          <w:tcPr>
            <w:tcW w:w="1100" w:type="dxa"/>
            <w:vAlign w:val="bottom"/>
            <w:shd w:val="clear" w:color="auto" w:fill="FDF9F2"/>
          </w:tcPr>
          <w:p>
            <w:pPr>
              <w:spacing w:after="0"/>
              <w:rPr>
                <w:sz w:val="14"/>
                <w:szCs w:val="14"/>
                <w:color w:val="auto"/>
              </w:rPr>
            </w:pPr>
          </w:p>
        </w:tc>
        <w:tc>
          <w:tcPr>
            <w:tcW w:w="1120" w:type="dxa"/>
            <w:vAlign w:val="bottom"/>
            <w:shd w:val="clear" w:color="auto" w:fill="FDF9F2"/>
          </w:tcPr>
          <w:p>
            <w:pPr>
              <w:spacing w:after="0"/>
              <w:rPr>
                <w:sz w:val="14"/>
                <w:szCs w:val="14"/>
                <w:color w:val="auto"/>
              </w:rPr>
            </w:pPr>
          </w:p>
        </w:tc>
        <w:tc>
          <w:tcPr>
            <w:tcW w:w="1000" w:type="dxa"/>
            <w:vAlign w:val="bottom"/>
            <w:shd w:val="clear" w:color="auto" w:fill="FDF9F2"/>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3800" w:type="dxa"/>
            <w:vAlign w:val="bottom"/>
            <w:shd w:val="clear" w:color="auto" w:fill="FDF9F2"/>
          </w:tcPr>
          <w:p>
            <w:pPr>
              <w:spacing w:after="0"/>
              <w:rPr>
                <w:sz w:val="24"/>
                <w:szCs w:val="24"/>
                <w:color w:val="auto"/>
              </w:rPr>
            </w:pPr>
          </w:p>
        </w:tc>
        <w:tc>
          <w:tcPr>
            <w:tcW w:w="640" w:type="dxa"/>
            <w:vAlign w:val="bottom"/>
            <w:gridSpan w:val="2"/>
            <w:shd w:val="clear" w:color="auto" w:fill="FDF9F2"/>
          </w:tcPr>
          <w:p>
            <w:pPr>
              <w:jc w:val="right"/>
              <w:ind w:right="56"/>
              <w:spacing w:after="0"/>
              <w:rPr>
                <w:sz w:val="20"/>
                <w:szCs w:val="20"/>
                <w:color w:val="auto"/>
              </w:rPr>
            </w:pPr>
            <w:r>
              <w:rPr>
                <w:rFonts w:ascii="Arial" w:cs="Arial" w:eastAsia="Arial" w:hAnsi="Arial"/>
                <w:sz w:val="14"/>
                <w:szCs w:val="14"/>
                <w:color w:val="auto"/>
              </w:rPr>
              <w:t>2020</w:t>
            </w:r>
          </w:p>
        </w:tc>
        <w:tc>
          <w:tcPr>
            <w:tcW w:w="98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$1,200,000</w:t>
            </w:r>
          </w:p>
        </w:tc>
        <w:tc>
          <w:tcPr>
            <w:tcW w:w="102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$3,678,581</w:t>
            </w:r>
          </w:p>
        </w:tc>
        <w:tc>
          <w:tcPr>
            <w:tcW w:w="96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6"/>
              </w:rPr>
              <w:t>$1,673,207</w:t>
            </w:r>
          </w:p>
        </w:tc>
        <w:tc>
          <w:tcPr>
            <w:tcW w:w="110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$528,000</w:t>
            </w:r>
          </w:p>
        </w:tc>
        <w:tc>
          <w:tcPr>
            <w:tcW w:w="112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8"/>
              </w:rPr>
              <w:t>$70,997</w:t>
            </w:r>
          </w:p>
        </w:tc>
        <w:tc>
          <w:tcPr>
            <w:tcW w:w="100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$7,150,785</w:t>
            </w:r>
          </w:p>
        </w:tc>
        <w:tc>
          <w:tcPr>
            <w:tcW w:w="0" w:type="dxa"/>
            <w:vAlign w:val="bottom"/>
          </w:tcPr>
          <w:p>
            <w:pPr>
              <w:spacing w:after="0"/>
              <w:rPr>
                <w:sz w:val="1"/>
                <w:szCs w:val="1"/>
                <w:color w:val="auto"/>
              </w:rPr>
            </w:pPr>
          </w:p>
        </w:tc>
      </w:tr>
      <w:tr>
        <w:trPr>
          <w:trHeight w:val="155"/>
        </w:trPr>
        <w:tc>
          <w:tcPr>
            <w:tcW w:w="3800" w:type="dxa"/>
            <w:vAlign w:val="bottom"/>
            <w:shd w:val="clear" w:color="auto" w:fill="FDF9F2"/>
          </w:tcPr>
          <w:p>
            <w:pPr>
              <w:spacing w:after="0"/>
              <w:rPr>
                <w:sz w:val="13"/>
                <w:szCs w:val="13"/>
                <w:color w:val="auto"/>
              </w:rPr>
            </w:pPr>
          </w:p>
        </w:tc>
        <w:tc>
          <w:tcPr>
            <w:tcW w:w="160" w:type="dxa"/>
            <w:vAlign w:val="bottom"/>
            <w:shd w:val="clear" w:color="auto" w:fill="FDF9F2"/>
          </w:tcPr>
          <w:p>
            <w:pPr>
              <w:spacing w:after="0"/>
              <w:rPr>
                <w:sz w:val="13"/>
                <w:szCs w:val="13"/>
                <w:color w:val="auto"/>
              </w:rPr>
            </w:pPr>
          </w:p>
        </w:tc>
        <w:tc>
          <w:tcPr>
            <w:tcW w:w="480" w:type="dxa"/>
            <w:vAlign w:val="bottom"/>
            <w:shd w:val="clear" w:color="auto" w:fill="FDF9F2"/>
          </w:tcPr>
          <w:p>
            <w:pPr>
              <w:spacing w:after="0"/>
              <w:rPr>
                <w:sz w:val="13"/>
                <w:szCs w:val="13"/>
                <w:color w:val="auto"/>
              </w:rPr>
            </w:pPr>
          </w:p>
        </w:tc>
        <w:tc>
          <w:tcPr>
            <w:tcW w:w="980" w:type="dxa"/>
            <w:vAlign w:val="bottom"/>
            <w:shd w:val="clear" w:color="auto" w:fill="FDF9F2"/>
          </w:tcPr>
          <w:p>
            <w:pPr>
              <w:spacing w:after="0"/>
              <w:rPr>
                <w:sz w:val="13"/>
                <w:szCs w:val="13"/>
                <w:color w:val="auto"/>
              </w:rPr>
            </w:pPr>
          </w:p>
        </w:tc>
        <w:tc>
          <w:tcPr>
            <w:tcW w:w="1020" w:type="dxa"/>
            <w:vAlign w:val="bottom"/>
            <w:shd w:val="clear" w:color="auto" w:fill="FDF9F2"/>
          </w:tcPr>
          <w:p>
            <w:pPr>
              <w:spacing w:after="0"/>
              <w:rPr>
                <w:sz w:val="13"/>
                <w:szCs w:val="13"/>
                <w:color w:val="auto"/>
              </w:rPr>
            </w:pPr>
          </w:p>
        </w:tc>
        <w:tc>
          <w:tcPr>
            <w:tcW w:w="960" w:type="dxa"/>
            <w:vAlign w:val="bottom"/>
            <w:shd w:val="clear" w:color="auto" w:fill="FDF9F2"/>
          </w:tcPr>
          <w:p>
            <w:pPr>
              <w:spacing w:after="0"/>
              <w:rPr>
                <w:sz w:val="13"/>
                <w:szCs w:val="13"/>
                <w:color w:val="auto"/>
              </w:rPr>
            </w:pPr>
          </w:p>
        </w:tc>
        <w:tc>
          <w:tcPr>
            <w:tcW w:w="1100" w:type="dxa"/>
            <w:vAlign w:val="bottom"/>
            <w:shd w:val="clear" w:color="auto" w:fill="FDF9F2"/>
          </w:tcPr>
          <w:p>
            <w:pPr>
              <w:spacing w:after="0"/>
              <w:rPr>
                <w:sz w:val="13"/>
                <w:szCs w:val="13"/>
                <w:color w:val="auto"/>
              </w:rPr>
            </w:pPr>
          </w:p>
        </w:tc>
        <w:tc>
          <w:tcPr>
            <w:tcW w:w="1120" w:type="dxa"/>
            <w:vAlign w:val="bottom"/>
            <w:shd w:val="clear" w:color="auto" w:fill="FDF9F2"/>
          </w:tcPr>
          <w:p>
            <w:pPr>
              <w:spacing w:after="0"/>
              <w:rPr>
                <w:sz w:val="13"/>
                <w:szCs w:val="13"/>
                <w:color w:val="auto"/>
              </w:rPr>
            </w:pPr>
          </w:p>
        </w:tc>
        <w:tc>
          <w:tcPr>
            <w:tcW w:w="1000" w:type="dxa"/>
            <w:vAlign w:val="bottom"/>
            <w:shd w:val="clear" w:color="auto" w:fill="FDF9F2"/>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3800" w:type="dxa"/>
            <w:vAlign w:val="bottom"/>
            <w:shd w:val="clear" w:color="auto" w:fill="DEDBD3"/>
          </w:tcPr>
          <w:p>
            <w:pPr>
              <w:ind w:left="80"/>
              <w:spacing w:after="0"/>
              <w:rPr>
                <w:sz w:val="20"/>
                <w:szCs w:val="20"/>
                <w:color w:val="auto"/>
              </w:rPr>
            </w:pPr>
            <w:r>
              <w:rPr>
                <w:rFonts w:ascii="Arial" w:cs="Arial" w:eastAsia="Arial" w:hAnsi="Arial"/>
                <w:sz w:val="10"/>
                <w:szCs w:val="10"/>
                <w:b w:val="1"/>
                <w:bCs w:val="1"/>
                <w:color w:val="auto"/>
              </w:rPr>
              <w:t>Julie M. Cameron-Doe (8)</w:t>
            </w:r>
          </w:p>
        </w:tc>
        <w:tc>
          <w:tcPr>
            <w:tcW w:w="640" w:type="dxa"/>
            <w:vAlign w:val="bottom"/>
            <w:gridSpan w:val="2"/>
            <w:shd w:val="clear" w:color="auto" w:fill="DEDBD3"/>
          </w:tcPr>
          <w:p>
            <w:pPr>
              <w:jc w:val="right"/>
              <w:ind w:right="56"/>
              <w:spacing w:after="0"/>
              <w:rPr>
                <w:sz w:val="20"/>
                <w:szCs w:val="20"/>
                <w:color w:val="auto"/>
              </w:rPr>
            </w:pPr>
            <w:r>
              <w:rPr>
                <w:rFonts w:ascii="Arial" w:cs="Arial" w:eastAsia="Arial" w:hAnsi="Arial"/>
                <w:sz w:val="14"/>
                <w:szCs w:val="14"/>
                <w:color w:val="auto"/>
              </w:rPr>
              <w:t>2022</w:t>
            </w:r>
          </w:p>
        </w:tc>
        <w:tc>
          <w:tcPr>
            <w:tcW w:w="98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9"/>
              </w:rPr>
              <w:t>$628,846</w:t>
            </w:r>
          </w:p>
        </w:tc>
        <w:tc>
          <w:tcPr>
            <w:tcW w:w="102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9"/>
              </w:rPr>
              <w:t>$4,549,146</w:t>
            </w:r>
          </w:p>
        </w:tc>
        <w:tc>
          <w:tcPr>
            <w:tcW w:w="960" w:type="dxa"/>
            <w:vAlign w:val="bottom"/>
            <w:shd w:val="clear" w:color="auto" w:fill="DEDBD3"/>
          </w:tcPr>
          <w:p>
            <w:pPr>
              <w:jc w:val="center"/>
              <w:spacing w:after="0"/>
              <w:rPr>
                <w:sz w:val="20"/>
                <w:szCs w:val="20"/>
                <w:color w:val="auto"/>
              </w:rPr>
            </w:pPr>
            <w:r>
              <w:rPr>
                <w:rFonts w:ascii="Arial" w:cs="Arial" w:eastAsia="Arial" w:hAnsi="Arial"/>
                <w:sz w:val="14"/>
                <w:szCs w:val="14"/>
                <w:color w:val="auto"/>
              </w:rPr>
              <w:t>$16</w:t>
            </w:r>
          </w:p>
        </w:tc>
        <w:tc>
          <w:tcPr>
            <w:tcW w:w="110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9"/>
              </w:rPr>
              <w:t>$912,857</w:t>
            </w:r>
          </w:p>
        </w:tc>
        <w:tc>
          <w:tcPr>
            <w:tcW w:w="112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7"/>
              </w:rPr>
              <w:t>$1,377</w:t>
            </w:r>
          </w:p>
        </w:tc>
        <w:tc>
          <w:tcPr>
            <w:tcW w:w="100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9"/>
              </w:rPr>
              <w:t>$6,092,242</w:t>
            </w:r>
          </w:p>
        </w:tc>
        <w:tc>
          <w:tcPr>
            <w:tcW w:w="0" w:type="dxa"/>
            <w:vAlign w:val="bottom"/>
          </w:tcPr>
          <w:p>
            <w:pPr>
              <w:spacing w:after="0"/>
              <w:rPr>
                <w:sz w:val="1"/>
                <w:szCs w:val="1"/>
                <w:color w:val="auto"/>
              </w:rPr>
            </w:pPr>
          </w:p>
        </w:tc>
      </w:tr>
      <w:tr>
        <w:trPr>
          <w:trHeight w:val="166"/>
        </w:trPr>
        <w:tc>
          <w:tcPr>
            <w:tcW w:w="3800" w:type="dxa"/>
            <w:vAlign w:val="bottom"/>
            <w:shd w:val="clear" w:color="auto" w:fill="DEDBD3"/>
          </w:tcPr>
          <w:p>
            <w:pPr>
              <w:ind w:left="80"/>
              <w:spacing w:after="0"/>
              <w:rPr>
                <w:sz w:val="20"/>
                <w:szCs w:val="20"/>
                <w:color w:val="auto"/>
              </w:rPr>
            </w:pPr>
            <w:r>
              <w:rPr>
                <w:rFonts w:ascii="Arial" w:cs="Arial" w:eastAsia="Arial" w:hAnsi="Arial"/>
                <w:sz w:val="14"/>
                <w:szCs w:val="14"/>
                <w:color w:val="auto"/>
              </w:rPr>
              <w:t>Chief Financial Officer</w:t>
            </w:r>
          </w:p>
        </w:tc>
        <w:tc>
          <w:tcPr>
            <w:tcW w:w="160" w:type="dxa"/>
            <w:vAlign w:val="bottom"/>
            <w:shd w:val="clear" w:color="auto" w:fill="DEDBD3"/>
          </w:tcPr>
          <w:p>
            <w:pPr>
              <w:spacing w:after="0"/>
              <w:rPr>
                <w:sz w:val="14"/>
                <w:szCs w:val="14"/>
                <w:color w:val="auto"/>
              </w:rPr>
            </w:pPr>
          </w:p>
        </w:tc>
        <w:tc>
          <w:tcPr>
            <w:tcW w:w="480" w:type="dxa"/>
            <w:vAlign w:val="bottom"/>
            <w:shd w:val="clear" w:color="auto" w:fill="DEDBD3"/>
          </w:tcPr>
          <w:p>
            <w:pPr>
              <w:spacing w:after="0"/>
              <w:rPr>
                <w:sz w:val="14"/>
                <w:szCs w:val="14"/>
                <w:color w:val="auto"/>
              </w:rPr>
            </w:pPr>
          </w:p>
        </w:tc>
        <w:tc>
          <w:tcPr>
            <w:tcW w:w="980" w:type="dxa"/>
            <w:vAlign w:val="bottom"/>
            <w:shd w:val="clear" w:color="auto" w:fill="DEDBD3"/>
          </w:tcPr>
          <w:p>
            <w:pPr>
              <w:spacing w:after="0"/>
              <w:rPr>
                <w:sz w:val="14"/>
                <w:szCs w:val="14"/>
                <w:color w:val="auto"/>
              </w:rPr>
            </w:pPr>
          </w:p>
        </w:tc>
        <w:tc>
          <w:tcPr>
            <w:tcW w:w="1020" w:type="dxa"/>
            <w:vAlign w:val="bottom"/>
            <w:shd w:val="clear" w:color="auto" w:fill="DEDBD3"/>
          </w:tcPr>
          <w:p>
            <w:pPr>
              <w:spacing w:after="0"/>
              <w:rPr>
                <w:sz w:val="14"/>
                <w:szCs w:val="14"/>
                <w:color w:val="auto"/>
              </w:rPr>
            </w:pPr>
          </w:p>
        </w:tc>
        <w:tc>
          <w:tcPr>
            <w:tcW w:w="960" w:type="dxa"/>
            <w:vAlign w:val="bottom"/>
            <w:shd w:val="clear" w:color="auto" w:fill="DEDBD3"/>
          </w:tcPr>
          <w:p>
            <w:pPr>
              <w:spacing w:after="0"/>
              <w:rPr>
                <w:sz w:val="14"/>
                <w:szCs w:val="14"/>
                <w:color w:val="auto"/>
              </w:rPr>
            </w:pPr>
          </w:p>
        </w:tc>
        <w:tc>
          <w:tcPr>
            <w:tcW w:w="1100" w:type="dxa"/>
            <w:vAlign w:val="bottom"/>
            <w:shd w:val="clear" w:color="auto" w:fill="DEDBD3"/>
          </w:tcPr>
          <w:p>
            <w:pPr>
              <w:spacing w:after="0"/>
              <w:rPr>
                <w:sz w:val="14"/>
                <w:szCs w:val="14"/>
                <w:color w:val="auto"/>
              </w:rPr>
            </w:pPr>
          </w:p>
        </w:tc>
        <w:tc>
          <w:tcPr>
            <w:tcW w:w="1120" w:type="dxa"/>
            <w:vAlign w:val="bottom"/>
            <w:shd w:val="clear" w:color="auto" w:fill="DEDBD3"/>
          </w:tcPr>
          <w:p>
            <w:pPr>
              <w:spacing w:after="0"/>
              <w:rPr>
                <w:sz w:val="14"/>
                <w:szCs w:val="14"/>
                <w:color w:val="auto"/>
              </w:rPr>
            </w:pPr>
          </w:p>
        </w:tc>
        <w:tc>
          <w:tcPr>
            <w:tcW w:w="1000" w:type="dxa"/>
            <w:vAlign w:val="bottom"/>
            <w:shd w:val="clear" w:color="auto" w:fill="DEDBD3"/>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800" w:type="dxa"/>
            <w:vAlign w:val="bottom"/>
            <w:shd w:val="clear" w:color="auto" w:fill="DEDBD3"/>
          </w:tcPr>
          <w:p>
            <w:pPr>
              <w:spacing w:after="0"/>
              <w:rPr>
                <w:sz w:val="8"/>
                <w:szCs w:val="8"/>
                <w:color w:val="auto"/>
              </w:rPr>
            </w:pPr>
          </w:p>
        </w:tc>
        <w:tc>
          <w:tcPr>
            <w:tcW w:w="160" w:type="dxa"/>
            <w:vAlign w:val="bottom"/>
            <w:shd w:val="clear" w:color="auto" w:fill="DEDBD3"/>
          </w:tcPr>
          <w:p>
            <w:pPr>
              <w:spacing w:after="0"/>
              <w:rPr>
                <w:sz w:val="8"/>
                <w:szCs w:val="8"/>
                <w:color w:val="auto"/>
              </w:rPr>
            </w:pPr>
          </w:p>
        </w:tc>
        <w:tc>
          <w:tcPr>
            <w:tcW w:w="480" w:type="dxa"/>
            <w:vAlign w:val="bottom"/>
            <w:shd w:val="clear" w:color="auto" w:fill="DEDBD3"/>
          </w:tcPr>
          <w:p>
            <w:pPr>
              <w:spacing w:after="0"/>
              <w:rPr>
                <w:sz w:val="8"/>
                <w:szCs w:val="8"/>
                <w:color w:val="auto"/>
              </w:rPr>
            </w:pPr>
          </w:p>
        </w:tc>
        <w:tc>
          <w:tcPr>
            <w:tcW w:w="980" w:type="dxa"/>
            <w:vAlign w:val="bottom"/>
            <w:shd w:val="clear" w:color="auto" w:fill="DEDBD3"/>
          </w:tcPr>
          <w:p>
            <w:pPr>
              <w:spacing w:after="0"/>
              <w:rPr>
                <w:sz w:val="8"/>
                <w:szCs w:val="8"/>
                <w:color w:val="auto"/>
              </w:rPr>
            </w:pPr>
          </w:p>
        </w:tc>
        <w:tc>
          <w:tcPr>
            <w:tcW w:w="1020" w:type="dxa"/>
            <w:vAlign w:val="bottom"/>
            <w:shd w:val="clear" w:color="auto" w:fill="DEDBD3"/>
          </w:tcPr>
          <w:p>
            <w:pPr>
              <w:spacing w:after="0"/>
              <w:rPr>
                <w:sz w:val="8"/>
                <w:szCs w:val="8"/>
                <w:color w:val="auto"/>
              </w:rPr>
            </w:pPr>
          </w:p>
        </w:tc>
        <w:tc>
          <w:tcPr>
            <w:tcW w:w="960" w:type="dxa"/>
            <w:vAlign w:val="bottom"/>
            <w:shd w:val="clear" w:color="auto" w:fill="DEDBD3"/>
          </w:tcPr>
          <w:p>
            <w:pPr>
              <w:spacing w:after="0"/>
              <w:rPr>
                <w:sz w:val="8"/>
                <w:szCs w:val="8"/>
                <w:color w:val="auto"/>
              </w:rPr>
            </w:pPr>
          </w:p>
        </w:tc>
        <w:tc>
          <w:tcPr>
            <w:tcW w:w="1100" w:type="dxa"/>
            <w:vAlign w:val="bottom"/>
            <w:shd w:val="clear" w:color="auto" w:fill="DEDBD3"/>
          </w:tcPr>
          <w:p>
            <w:pPr>
              <w:spacing w:after="0"/>
              <w:rPr>
                <w:sz w:val="8"/>
                <w:szCs w:val="8"/>
                <w:color w:val="auto"/>
              </w:rPr>
            </w:pPr>
          </w:p>
        </w:tc>
        <w:tc>
          <w:tcPr>
            <w:tcW w:w="1120" w:type="dxa"/>
            <w:vAlign w:val="bottom"/>
            <w:shd w:val="clear" w:color="auto" w:fill="DEDBD3"/>
          </w:tcPr>
          <w:p>
            <w:pPr>
              <w:spacing w:after="0"/>
              <w:rPr>
                <w:sz w:val="8"/>
                <w:szCs w:val="8"/>
                <w:color w:val="auto"/>
              </w:rPr>
            </w:pPr>
          </w:p>
        </w:tc>
        <w:tc>
          <w:tcPr>
            <w:tcW w:w="1000" w:type="dxa"/>
            <w:vAlign w:val="bottom"/>
            <w:shd w:val="clear" w:color="auto" w:fill="DEDBD3"/>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3800" w:type="dxa"/>
            <w:vAlign w:val="bottom"/>
            <w:shd w:val="clear" w:color="auto" w:fill="FDF9F2"/>
          </w:tcPr>
          <w:p>
            <w:pPr>
              <w:spacing w:after="0"/>
              <w:rPr>
                <w:sz w:val="24"/>
                <w:szCs w:val="24"/>
                <w:color w:val="auto"/>
              </w:rPr>
            </w:pPr>
          </w:p>
        </w:tc>
        <w:tc>
          <w:tcPr>
            <w:tcW w:w="640" w:type="dxa"/>
            <w:vAlign w:val="bottom"/>
            <w:gridSpan w:val="2"/>
            <w:shd w:val="clear" w:color="auto" w:fill="FDF9F2"/>
          </w:tcPr>
          <w:p>
            <w:pPr>
              <w:jc w:val="right"/>
              <w:ind w:right="56"/>
              <w:spacing w:after="0"/>
              <w:rPr>
                <w:sz w:val="20"/>
                <w:szCs w:val="20"/>
                <w:color w:val="auto"/>
              </w:rPr>
            </w:pPr>
            <w:r>
              <w:rPr>
                <w:rFonts w:ascii="Arial" w:cs="Arial" w:eastAsia="Arial" w:hAnsi="Arial"/>
                <w:sz w:val="14"/>
                <w:szCs w:val="14"/>
                <w:color w:val="auto"/>
              </w:rPr>
              <w:t>2022</w:t>
            </w:r>
          </w:p>
        </w:tc>
        <w:tc>
          <w:tcPr>
            <w:tcW w:w="98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$896,538</w:t>
            </w:r>
          </w:p>
        </w:tc>
        <w:tc>
          <w:tcPr>
            <w:tcW w:w="102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$2,487,888</w:t>
            </w:r>
          </w:p>
        </w:tc>
        <w:tc>
          <w:tcPr>
            <w:tcW w:w="96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$115,723</w:t>
            </w:r>
          </w:p>
        </w:tc>
        <w:tc>
          <w:tcPr>
            <w:tcW w:w="110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$912,857</w:t>
            </w:r>
          </w:p>
        </w:tc>
        <w:tc>
          <w:tcPr>
            <w:tcW w:w="112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8"/>
              </w:rPr>
              <w:t>$25,586</w:t>
            </w:r>
          </w:p>
        </w:tc>
        <w:tc>
          <w:tcPr>
            <w:tcW w:w="100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$4,438,592</w:t>
            </w:r>
          </w:p>
        </w:tc>
        <w:tc>
          <w:tcPr>
            <w:tcW w:w="0" w:type="dxa"/>
            <w:vAlign w:val="bottom"/>
          </w:tcPr>
          <w:p>
            <w:pPr>
              <w:spacing w:after="0"/>
              <w:rPr>
                <w:sz w:val="1"/>
                <w:szCs w:val="1"/>
                <w:color w:val="auto"/>
              </w:rPr>
            </w:pPr>
          </w:p>
        </w:tc>
      </w:tr>
      <w:tr>
        <w:trPr>
          <w:trHeight w:val="354"/>
        </w:trPr>
        <w:tc>
          <w:tcPr>
            <w:tcW w:w="3800" w:type="dxa"/>
            <w:vAlign w:val="bottom"/>
            <w:shd w:val="clear" w:color="auto" w:fill="FDF9F2"/>
          </w:tcPr>
          <w:p>
            <w:pPr>
              <w:ind w:left="80"/>
              <w:spacing w:after="0"/>
              <w:rPr>
                <w:sz w:val="20"/>
                <w:szCs w:val="20"/>
                <w:color w:val="auto"/>
              </w:rPr>
            </w:pPr>
            <w:r>
              <w:rPr>
                <w:rFonts w:ascii="Arial" w:cs="Arial" w:eastAsia="Arial" w:hAnsi="Arial"/>
                <w:sz w:val="10"/>
                <w:szCs w:val="10"/>
                <w:b w:val="1"/>
                <w:bCs w:val="1"/>
                <w:color w:val="auto"/>
              </w:rPr>
              <w:t>Ellen F. Whittemore</w:t>
            </w:r>
          </w:p>
        </w:tc>
        <w:tc>
          <w:tcPr>
            <w:tcW w:w="160" w:type="dxa"/>
            <w:vAlign w:val="bottom"/>
            <w:shd w:val="clear" w:color="auto" w:fill="FDF9F2"/>
          </w:tcPr>
          <w:p>
            <w:pPr>
              <w:spacing w:after="0"/>
              <w:rPr>
                <w:sz w:val="24"/>
                <w:szCs w:val="24"/>
                <w:color w:val="auto"/>
              </w:rPr>
            </w:pPr>
          </w:p>
        </w:tc>
        <w:tc>
          <w:tcPr>
            <w:tcW w:w="480" w:type="dxa"/>
            <w:vAlign w:val="bottom"/>
            <w:shd w:val="clear" w:color="auto" w:fill="FDF9F2"/>
          </w:tcPr>
          <w:p>
            <w:pPr>
              <w:spacing w:after="0"/>
              <w:rPr>
                <w:sz w:val="24"/>
                <w:szCs w:val="24"/>
                <w:color w:val="auto"/>
              </w:rPr>
            </w:pPr>
          </w:p>
        </w:tc>
        <w:tc>
          <w:tcPr>
            <w:tcW w:w="980" w:type="dxa"/>
            <w:vAlign w:val="bottom"/>
            <w:shd w:val="clear" w:color="auto" w:fill="FDF9F2"/>
          </w:tcPr>
          <w:p>
            <w:pPr>
              <w:spacing w:after="0"/>
              <w:rPr>
                <w:sz w:val="24"/>
                <w:szCs w:val="24"/>
                <w:color w:val="auto"/>
              </w:rPr>
            </w:pPr>
          </w:p>
        </w:tc>
        <w:tc>
          <w:tcPr>
            <w:tcW w:w="1020" w:type="dxa"/>
            <w:vAlign w:val="bottom"/>
            <w:shd w:val="clear" w:color="auto" w:fill="FDF9F2"/>
          </w:tcPr>
          <w:p>
            <w:pPr>
              <w:spacing w:after="0"/>
              <w:rPr>
                <w:sz w:val="24"/>
                <w:szCs w:val="24"/>
                <w:color w:val="auto"/>
              </w:rPr>
            </w:pPr>
          </w:p>
        </w:tc>
        <w:tc>
          <w:tcPr>
            <w:tcW w:w="960" w:type="dxa"/>
            <w:vAlign w:val="bottom"/>
            <w:shd w:val="clear" w:color="auto" w:fill="FDF9F2"/>
          </w:tcPr>
          <w:p>
            <w:pPr>
              <w:spacing w:after="0"/>
              <w:rPr>
                <w:sz w:val="24"/>
                <w:szCs w:val="24"/>
                <w:color w:val="auto"/>
              </w:rPr>
            </w:pPr>
          </w:p>
        </w:tc>
        <w:tc>
          <w:tcPr>
            <w:tcW w:w="1100" w:type="dxa"/>
            <w:vAlign w:val="bottom"/>
            <w:shd w:val="clear" w:color="auto" w:fill="FDF9F2"/>
          </w:tcPr>
          <w:p>
            <w:pPr>
              <w:spacing w:after="0"/>
              <w:rPr>
                <w:sz w:val="24"/>
                <w:szCs w:val="24"/>
                <w:color w:val="auto"/>
              </w:rPr>
            </w:pPr>
          </w:p>
        </w:tc>
        <w:tc>
          <w:tcPr>
            <w:tcW w:w="1120" w:type="dxa"/>
            <w:vAlign w:val="bottom"/>
            <w:shd w:val="clear" w:color="auto" w:fill="FDF9F2"/>
          </w:tcPr>
          <w:p>
            <w:pPr>
              <w:spacing w:after="0"/>
              <w:rPr>
                <w:sz w:val="24"/>
                <w:szCs w:val="24"/>
                <w:color w:val="auto"/>
              </w:rPr>
            </w:pPr>
          </w:p>
        </w:tc>
        <w:tc>
          <w:tcPr>
            <w:tcW w:w="1000" w:type="dxa"/>
            <w:vAlign w:val="bottom"/>
            <w:shd w:val="clear" w:color="auto" w:fill="FDF9F2"/>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800" w:type="dxa"/>
            <w:vAlign w:val="bottom"/>
            <w:shd w:val="clear" w:color="auto" w:fill="FDF9F2"/>
          </w:tcPr>
          <w:p>
            <w:pPr>
              <w:ind w:left="80"/>
              <w:spacing w:after="0" w:line="157" w:lineRule="exact"/>
              <w:rPr>
                <w:sz w:val="20"/>
                <w:szCs w:val="20"/>
                <w:color w:val="auto"/>
              </w:rPr>
            </w:pPr>
            <w:r>
              <w:rPr>
                <w:rFonts w:ascii="Arial" w:cs="Arial" w:eastAsia="Arial" w:hAnsi="Arial"/>
                <w:sz w:val="14"/>
                <w:szCs w:val="14"/>
                <w:color w:val="auto"/>
              </w:rPr>
              <w:t>Executive Vice President,</w:t>
            </w:r>
          </w:p>
        </w:tc>
        <w:tc>
          <w:tcPr>
            <w:tcW w:w="160" w:type="dxa"/>
            <w:vAlign w:val="bottom"/>
            <w:shd w:val="clear" w:color="auto" w:fill="FDF9F2"/>
          </w:tcPr>
          <w:p>
            <w:pPr>
              <w:spacing w:after="0"/>
              <w:rPr>
                <w:sz w:val="13"/>
                <w:szCs w:val="13"/>
                <w:color w:val="auto"/>
              </w:rPr>
            </w:pPr>
          </w:p>
        </w:tc>
        <w:tc>
          <w:tcPr>
            <w:tcW w:w="480" w:type="dxa"/>
            <w:vAlign w:val="bottom"/>
            <w:shd w:val="clear" w:color="auto" w:fill="FDF9F2"/>
          </w:tcPr>
          <w:p>
            <w:pPr>
              <w:jc w:val="right"/>
              <w:ind w:right="56"/>
              <w:spacing w:after="0" w:line="157" w:lineRule="exact"/>
              <w:rPr>
                <w:sz w:val="20"/>
                <w:szCs w:val="20"/>
                <w:color w:val="auto"/>
              </w:rPr>
            </w:pPr>
            <w:r>
              <w:rPr>
                <w:rFonts w:ascii="Arial" w:cs="Arial" w:eastAsia="Arial" w:hAnsi="Arial"/>
                <w:sz w:val="14"/>
                <w:szCs w:val="14"/>
                <w:color w:val="auto"/>
              </w:rPr>
              <w:t>2021</w:t>
            </w:r>
          </w:p>
        </w:tc>
        <w:tc>
          <w:tcPr>
            <w:tcW w:w="980" w:type="dxa"/>
            <w:vAlign w:val="bottom"/>
            <w:shd w:val="clear" w:color="auto" w:fill="FDF9F2"/>
          </w:tcPr>
          <w:p>
            <w:pPr>
              <w:jc w:val="center"/>
              <w:spacing w:after="0" w:line="157" w:lineRule="exact"/>
              <w:rPr>
                <w:sz w:val="20"/>
                <w:szCs w:val="20"/>
                <w:color w:val="auto"/>
              </w:rPr>
            </w:pPr>
            <w:r>
              <w:rPr>
                <w:rFonts w:ascii="Arial" w:cs="Arial" w:eastAsia="Arial" w:hAnsi="Arial"/>
                <w:sz w:val="14"/>
                <w:szCs w:val="14"/>
                <w:color w:val="auto"/>
                <w:w w:val="99"/>
              </w:rPr>
              <w:t>$665,000</w:t>
            </w:r>
          </w:p>
        </w:tc>
        <w:tc>
          <w:tcPr>
            <w:tcW w:w="1020" w:type="dxa"/>
            <w:vAlign w:val="bottom"/>
            <w:shd w:val="clear" w:color="auto" w:fill="FDF9F2"/>
          </w:tcPr>
          <w:p>
            <w:pPr>
              <w:jc w:val="center"/>
              <w:spacing w:after="0" w:line="157" w:lineRule="exact"/>
              <w:rPr>
                <w:sz w:val="20"/>
                <w:szCs w:val="20"/>
                <w:color w:val="auto"/>
              </w:rPr>
            </w:pPr>
            <w:r>
              <w:rPr>
                <w:rFonts w:ascii="Arial" w:cs="Arial" w:eastAsia="Arial" w:hAnsi="Arial"/>
                <w:sz w:val="14"/>
                <w:szCs w:val="14"/>
                <w:color w:val="auto"/>
                <w:w w:val="99"/>
              </w:rPr>
              <w:t>$1,775,115</w:t>
            </w:r>
          </w:p>
        </w:tc>
        <w:tc>
          <w:tcPr>
            <w:tcW w:w="960" w:type="dxa"/>
            <w:vAlign w:val="bottom"/>
            <w:shd w:val="clear" w:color="auto" w:fill="FDF9F2"/>
          </w:tcPr>
          <w:p>
            <w:pPr>
              <w:jc w:val="center"/>
              <w:spacing w:after="0" w:line="157" w:lineRule="exact"/>
              <w:rPr>
                <w:sz w:val="20"/>
                <w:szCs w:val="20"/>
                <w:color w:val="auto"/>
              </w:rPr>
            </w:pPr>
            <w:r>
              <w:rPr>
                <w:rFonts w:ascii="Arial" w:cs="Arial" w:eastAsia="Arial" w:hAnsi="Arial"/>
                <w:sz w:val="14"/>
                <w:szCs w:val="14"/>
                <w:color w:val="auto"/>
                <w:w w:val="96"/>
              </w:rPr>
              <w:t>$-</w:t>
            </w:r>
          </w:p>
        </w:tc>
        <w:tc>
          <w:tcPr>
            <w:tcW w:w="1100" w:type="dxa"/>
            <w:vAlign w:val="bottom"/>
            <w:shd w:val="clear" w:color="auto" w:fill="FDF9F2"/>
          </w:tcPr>
          <w:p>
            <w:pPr>
              <w:jc w:val="center"/>
              <w:spacing w:after="0" w:line="157" w:lineRule="exact"/>
              <w:rPr>
                <w:sz w:val="20"/>
                <w:szCs w:val="20"/>
                <w:color w:val="auto"/>
              </w:rPr>
            </w:pPr>
            <w:r>
              <w:rPr>
                <w:rFonts w:ascii="Arial" w:cs="Arial" w:eastAsia="Arial" w:hAnsi="Arial"/>
                <w:sz w:val="14"/>
                <w:szCs w:val="14"/>
                <w:color w:val="auto"/>
                <w:w w:val="99"/>
              </w:rPr>
              <w:t>$700,000</w:t>
            </w:r>
          </w:p>
        </w:tc>
        <w:tc>
          <w:tcPr>
            <w:tcW w:w="1120" w:type="dxa"/>
            <w:vAlign w:val="bottom"/>
            <w:shd w:val="clear" w:color="auto" w:fill="FDF9F2"/>
          </w:tcPr>
          <w:p>
            <w:pPr>
              <w:jc w:val="center"/>
              <w:spacing w:after="0" w:line="157" w:lineRule="exact"/>
              <w:rPr>
                <w:sz w:val="20"/>
                <w:szCs w:val="20"/>
                <w:color w:val="auto"/>
              </w:rPr>
            </w:pPr>
            <w:r>
              <w:rPr>
                <w:rFonts w:ascii="Arial" w:cs="Arial" w:eastAsia="Arial" w:hAnsi="Arial"/>
                <w:sz w:val="14"/>
                <w:szCs w:val="14"/>
                <w:color w:val="auto"/>
                <w:w w:val="98"/>
              </w:rPr>
              <w:t>$19,318</w:t>
            </w:r>
          </w:p>
        </w:tc>
        <w:tc>
          <w:tcPr>
            <w:tcW w:w="1000" w:type="dxa"/>
            <w:vAlign w:val="bottom"/>
            <w:shd w:val="clear" w:color="auto" w:fill="FDF9F2"/>
          </w:tcPr>
          <w:p>
            <w:pPr>
              <w:jc w:val="center"/>
              <w:spacing w:after="0" w:line="157" w:lineRule="exact"/>
              <w:rPr>
                <w:sz w:val="20"/>
                <w:szCs w:val="20"/>
                <w:color w:val="auto"/>
              </w:rPr>
            </w:pPr>
            <w:r>
              <w:rPr>
                <w:rFonts w:ascii="Arial" w:cs="Arial" w:eastAsia="Arial" w:hAnsi="Arial"/>
                <w:sz w:val="14"/>
                <w:szCs w:val="14"/>
                <w:color w:val="auto"/>
                <w:w w:val="99"/>
              </w:rPr>
              <w:t>$3,159,433</w:t>
            </w:r>
          </w:p>
        </w:tc>
        <w:tc>
          <w:tcPr>
            <w:tcW w:w="0" w:type="dxa"/>
            <w:vAlign w:val="bottom"/>
          </w:tcPr>
          <w:p>
            <w:pPr>
              <w:spacing w:after="0"/>
              <w:rPr>
                <w:sz w:val="1"/>
                <w:szCs w:val="1"/>
                <w:color w:val="auto"/>
              </w:rPr>
            </w:pPr>
          </w:p>
        </w:tc>
      </w:tr>
      <w:tr>
        <w:trPr>
          <w:trHeight w:val="166"/>
        </w:trPr>
        <w:tc>
          <w:tcPr>
            <w:tcW w:w="3800" w:type="dxa"/>
            <w:vAlign w:val="bottom"/>
            <w:shd w:val="clear" w:color="auto" w:fill="FDF9F2"/>
          </w:tcPr>
          <w:p>
            <w:pPr>
              <w:ind w:left="80"/>
              <w:spacing w:after="0"/>
              <w:rPr>
                <w:sz w:val="20"/>
                <w:szCs w:val="20"/>
                <w:color w:val="auto"/>
              </w:rPr>
            </w:pPr>
            <w:r>
              <w:rPr>
                <w:rFonts w:ascii="Arial" w:cs="Arial" w:eastAsia="Arial" w:hAnsi="Arial"/>
                <w:sz w:val="14"/>
                <w:szCs w:val="14"/>
                <w:color w:val="auto"/>
              </w:rPr>
              <w:t>General Counsel and Secretary</w:t>
            </w:r>
          </w:p>
        </w:tc>
        <w:tc>
          <w:tcPr>
            <w:tcW w:w="160" w:type="dxa"/>
            <w:vAlign w:val="bottom"/>
            <w:shd w:val="clear" w:color="auto" w:fill="FDF9F2"/>
          </w:tcPr>
          <w:p>
            <w:pPr>
              <w:spacing w:after="0"/>
              <w:rPr>
                <w:sz w:val="14"/>
                <w:szCs w:val="14"/>
                <w:color w:val="auto"/>
              </w:rPr>
            </w:pPr>
          </w:p>
        </w:tc>
        <w:tc>
          <w:tcPr>
            <w:tcW w:w="480" w:type="dxa"/>
            <w:vAlign w:val="bottom"/>
            <w:shd w:val="clear" w:color="auto" w:fill="FDF9F2"/>
          </w:tcPr>
          <w:p>
            <w:pPr>
              <w:spacing w:after="0"/>
              <w:rPr>
                <w:sz w:val="14"/>
                <w:szCs w:val="14"/>
                <w:color w:val="auto"/>
              </w:rPr>
            </w:pPr>
          </w:p>
        </w:tc>
        <w:tc>
          <w:tcPr>
            <w:tcW w:w="980" w:type="dxa"/>
            <w:vAlign w:val="bottom"/>
            <w:shd w:val="clear" w:color="auto" w:fill="FDF9F2"/>
          </w:tcPr>
          <w:p>
            <w:pPr>
              <w:spacing w:after="0"/>
              <w:rPr>
                <w:sz w:val="14"/>
                <w:szCs w:val="14"/>
                <w:color w:val="auto"/>
              </w:rPr>
            </w:pPr>
          </w:p>
        </w:tc>
        <w:tc>
          <w:tcPr>
            <w:tcW w:w="1020" w:type="dxa"/>
            <w:vAlign w:val="bottom"/>
            <w:shd w:val="clear" w:color="auto" w:fill="FDF9F2"/>
          </w:tcPr>
          <w:p>
            <w:pPr>
              <w:spacing w:after="0"/>
              <w:rPr>
                <w:sz w:val="14"/>
                <w:szCs w:val="14"/>
                <w:color w:val="auto"/>
              </w:rPr>
            </w:pPr>
          </w:p>
        </w:tc>
        <w:tc>
          <w:tcPr>
            <w:tcW w:w="960" w:type="dxa"/>
            <w:vAlign w:val="bottom"/>
            <w:shd w:val="clear" w:color="auto" w:fill="FDF9F2"/>
          </w:tcPr>
          <w:p>
            <w:pPr>
              <w:spacing w:after="0"/>
              <w:rPr>
                <w:sz w:val="14"/>
                <w:szCs w:val="14"/>
                <w:color w:val="auto"/>
              </w:rPr>
            </w:pPr>
          </w:p>
        </w:tc>
        <w:tc>
          <w:tcPr>
            <w:tcW w:w="1100" w:type="dxa"/>
            <w:vAlign w:val="bottom"/>
            <w:shd w:val="clear" w:color="auto" w:fill="FDF9F2"/>
          </w:tcPr>
          <w:p>
            <w:pPr>
              <w:spacing w:after="0"/>
              <w:rPr>
                <w:sz w:val="14"/>
                <w:szCs w:val="14"/>
                <w:color w:val="auto"/>
              </w:rPr>
            </w:pPr>
          </w:p>
        </w:tc>
        <w:tc>
          <w:tcPr>
            <w:tcW w:w="1120" w:type="dxa"/>
            <w:vAlign w:val="bottom"/>
            <w:shd w:val="clear" w:color="auto" w:fill="FDF9F2"/>
          </w:tcPr>
          <w:p>
            <w:pPr>
              <w:spacing w:after="0"/>
              <w:rPr>
                <w:sz w:val="14"/>
                <w:szCs w:val="14"/>
                <w:color w:val="auto"/>
              </w:rPr>
            </w:pPr>
          </w:p>
        </w:tc>
        <w:tc>
          <w:tcPr>
            <w:tcW w:w="1000" w:type="dxa"/>
            <w:vAlign w:val="bottom"/>
            <w:shd w:val="clear" w:color="auto" w:fill="FDF9F2"/>
          </w:tcPr>
          <w:p>
            <w:pPr>
              <w:spacing w:after="0"/>
              <w:rPr>
                <w:sz w:val="14"/>
                <w:szCs w:val="14"/>
                <w:color w:val="auto"/>
              </w:rPr>
            </w:pPr>
          </w:p>
        </w:tc>
        <w:tc>
          <w:tcPr>
            <w:tcW w:w="0" w:type="dxa"/>
            <w:vAlign w:val="bottom"/>
          </w:tcPr>
          <w:p>
            <w:pPr>
              <w:spacing w:after="0"/>
              <w:rPr>
                <w:sz w:val="1"/>
                <w:szCs w:val="1"/>
                <w:color w:val="auto"/>
              </w:rPr>
            </w:pPr>
          </w:p>
        </w:tc>
      </w:tr>
      <w:tr>
        <w:trPr>
          <w:trHeight w:val="416"/>
        </w:trPr>
        <w:tc>
          <w:tcPr>
            <w:tcW w:w="3800" w:type="dxa"/>
            <w:vAlign w:val="bottom"/>
            <w:shd w:val="clear" w:color="auto" w:fill="FDF9F2"/>
          </w:tcPr>
          <w:p>
            <w:pPr>
              <w:spacing w:after="0"/>
              <w:rPr>
                <w:sz w:val="24"/>
                <w:szCs w:val="24"/>
                <w:color w:val="auto"/>
              </w:rPr>
            </w:pPr>
          </w:p>
        </w:tc>
        <w:tc>
          <w:tcPr>
            <w:tcW w:w="160" w:type="dxa"/>
            <w:vAlign w:val="bottom"/>
            <w:shd w:val="clear" w:color="auto" w:fill="FDF9F2"/>
          </w:tcPr>
          <w:p>
            <w:pPr>
              <w:spacing w:after="0"/>
              <w:rPr>
                <w:sz w:val="24"/>
                <w:szCs w:val="24"/>
                <w:color w:val="auto"/>
              </w:rPr>
            </w:pPr>
          </w:p>
        </w:tc>
        <w:tc>
          <w:tcPr>
            <w:tcW w:w="480" w:type="dxa"/>
            <w:vAlign w:val="bottom"/>
            <w:shd w:val="clear" w:color="auto" w:fill="FDF9F2"/>
          </w:tcPr>
          <w:p>
            <w:pPr>
              <w:jc w:val="right"/>
              <w:ind w:right="56"/>
              <w:spacing w:after="0"/>
              <w:rPr>
                <w:sz w:val="20"/>
                <w:szCs w:val="20"/>
                <w:color w:val="auto"/>
              </w:rPr>
            </w:pPr>
            <w:r>
              <w:rPr>
                <w:rFonts w:ascii="Arial" w:cs="Arial" w:eastAsia="Arial" w:hAnsi="Arial"/>
                <w:sz w:val="14"/>
                <w:szCs w:val="14"/>
                <w:color w:val="auto"/>
              </w:rPr>
              <w:t>2020</w:t>
            </w:r>
          </w:p>
        </w:tc>
        <w:tc>
          <w:tcPr>
            <w:tcW w:w="98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$700,000</w:t>
            </w:r>
          </w:p>
        </w:tc>
        <w:tc>
          <w:tcPr>
            <w:tcW w:w="102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$1,985,303</w:t>
            </w:r>
          </w:p>
        </w:tc>
        <w:tc>
          <w:tcPr>
            <w:tcW w:w="96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$249,824</w:t>
            </w:r>
          </w:p>
        </w:tc>
        <w:tc>
          <w:tcPr>
            <w:tcW w:w="110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$308,000</w:t>
            </w:r>
          </w:p>
        </w:tc>
        <w:tc>
          <w:tcPr>
            <w:tcW w:w="112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8"/>
              </w:rPr>
              <w:t>$27,484</w:t>
            </w:r>
          </w:p>
        </w:tc>
        <w:tc>
          <w:tcPr>
            <w:tcW w:w="100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$3,270,611</w:t>
            </w:r>
          </w:p>
        </w:tc>
        <w:tc>
          <w:tcPr>
            <w:tcW w:w="0" w:type="dxa"/>
            <w:vAlign w:val="bottom"/>
          </w:tcPr>
          <w:p>
            <w:pPr>
              <w:spacing w:after="0"/>
              <w:rPr>
                <w:sz w:val="1"/>
                <w:szCs w:val="1"/>
                <w:color w:val="auto"/>
              </w:rPr>
            </w:pPr>
          </w:p>
        </w:tc>
      </w:tr>
      <w:tr>
        <w:trPr>
          <w:trHeight w:val="155"/>
        </w:trPr>
        <w:tc>
          <w:tcPr>
            <w:tcW w:w="3800" w:type="dxa"/>
            <w:vAlign w:val="bottom"/>
            <w:shd w:val="clear" w:color="auto" w:fill="FDF9F2"/>
          </w:tcPr>
          <w:p>
            <w:pPr>
              <w:spacing w:after="0"/>
              <w:rPr>
                <w:sz w:val="13"/>
                <w:szCs w:val="13"/>
                <w:color w:val="auto"/>
              </w:rPr>
            </w:pPr>
          </w:p>
        </w:tc>
        <w:tc>
          <w:tcPr>
            <w:tcW w:w="160" w:type="dxa"/>
            <w:vAlign w:val="bottom"/>
            <w:shd w:val="clear" w:color="auto" w:fill="FDF9F2"/>
          </w:tcPr>
          <w:p>
            <w:pPr>
              <w:spacing w:after="0"/>
              <w:rPr>
                <w:sz w:val="13"/>
                <w:szCs w:val="13"/>
                <w:color w:val="auto"/>
              </w:rPr>
            </w:pPr>
          </w:p>
        </w:tc>
        <w:tc>
          <w:tcPr>
            <w:tcW w:w="480" w:type="dxa"/>
            <w:vAlign w:val="bottom"/>
            <w:shd w:val="clear" w:color="auto" w:fill="FDF9F2"/>
          </w:tcPr>
          <w:p>
            <w:pPr>
              <w:spacing w:after="0"/>
              <w:rPr>
                <w:sz w:val="13"/>
                <w:szCs w:val="13"/>
                <w:color w:val="auto"/>
              </w:rPr>
            </w:pPr>
          </w:p>
        </w:tc>
        <w:tc>
          <w:tcPr>
            <w:tcW w:w="980" w:type="dxa"/>
            <w:vAlign w:val="bottom"/>
            <w:shd w:val="clear" w:color="auto" w:fill="FDF9F2"/>
          </w:tcPr>
          <w:p>
            <w:pPr>
              <w:spacing w:after="0"/>
              <w:rPr>
                <w:sz w:val="13"/>
                <w:szCs w:val="13"/>
                <w:color w:val="auto"/>
              </w:rPr>
            </w:pPr>
          </w:p>
        </w:tc>
        <w:tc>
          <w:tcPr>
            <w:tcW w:w="1020" w:type="dxa"/>
            <w:vAlign w:val="bottom"/>
            <w:shd w:val="clear" w:color="auto" w:fill="FDF9F2"/>
          </w:tcPr>
          <w:p>
            <w:pPr>
              <w:spacing w:after="0"/>
              <w:rPr>
                <w:sz w:val="13"/>
                <w:szCs w:val="13"/>
                <w:color w:val="auto"/>
              </w:rPr>
            </w:pPr>
          </w:p>
        </w:tc>
        <w:tc>
          <w:tcPr>
            <w:tcW w:w="960" w:type="dxa"/>
            <w:vAlign w:val="bottom"/>
            <w:shd w:val="clear" w:color="auto" w:fill="FDF9F2"/>
          </w:tcPr>
          <w:p>
            <w:pPr>
              <w:spacing w:after="0"/>
              <w:rPr>
                <w:sz w:val="13"/>
                <w:szCs w:val="13"/>
                <w:color w:val="auto"/>
              </w:rPr>
            </w:pPr>
          </w:p>
        </w:tc>
        <w:tc>
          <w:tcPr>
            <w:tcW w:w="1100" w:type="dxa"/>
            <w:vAlign w:val="bottom"/>
            <w:shd w:val="clear" w:color="auto" w:fill="FDF9F2"/>
          </w:tcPr>
          <w:p>
            <w:pPr>
              <w:spacing w:after="0"/>
              <w:rPr>
                <w:sz w:val="13"/>
                <w:szCs w:val="13"/>
                <w:color w:val="auto"/>
              </w:rPr>
            </w:pPr>
          </w:p>
        </w:tc>
        <w:tc>
          <w:tcPr>
            <w:tcW w:w="1120" w:type="dxa"/>
            <w:vAlign w:val="bottom"/>
            <w:shd w:val="clear" w:color="auto" w:fill="FDF9F2"/>
          </w:tcPr>
          <w:p>
            <w:pPr>
              <w:spacing w:after="0"/>
              <w:rPr>
                <w:sz w:val="13"/>
                <w:szCs w:val="13"/>
                <w:color w:val="auto"/>
              </w:rPr>
            </w:pPr>
          </w:p>
        </w:tc>
        <w:tc>
          <w:tcPr>
            <w:tcW w:w="1000" w:type="dxa"/>
            <w:vAlign w:val="bottom"/>
            <w:shd w:val="clear" w:color="auto" w:fill="FDF9F2"/>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3800" w:type="dxa"/>
            <w:vAlign w:val="bottom"/>
            <w:shd w:val="clear" w:color="auto" w:fill="DEDBD3"/>
          </w:tcPr>
          <w:p>
            <w:pPr>
              <w:spacing w:after="0"/>
              <w:rPr>
                <w:sz w:val="24"/>
                <w:szCs w:val="24"/>
                <w:color w:val="auto"/>
              </w:rPr>
            </w:pPr>
          </w:p>
        </w:tc>
        <w:tc>
          <w:tcPr>
            <w:tcW w:w="640" w:type="dxa"/>
            <w:vAlign w:val="bottom"/>
            <w:gridSpan w:val="2"/>
            <w:shd w:val="clear" w:color="auto" w:fill="DEDBD3"/>
          </w:tcPr>
          <w:p>
            <w:pPr>
              <w:jc w:val="right"/>
              <w:ind w:right="56"/>
              <w:spacing w:after="0"/>
              <w:rPr>
                <w:sz w:val="20"/>
                <w:szCs w:val="20"/>
                <w:color w:val="auto"/>
              </w:rPr>
            </w:pPr>
            <w:r>
              <w:rPr>
                <w:rFonts w:ascii="Arial" w:cs="Arial" w:eastAsia="Arial" w:hAnsi="Arial"/>
                <w:sz w:val="14"/>
                <w:szCs w:val="14"/>
                <w:color w:val="auto"/>
              </w:rPr>
              <w:t>2022</w:t>
            </w:r>
          </w:p>
        </w:tc>
        <w:tc>
          <w:tcPr>
            <w:tcW w:w="98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9"/>
              </w:rPr>
              <w:t>$153,846</w:t>
            </w:r>
          </w:p>
        </w:tc>
        <w:tc>
          <w:tcPr>
            <w:tcW w:w="102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6"/>
              </w:rPr>
              <w:t>$-</w:t>
            </w:r>
          </w:p>
        </w:tc>
        <w:tc>
          <w:tcPr>
            <w:tcW w:w="96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8"/>
              </w:rPr>
              <w:t>$89,328</w:t>
            </w:r>
          </w:p>
        </w:tc>
        <w:tc>
          <w:tcPr>
            <w:tcW w:w="110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6"/>
              </w:rPr>
              <w:t>$-</w:t>
            </w:r>
          </w:p>
        </w:tc>
        <w:tc>
          <w:tcPr>
            <w:tcW w:w="112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9"/>
              </w:rPr>
              <w:t>$7,586,983</w:t>
            </w:r>
          </w:p>
        </w:tc>
        <w:tc>
          <w:tcPr>
            <w:tcW w:w="100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9"/>
              </w:rPr>
              <w:t>$7,830,157</w:t>
            </w:r>
          </w:p>
        </w:tc>
        <w:tc>
          <w:tcPr>
            <w:tcW w:w="0" w:type="dxa"/>
            <w:vAlign w:val="bottom"/>
          </w:tcPr>
          <w:p>
            <w:pPr>
              <w:spacing w:after="0"/>
              <w:rPr>
                <w:sz w:val="1"/>
                <w:szCs w:val="1"/>
                <w:color w:val="auto"/>
              </w:rPr>
            </w:pPr>
          </w:p>
        </w:tc>
      </w:tr>
      <w:tr>
        <w:trPr>
          <w:trHeight w:val="493"/>
        </w:trPr>
        <w:tc>
          <w:tcPr>
            <w:tcW w:w="3800" w:type="dxa"/>
            <w:vAlign w:val="bottom"/>
            <w:shd w:val="clear" w:color="auto" w:fill="DEDBD3"/>
          </w:tcPr>
          <w:p>
            <w:pPr>
              <w:ind w:left="80"/>
              <w:spacing w:after="0"/>
              <w:rPr>
                <w:sz w:val="20"/>
                <w:szCs w:val="20"/>
                <w:color w:val="auto"/>
              </w:rPr>
            </w:pPr>
            <w:r>
              <w:rPr>
                <w:rFonts w:ascii="Arial" w:cs="Arial" w:eastAsia="Arial" w:hAnsi="Arial"/>
                <w:sz w:val="10"/>
                <w:szCs w:val="10"/>
                <w:b w:val="1"/>
                <w:bCs w:val="1"/>
                <w:color w:val="auto"/>
              </w:rPr>
              <w:t>Matt Maddox (9)</w:t>
            </w:r>
          </w:p>
        </w:tc>
        <w:tc>
          <w:tcPr>
            <w:tcW w:w="640" w:type="dxa"/>
            <w:vAlign w:val="bottom"/>
            <w:gridSpan w:val="2"/>
            <w:shd w:val="clear" w:color="auto" w:fill="DEDBD3"/>
          </w:tcPr>
          <w:p>
            <w:pPr>
              <w:jc w:val="right"/>
              <w:ind w:right="56"/>
              <w:spacing w:after="0"/>
              <w:rPr>
                <w:sz w:val="20"/>
                <w:szCs w:val="20"/>
                <w:color w:val="auto"/>
              </w:rPr>
            </w:pPr>
            <w:r>
              <w:rPr>
                <w:rFonts w:ascii="Arial" w:cs="Arial" w:eastAsia="Arial" w:hAnsi="Arial"/>
                <w:sz w:val="14"/>
                <w:szCs w:val="14"/>
                <w:color w:val="auto"/>
              </w:rPr>
              <w:t>2021</w:t>
            </w:r>
          </w:p>
        </w:tc>
        <w:tc>
          <w:tcPr>
            <w:tcW w:w="98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9"/>
              </w:rPr>
              <w:t>$1,900,000</w:t>
            </w:r>
          </w:p>
        </w:tc>
        <w:tc>
          <w:tcPr>
            <w:tcW w:w="102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9"/>
              </w:rPr>
              <w:t>$8,500,202</w:t>
            </w:r>
          </w:p>
        </w:tc>
        <w:tc>
          <w:tcPr>
            <w:tcW w:w="96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6"/>
              </w:rPr>
              <w:t>$-</w:t>
            </w:r>
          </w:p>
        </w:tc>
        <w:tc>
          <w:tcPr>
            <w:tcW w:w="110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9"/>
              </w:rPr>
              <w:t>$2,500,000</w:t>
            </w:r>
          </w:p>
        </w:tc>
        <w:tc>
          <w:tcPr>
            <w:tcW w:w="112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8"/>
              </w:rPr>
              <w:t>$28,545</w:t>
            </w:r>
          </w:p>
        </w:tc>
        <w:tc>
          <w:tcPr>
            <w:tcW w:w="100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7"/>
              </w:rPr>
              <w:t>$12,928,747</w:t>
            </w:r>
          </w:p>
        </w:tc>
        <w:tc>
          <w:tcPr>
            <w:tcW w:w="0" w:type="dxa"/>
            <w:vAlign w:val="bottom"/>
          </w:tcPr>
          <w:p>
            <w:pPr>
              <w:spacing w:after="0"/>
              <w:rPr>
                <w:sz w:val="1"/>
                <w:szCs w:val="1"/>
                <w:color w:val="auto"/>
              </w:rPr>
            </w:pPr>
          </w:p>
        </w:tc>
      </w:tr>
      <w:tr>
        <w:trPr>
          <w:trHeight w:val="156"/>
        </w:trPr>
        <w:tc>
          <w:tcPr>
            <w:tcW w:w="3800" w:type="dxa"/>
            <w:vAlign w:val="bottom"/>
            <w:shd w:val="clear" w:color="auto" w:fill="DEDBD3"/>
          </w:tcPr>
          <w:p>
            <w:pPr>
              <w:ind w:left="80"/>
              <w:spacing w:after="0" w:line="156" w:lineRule="exact"/>
              <w:rPr>
                <w:sz w:val="20"/>
                <w:szCs w:val="20"/>
                <w:color w:val="auto"/>
              </w:rPr>
            </w:pPr>
            <w:r>
              <w:rPr>
                <w:rFonts w:ascii="Arial" w:cs="Arial" w:eastAsia="Arial" w:hAnsi="Arial"/>
                <w:sz w:val="14"/>
                <w:szCs w:val="14"/>
                <w:color w:val="auto"/>
              </w:rPr>
              <w:t>Former Chief Executive Officer</w:t>
            </w:r>
          </w:p>
        </w:tc>
        <w:tc>
          <w:tcPr>
            <w:tcW w:w="160" w:type="dxa"/>
            <w:vAlign w:val="bottom"/>
            <w:shd w:val="clear" w:color="auto" w:fill="DEDBD3"/>
          </w:tcPr>
          <w:p>
            <w:pPr>
              <w:spacing w:after="0"/>
              <w:rPr>
                <w:sz w:val="13"/>
                <w:szCs w:val="13"/>
                <w:color w:val="auto"/>
              </w:rPr>
            </w:pPr>
          </w:p>
        </w:tc>
        <w:tc>
          <w:tcPr>
            <w:tcW w:w="480" w:type="dxa"/>
            <w:vAlign w:val="bottom"/>
            <w:shd w:val="clear" w:color="auto" w:fill="DEDBD3"/>
          </w:tcPr>
          <w:p>
            <w:pPr>
              <w:spacing w:after="0"/>
              <w:rPr>
                <w:sz w:val="13"/>
                <w:szCs w:val="13"/>
                <w:color w:val="auto"/>
              </w:rPr>
            </w:pPr>
          </w:p>
        </w:tc>
        <w:tc>
          <w:tcPr>
            <w:tcW w:w="980" w:type="dxa"/>
            <w:vAlign w:val="bottom"/>
            <w:shd w:val="clear" w:color="auto" w:fill="DEDBD3"/>
          </w:tcPr>
          <w:p>
            <w:pPr>
              <w:spacing w:after="0"/>
              <w:rPr>
                <w:sz w:val="13"/>
                <w:szCs w:val="13"/>
                <w:color w:val="auto"/>
              </w:rPr>
            </w:pPr>
          </w:p>
        </w:tc>
        <w:tc>
          <w:tcPr>
            <w:tcW w:w="1020" w:type="dxa"/>
            <w:vAlign w:val="bottom"/>
            <w:shd w:val="clear" w:color="auto" w:fill="DEDBD3"/>
          </w:tcPr>
          <w:p>
            <w:pPr>
              <w:spacing w:after="0"/>
              <w:rPr>
                <w:sz w:val="13"/>
                <w:szCs w:val="13"/>
                <w:color w:val="auto"/>
              </w:rPr>
            </w:pPr>
          </w:p>
        </w:tc>
        <w:tc>
          <w:tcPr>
            <w:tcW w:w="960" w:type="dxa"/>
            <w:vAlign w:val="bottom"/>
            <w:shd w:val="clear" w:color="auto" w:fill="DEDBD3"/>
          </w:tcPr>
          <w:p>
            <w:pPr>
              <w:spacing w:after="0"/>
              <w:rPr>
                <w:sz w:val="13"/>
                <w:szCs w:val="13"/>
                <w:color w:val="auto"/>
              </w:rPr>
            </w:pPr>
          </w:p>
        </w:tc>
        <w:tc>
          <w:tcPr>
            <w:tcW w:w="1100" w:type="dxa"/>
            <w:vAlign w:val="bottom"/>
            <w:shd w:val="clear" w:color="auto" w:fill="DEDBD3"/>
          </w:tcPr>
          <w:p>
            <w:pPr>
              <w:spacing w:after="0"/>
              <w:rPr>
                <w:sz w:val="13"/>
                <w:szCs w:val="13"/>
                <w:color w:val="auto"/>
              </w:rPr>
            </w:pPr>
          </w:p>
        </w:tc>
        <w:tc>
          <w:tcPr>
            <w:tcW w:w="1120" w:type="dxa"/>
            <w:vAlign w:val="bottom"/>
            <w:shd w:val="clear" w:color="auto" w:fill="DEDBD3"/>
          </w:tcPr>
          <w:p>
            <w:pPr>
              <w:spacing w:after="0"/>
              <w:rPr>
                <w:sz w:val="13"/>
                <w:szCs w:val="13"/>
                <w:color w:val="auto"/>
              </w:rPr>
            </w:pPr>
          </w:p>
        </w:tc>
        <w:tc>
          <w:tcPr>
            <w:tcW w:w="1000" w:type="dxa"/>
            <w:vAlign w:val="bottom"/>
            <w:shd w:val="clear" w:color="auto" w:fill="DEDBD3"/>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3800" w:type="dxa"/>
            <w:vAlign w:val="bottom"/>
            <w:shd w:val="clear" w:color="auto" w:fill="DEDBD3"/>
          </w:tcPr>
          <w:p>
            <w:pPr>
              <w:spacing w:after="0"/>
              <w:rPr>
                <w:sz w:val="24"/>
                <w:szCs w:val="24"/>
                <w:color w:val="auto"/>
              </w:rPr>
            </w:pPr>
          </w:p>
        </w:tc>
        <w:tc>
          <w:tcPr>
            <w:tcW w:w="640" w:type="dxa"/>
            <w:vAlign w:val="bottom"/>
            <w:gridSpan w:val="2"/>
            <w:shd w:val="clear" w:color="auto" w:fill="DEDBD3"/>
          </w:tcPr>
          <w:p>
            <w:pPr>
              <w:jc w:val="right"/>
              <w:ind w:right="56"/>
              <w:spacing w:after="0"/>
              <w:rPr>
                <w:sz w:val="20"/>
                <w:szCs w:val="20"/>
                <w:color w:val="auto"/>
              </w:rPr>
            </w:pPr>
            <w:r>
              <w:rPr>
                <w:rFonts w:ascii="Arial" w:cs="Arial" w:eastAsia="Arial" w:hAnsi="Arial"/>
                <w:sz w:val="14"/>
                <w:szCs w:val="14"/>
                <w:color w:val="auto"/>
              </w:rPr>
              <w:t>2020</w:t>
            </w:r>
          </w:p>
        </w:tc>
        <w:tc>
          <w:tcPr>
            <w:tcW w:w="98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9"/>
              </w:rPr>
              <w:t>$2,000,000</w:t>
            </w:r>
          </w:p>
        </w:tc>
        <w:tc>
          <w:tcPr>
            <w:tcW w:w="1020" w:type="dxa"/>
            <w:vAlign w:val="bottom"/>
            <w:shd w:val="clear" w:color="auto" w:fill="DEDBD3"/>
          </w:tcPr>
          <w:p>
            <w:pPr>
              <w:jc w:val="center"/>
              <w:spacing w:after="0"/>
              <w:rPr>
                <w:sz w:val="20"/>
                <w:szCs w:val="20"/>
                <w:color w:val="auto"/>
              </w:rPr>
            </w:pPr>
            <w:r>
              <w:rPr>
                <w:rFonts w:ascii="Arial" w:cs="Arial" w:eastAsia="Arial" w:hAnsi="Arial"/>
                <w:sz w:val="14"/>
                <w:szCs w:val="14"/>
                <w:color w:val="auto"/>
              </w:rPr>
              <w:t>$20,283,231</w:t>
            </w:r>
          </w:p>
        </w:tc>
        <w:tc>
          <w:tcPr>
            <w:tcW w:w="96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9"/>
              </w:rPr>
              <w:t>$699,218</w:t>
            </w:r>
          </w:p>
        </w:tc>
        <w:tc>
          <w:tcPr>
            <w:tcW w:w="110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9"/>
              </w:rPr>
              <w:t>$1,100,000</w:t>
            </w:r>
          </w:p>
        </w:tc>
        <w:tc>
          <w:tcPr>
            <w:tcW w:w="112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9"/>
              </w:rPr>
              <w:t>$489,531</w:t>
            </w:r>
          </w:p>
        </w:tc>
        <w:tc>
          <w:tcPr>
            <w:tcW w:w="100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7"/>
              </w:rPr>
              <w:t>$24,571,980</w:t>
            </w:r>
          </w:p>
        </w:tc>
        <w:tc>
          <w:tcPr>
            <w:tcW w:w="0" w:type="dxa"/>
            <w:vAlign w:val="bottom"/>
          </w:tcPr>
          <w:p>
            <w:pPr>
              <w:spacing w:after="0"/>
              <w:rPr>
                <w:sz w:val="1"/>
                <w:szCs w:val="1"/>
                <w:color w:val="auto"/>
              </w:rPr>
            </w:pPr>
          </w:p>
        </w:tc>
      </w:tr>
      <w:tr>
        <w:trPr>
          <w:trHeight w:val="155"/>
        </w:trPr>
        <w:tc>
          <w:tcPr>
            <w:tcW w:w="3800" w:type="dxa"/>
            <w:vAlign w:val="bottom"/>
            <w:shd w:val="clear" w:color="auto" w:fill="DEDBD3"/>
          </w:tcPr>
          <w:p>
            <w:pPr>
              <w:spacing w:after="0"/>
              <w:rPr>
                <w:sz w:val="13"/>
                <w:szCs w:val="13"/>
                <w:color w:val="auto"/>
              </w:rPr>
            </w:pPr>
          </w:p>
        </w:tc>
        <w:tc>
          <w:tcPr>
            <w:tcW w:w="160" w:type="dxa"/>
            <w:vAlign w:val="bottom"/>
            <w:shd w:val="clear" w:color="auto" w:fill="DEDBD3"/>
          </w:tcPr>
          <w:p>
            <w:pPr>
              <w:spacing w:after="0"/>
              <w:rPr>
                <w:sz w:val="13"/>
                <w:szCs w:val="13"/>
                <w:color w:val="auto"/>
              </w:rPr>
            </w:pPr>
          </w:p>
        </w:tc>
        <w:tc>
          <w:tcPr>
            <w:tcW w:w="480" w:type="dxa"/>
            <w:vAlign w:val="bottom"/>
            <w:shd w:val="clear" w:color="auto" w:fill="DEDBD3"/>
          </w:tcPr>
          <w:p>
            <w:pPr>
              <w:spacing w:after="0"/>
              <w:rPr>
                <w:sz w:val="13"/>
                <w:szCs w:val="13"/>
                <w:color w:val="auto"/>
              </w:rPr>
            </w:pPr>
          </w:p>
        </w:tc>
        <w:tc>
          <w:tcPr>
            <w:tcW w:w="980" w:type="dxa"/>
            <w:vAlign w:val="bottom"/>
            <w:shd w:val="clear" w:color="auto" w:fill="DEDBD3"/>
          </w:tcPr>
          <w:p>
            <w:pPr>
              <w:spacing w:after="0"/>
              <w:rPr>
                <w:sz w:val="13"/>
                <w:szCs w:val="13"/>
                <w:color w:val="auto"/>
              </w:rPr>
            </w:pPr>
          </w:p>
        </w:tc>
        <w:tc>
          <w:tcPr>
            <w:tcW w:w="1020" w:type="dxa"/>
            <w:vAlign w:val="bottom"/>
            <w:shd w:val="clear" w:color="auto" w:fill="DEDBD3"/>
          </w:tcPr>
          <w:p>
            <w:pPr>
              <w:spacing w:after="0"/>
              <w:rPr>
                <w:sz w:val="13"/>
                <w:szCs w:val="13"/>
                <w:color w:val="auto"/>
              </w:rPr>
            </w:pPr>
          </w:p>
        </w:tc>
        <w:tc>
          <w:tcPr>
            <w:tcW w:w="960" w:type="dxa"/>
            <w:vAlign w:val="bottom"/>
            <w:shd w:val="clear" w:color="auto" w:fill="DEDBD3"/>
          </w:tcPr>
          <w:p>
            <w:pPr>
              <w:spacing w:after="0"/>
              <w:rPr>
                <w:sz w:val="13"/>
                <w:szCs w:val="13"/>
                <w:color w:val="auto"/>
              </w:rPr>
            </w:pPr>
          </w:p>
        </w:tc>
        <w:tc>
          <w:tcPr>
            <w:tcW w:w="1100" w:type="dxa"/>
            <w:vAlign w:val="bottom"/>
            <w:shd w:val="clear" w:color="auto" w:fill="DEDBD3"/>
          </w:tcPr>
          <w:p>
            <w:pPr>
              <w:spacing w:after="0"/>
              <w:rPr>
                <w:sz w:val="13"/>
                <w:szCs w:val="13"/>
                <w:color w:val="auto"/>
              </w:rPr>
            </w:pPr>
          </w:p>
        </w:tc>
        <w:tc>
          <w:tcPr>
            <w:tcW w:w="1120" w:type="dxa"/>
            <w:vAlign w:val="bottom"/>
            <w:shd w:val="clear" w:color="auto" w:fill="DEDBD3"/>
          </w:tcPr>
          <w:p>
            <w:pPr>
              <w:spacing w:after="0"/>
              <w:rPr>
                <w:sz w:val="13"/>
                <w:szCs w:val="13"/>
                <w:color w:val="auto"/>
              </w:rPr>
            </w:pPr>
          </w:p>
        </w:tc>
        <w:tc>
          <w:tcPr>
            <w:tcW w:w="1000" w:type="dxa"/>
            <w:vAlign w:val="bottom"/>
            <w:shd w:val="clear" w:color="auto" w:fill="DEDBD3"/>
          </w:tcPr>
          <w:p>
            <w:pPr>
              <w:spacing w:after="0"/>
              <w:rPr>
                <w:sz w:val="13"/>
                <w:szCs w:val="13"/>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20" w:right="80" w:hanging="4"/>
        <w:spacing w:after="0" w:line="231" w:lineRule="auto"/>
        <w:tabs>
          <w:tab w:leader="none" w:pos="502"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amounts set forth in this column reflect each Named Executive Officer’s annual base salary approved by the Compensation Committee as adjusted for each NEO’s service and contract period. On May 12, 2022, in effort to preserve liquidity, Mr. Billings, Ms. Cameron-Doe and Ms. Whittemore elected to receive 35%, 33% and 33%, respectively, of the remainder of their annual cash salary in the form of a stock option grant. The full annual base salary for each such Named Executive Officer is reflected in this column with such stock option grant valued in accordance with FASB ASC Topic 718. The value of such stock options included in this column is equivalent to the cash value such NEO would have received if that portion of their base salary was paid in cash, except for a de minimis incremental amount equal to $10, $16, and $16 for Mr. Billings, Ms. Cameron-Doe, and Ms. Whittemore, respectively, which is included in the “Option Awards” column above.</w:t>
      </w:r>
    </w:p>
    <w:p>
      <w:pPr>
        <w:spacing w:after="0" w:line="90" w:lineRule="exact"/>
        <w:rPr>
          <w:rFonts w:ascii="Arial" w:cs="Arial" w:eastAsia="Arial" w:hAnsi="Arial"/>
          <w:sz w:val="12"/>
          <w:szCs w:val="12"/>
          <w:color w:val="auto"/>
        </w:rPr>
      </w:pPr>
    </w:p>
    <w:p>
      <w:pPr>
        <w:ind w:left="320" w:right="60" w:hanging="4"/>
        <w:spacing w:after="0" w:line="230" w:lineRule="auto"/>
        <w:tabs>
          <w:tab w:leader="none" w:pos="502" w:val="left"/>
        </w:tabs>
        <w:numPr>
          <w:ilvl w:val="0"/>
          <w:numId w:val="32"/>
        </w:numPr>
        <w:rPr>
          <w:rFonts w:ascii="Arial" w:cs="Arial" w:eastAsia="Arial" w:hAnsi="Arial"/>
          <w:sz w:val="12"/>
          <w:szCs w:val="12"/>
          <w:color w:val="auto"/>
        </w:rPr>
      </w:pPr>
      <w:r>
        <w:rPr>
          <w:rFonts w:ascii="Arial" w:cs="Arial" w:eastAsia="Arial" w:hAnsi="Arial"/>
          <w:sz w:val="12"/>
          <w:szCs w:val="12"/>
          <w:color w:val="auto"/>
        </w:rPr>
        <w:t>Stock awards granted as a component of the annual incentive awards are reported in this column as stock award compensation to reflect the applicable service period for such awards; however, the annual incentives were approved by the Compensation Committee in January of the following calendar year. See annual incentive award payouts as described in ”Compensation Discussion and Analysis-How We Designed Incentives for 2022” for a description of the 2022 annual incentive awards. The amounts reported in 2022 reflect a portion from restricted stock grants which are not related to the annual incentive awards and were reported in the year of grant. Except as otherwise noted, certain grants in this column vest based on specified performance criteria and are reflected in this column at 100% of the aggregate grant date fair value in accordance with FASB ASC Topic 718. Except as otherwise noted, certain grants in this column vest based on specified performance criteria and are reflected in this column at 100% of the aggregate grant date fair value, which is the highest level of achievement for these awards.</w:t>
      </w:r>
    </w:p>
    <w:p>
      <w:pPr>
        <w:spacing w:after="0" w:line="91" w:lineRule="exact"/>
        <w:rPr>
          <w:rFonts w:ascii="Arial" w:cs="Arial" w:eastAsia="Arial" w:hAnsi="Arial"/>
          <w:sz w:val="12"/>
          <w:szCs w:val="12"/>
          <w:color w:val="auto"/>
        </w:rPr>
      </w:pPr>
    </w:p>
    <w:p>
      <w:pPr>
        <w:ind w:left="320" w:right="80" w:hanging="4"/>
        <w:spacing w:after="0" w:line="233" w:lineRule="auto"/>
        <w:tabs>
          <w:tab w:leader="none" w:pos="502"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amounts set forth in this column reflect the aggregate grant date fair value of stock awards and stock options computed in accordance with FASB ASC Topic 718. Performance-based restricted share awards in this column are reflected based on the probable outcome of such conditions as of the applicable grant date in accordance with accounting standards for stock-based compensation. Except as otherwise described in the footnotes to this table, all performance-based restricted share awards were deemed probable of vesting on the grant date. See our Annual Report on Form 10-K for the year ended December 31, 2022, Item 8, Note 12 -“Stock-Based Compensation” to our Consolidated Financial Statements for assumptions used in computing fair value.</w:t>
      </w:r>
    </w:p>
    <w:p>
      <w:pPr>
        <w:spacing w:after="0" w:line="137" w:lineRule="exact"/>
        <w:rPr>
          <w:rFonts w:ascii="Arial" w:cs="Arial" w:eastAsia="Arial" w:hAnsi="Arial"/>
          <w:sz w:val="12"/>
          <w:szCs w:val="12"/>
          <w:color w:val="auto"/>
        </w:rPr>
      </w:pPr>
    </w:p>
    <w:p>
      <w:pPr>
        <w:ind w:left="5680" w:hanging="164"/>
        <w:spacing w:after="0"/>
        <w:tabs>
          <w:tab w:leader="none" w:pos="5680" w:val="left"/>
        </w:tabs>
        <w:numPr>
          <w:ilvl w:val="1"/>
          <w:numId w:val="32"/>
        </w:numPr>
        <w:rPr>
          <w:rFonts w:ascii="Arial" w:cs="Arial" w:eastAsia="Arial" w:hAnsi="Arial"/>
          <w:sz w:val="14"/>
          <w:szCs w:val="14"/>
          <w:color w:val="auto"/>
        </w:rPr>
      </w:pPr>
      <w:r>
        <w:rPr>
          <w:rFonts w:ascii="Arial" w:cs="Arial" w:eastAsia="Arial" w:hAnsi="Arial"/>
          <w:sz w:val="14"/>
          <w:szCs w:val="14"/>
          <w:color w:val="auto"/>
        </w:rPr>
        <w:t>43 //</w:t>
      </w:r>
    </w:p>
    <w:p>
      <w:pPr>
        <w:sectPr>
          <w:pgSz w:w="11900" w:h="16838" w:orient="portrait"/>
          <w:cols w:equalWidth="0" w:num="1">
            <w:col w:w="10940"/>
          </w:cols>
          <w:pgMar w:left="320" w:top="473" w:right="6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right="160" w:hanging="4"/>
        <w:spacing w:after="0" w:line="235" w:lineRule="auto"/>
        <w:tabs>
          <w:tab w:leader="none" w:pos="502"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amounts set forth in this column represent stock options of a subsidiary, granted to Messrs. Billings and Maddox and Ms. Whittemore in 2020 and include the incremental expense incurred when such stock options were modified in 2022. In 2022, as a measure to retain employees, one of our stock plans at a subsidiary was rebalanced for all awards issued under that plan, which resulted in incremental compensation for Mr. Billings, Ms. Whittemore, and Mr. Maddox.</w:t>
      </w:r>
    </w:p>
    <w:p>
      <w:pPr>
        <w:spacing w:after="0" w:line="88" w:lineRule="exact"/>
        <w:rPr>
          <w:rFonts w:ascii="Arial" w:cs="Arial" w:eastAsia="Arial" w:hAnsi="Arial"/>
          <w:sz w:val="12"/>
          <w:szCs w:val="12"/>
          <w:color w:val="auto"/>
        </w:rPr>
      </w:pPr>
    </w:p>
    <w:p>
      <w:pPr>
        <w:ind w:left="320" w:right="40" w:hanging="4"/>
        <w:spacing w:after="0" w:line="239" w:lineRule="auto"/>
        <w:tabs>
          <w:tab w:leader="none" w:pos="502" w:val="left"/>
        </w:tabs>
        <w:numPr>
          <w:ilvl w:val="0"/>
          <w:numId w:val="33"/>
        </w:numPr>
        <w:rPr>
          <w:rFonts w:ascii="Arial" w:cs="Arial" w:eastAsia="Arial" w:hAnsi="Arial"/>
          <w:sz w:val="12"/>
          <w:szCs w:val="12"/>
          <w:color w:val="auto"/>
        </w:rPr>
      </w:pPr>
      <w:r>
        <w:rPr>
          <w:rFonts w:ascii="Arial" w:cs="Arial" w:eastAsia="Arial" w:hAnsi="Arial"/>
          <w:sz w:val="12"/>
          <w:szCs w:val="12"/>
          <w:color w:val="auto"/>
        </w:rPr>
        <w:t>As described above under “Compensation Discussion and Analysis-How We Designed Incentives for 2022,” in January 2022, the Compensation Committee exercised its discretion to pay 50% of the actual earned annual incentive for all NEO’s in shares of the Company’s Common Stock.</w:t>
      </w:r>
    </w:p>
    <w:p>
      <w:pPr>
        <w:spacing w:after="0" w:line="81" w:lineRule="exact"/>
        <w:rPr>
          <w:rFonts w:ascii="Arial" w:cs="Arial" w:eastAsia="Arial" w:hAnsi="Arial"/>
          <w:sz w:val="12"/>
          <w:szCs w:val="12"/>
          <w:color w:val="auto"/>
        </w:rPr>
      </w:pPr>
    </w:p>
    <w:p>
      <w:pPr>
        <w:ind w:left="500" w:hanging="184"/>
        <w:spacing w:after="0"/>
        <w:tabs>
          <w:tab w:leader="none" w:pos="5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following amounts for 2022 are included in “All Other Compensation” for Mr. Billings:</w:t>
      </w:r>
    </w:p>
    <w:p>
      <w:pPr>
        <w:ind w:left="460" w:hanging="144"/>
        <w:spacing w:after="0" w:line="226" w:lineRule="auto"/>
        <w:tabs>
          <w:tab w:leader="none" w:pos="4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insurance premiums and benefits including executive life and medical insurance of $7,776;</w:t>
      </w:r>
    </w:p>
    <w:p>
      <w:pPr>
        <w:ind w:left="480" w:hanging="164"/>
        <w:spacing w:after="0" w:line="226" w:lineRule="auto"/>
        <w:tabs>
          <w:tab w:leader="none" w:pos="4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reimbursement of taxes related to work performed in Massachusetts of $8,476; and</w:t>
      </w:r>
    </w:p>
    <w:p>
      <w:pPr>
        <w:ind w:left="320" w:right="3440" w:hanging="4"/>
        <w:spacing w:after="0" w:line="226" w:lineRule="auto"/>
        <w:tabs>
          <w:tab w:leader="none" w:pos="516" w:val="left"/>
        </w:tabs>
        <w:numPr>
          <w:ilvl w:val="0"/>
          <w:numId w:val="34"/>
        </w:numPr>
        <w:rPr>
          <w:rFonts w:ascii="Arial" w:cs="Arial" w:eastAsia="Arial" w:hAnsi="Arial"/>
          <w:sz w:val="12"/>
          <w:szCs w:val="12"/>
          <w:color w:val="auto"/>
        </w:rPr>
      </w:pPr>
      <w:r>
        <w:rPr>
          <w:rFonts w:ascii="Arial" w:cs="Arial" w:eastAsia="Arial" w:hAnsi="Arial"/>
          <w:sz w:val="12"/>
          <w:szCs w:val="12"/>
          <w:color w:val="auto"/>
        </w:rPr>
        <w:t>matching contributions made under the Company’s §401(k) Plan, which is generally available to our eligible employees, of $9,150. The following amounts for 2022 are included in “All Other Compensation” for Ms. Cameron-Doe:</w:t>
      </w:r>
    </w:p>
    <w:p>
      <w:pPr>
        <w:ind w:left="460" w:hanging="144"/>
        <w:spacing w:after="0" w:line="226" w:lineRule="auto"/>
        <w:tabs>
          <w:tab w:leader="none" w:pos="4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insurance premiums and benefits including executive life and medical insurance of $633; and</w:t>
      </w:r>
    </w:p>
    <w:p>
      <w:pPr>
        <w:ind w:left="480" w:hanging="164"/>
        <w:spacing w:after="0" w:line="226" w:lineRule="auto"/>
        <w:tabs>
          <w:tab w:leader="none" w:pos="4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reimbursement of taxes related to work performed in Massachusetts of $744.</w:t>
      </w:r>
    </w:p>
    <w:p>
      <w:pPr>
        <w:ind w:left="320"/>
        <w:spacing w:after="0" w:line="226" w:lineRule="auto"/>
        <w:rPr>
          <w:rFonts w:ascii="Arial" w:cs="Arial" w:eastAsia="Arial" w:hAnsi="Arial"/>
          <w:sz w:val="12"/>
          <w:szCs w:val="12"/>
          <w:color w:val="auto"/>
        </w:rPr>
      </w:pPr>
      <w:r>
        <w:rPr>
          <w:rFonts w:ascii="Arial" w:cs="Arial" w:eastAsia="Arial" w:hAnsi="Arial"/>
          <w:sz w:val="12"/>
          <w:szCs w:val="12"/>
          <w:color w:val="auto"/>
        </w:rPr>
        <w:t>The following amounts for 2022 are included in “All Other Compensation” for Ms. Whittemore:</w:t>
      </w:r>
    </w:p>
    <w:p>
      <w:pPr>
        <w:ind w:left="460" w:hanging="144"/>
        <w:spacing w:after="0" w:line="226" w:lineRule="auto"/>
        <w:tabs>
          <w:tab w:leader="none" w:pos="4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insurance premiums and benefits including executive life and medical insurance of $11,775;</w:t>
      </w:r>
    </w:p>
    <w:p>
      <w:pPr>
        <w:ind w:left="480" w:hanging="164"/>
        <w:spacing w:after="0" w:line="226" w:lineRule="auto"/>
        <w:tabs>
          <w:tab w:leader="none" w:pos="4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reimbursement of taxes related to work performed in Massachusetts of $4,624; and</w:t>
      </w:r>
    </w:p>
    <w:p>
      <w:pPr>
        <w:ind w:left="320" w:right="3440" w:hanging="4"/>
        <w:spacing w:after="0" w:line="226" w:lineRule="auto"/>
        <w:tabs>
          <w:tab w:leader="none" w:pos="516" w:val="left"/>
        </w:tabs>
        <w:numPr>
          <w:ilvl w:val="0"/>
          <w:numId w:val="36"/>
        </w:numPr>
        <w:rPr>
          <w:rFonts w:ascii="Arial" w:cs="Arial" w:eastAsia="Arial" w:hAnsi="Arial"/>
          <w:sz w:val="12"/>
          <w:szCs w:val="12"/>
          <w:color w:val="auto"/>
        </w:rPr>
      </w:pPr>
      <w:r>
        <w:rPr>
          <w:rFonts w:ascii="Arial" w:cs="Arial" w:eastAsia="Arial" w:hAnsi="Arial"/>
          <w:sz w:val="12"/>
          <w:szCs w:val="12"/>
          <w:color w:val="auto"/>
        </w:rPr>
        <w:t>matching contributions made under the Company’s §401(k) Plan, which is generally available to our eligible employees, of $9,150. The following amounts for 2022 are included in “All Other Compensation” for Mr. Maddox:</w:t>
      </w:r>
    </w:p>
    <w:p>
      <w:pPr>
        <w:ind w:left="460" w:hanging="144"/>
        <w:spacing w:after="0" w:line="226" w:lineRule="auto"/>
        <w:tabs>
          <w:tab w:leader="none" w:pos="4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payment of $7,583,333 in accordance with the Maddox Transition Agreement, as described in more detail under the heading “Potential Payments Upon Termination or Change in Control”; and</w:t>
      </w:r>
    </w:p>
    <w:p>
      <w:pPr>
        <w:ind w:left="480" w:hanging="164"/>
        <w:spacing w:after="0"/>
        <w:tabs>
          <w:tab w:leader="none" w:pos="4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insurance premiums and benefits including executive life and medical insurance of $3,650.</w:t>
      </w:r>
    </w:p>
    <w:p>
      <w:pPr>
        <w:spacing w:after="0" w:line="88" w:lineRule="exact"/>
        <w:rPr>
          <w:sz w:val="20"/>
          <w:szCs w:val="20"/>
          <w:color w:val="auto"/>
        </w:rPr>
      </w:pPr>
    </w:p>
    <w:p>
      <w:pPr>
        <w:ind w:left="500" w:hanging="184"/>
        <w:spacing w:after="0"/>
        <w:tabs>
          <w:tab w:leader="none" w:pos="500" w:val="left"/>
        </w:tabs>
        <w:numPr>
          <w:ilvl w:val="0"/>
          <w:numId w:val="38"/>
        </w:numPr>
        <w:rPr>
          <w:rFonts w:ascii="Arial" w:cs="Arial" w:eastAsia="Arial" w:hAnsi="Arial"/>
          <w:sz w:val="12"/>
          <w:szCs w:val="12"/>
          <w:color w:val="auto"/>
        </w:rPr>
      </w:pPr>
      <w:r>
        <w:rPr>
          <w:rFonts w:ascii="Arial" w:cs="Arial" w:eastAsia="Arial" w:hAnsi="Arial"/>
          <w:sz w:val="12"/>
          <w:szCs w:val="12"/>
          <w:color w:val="auto"/>
        </w:rPr>
        <w:t>Mr. Billings previously served as Chief Financial Offer and was appointed to serve as Chief Executive Officer effective February 1, 2022.</w:t>
      </w:r>
    </w:p>
    <w:p>
      <w:pPr>
        <w:ind w:left="500" w:hanging="184"/>
        <w:spacing w:after="0" w:line="226" w:lineRule="auto"/>
        <w:tabs>
          <w:tab w:leader="none" w:pos="500" w:val="left"/>
        </w:tabs>
        <w:numPr>
          <w:ilvl w:val="0"/>
          <w:numId w:val="38"/>
        </w:numPr>
        <w:rPr>
          <w:rFonts w:ascii="Arial" w:cs="Arial" w:eastAsia="Arial" w:hAnsi="Arial"/>
          <w:sz w:val="12"/>
          <w:szCs w:val="12"/>
          <w:color w:val="auto"/>
        </w:rPr>
      </w:pPr>
      <w:r>
        <w:rPr>
          <w:rFonts w:ascii="Arial" w:cs="Arial" w:eastAsia="Arial" w:hAnsi="Arial"/>
          <w:sz w:val="12"/>
          <w:szCs w:val="12"/>
          <w:color w:val="auto"/>
        </w:rPr>
        <w:t>Ms. Cameron-Doe joined the Company as Chief Financial Officer on April 18, 2022.</w:t>
      </w:r>
    </w:p>
    <w:p>
      <w:pPr>
        <w:ind w:left="500" w:hanging="184"/>
        <w:spacing w:after="0"/>
        <w:tabs>
          <w:tab w:leader="none" w:pos="500" w:val="left"/>
        </w:tabs>
        <w:numPr>
          <w:ilvl w:val="0"/>
          <w:numId w:val="38"/>
        </w:numPr>
        <w:rPr>
          <w:rFonts w:ascii="Arial" w:cs="Arial" w:eastAsia="Arial" w:hAnsi="Arial"/>
          <w:sz w:val="12"/>
          <w:szCs w:val="12"/>
          <w:color w:val="auto"/>
        </w:rPr>
      </w:pPr>
      <w:r>
        <w:rPr>
          <w:rFonts w:ascii="Arial" w:cs="Arial" w:eastAsia="Arial" w:hAnsi="Arial"/>
          <w:sz w:val="12"/>
          <w:szCs w:val="12"/>
          <w:color w:val="auto"/>
        </w:rPr>
        <w:t>Mr. Maddox resigned as Director of the Board and Chief Executive Officer effective January 31, 2022.</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auto"/>
        </w:rPr>
        <w:t>Discussion of summary compensation table</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2022, each of the NEOs received a base salary in accordance with the terms of their employment agreement, as approved by the</w:t>
      </w:r>
    </w:p>
    <w:p>
      <w:pPr>
        <w:ind w:left="320"/>
        <w:spacing w:after="0"/>
        <w:rPr>
          <w:sz w:val="20"/>
          <w:szCs w:val="20"/>
          <w:color w:val="auto"/>
        </w:rPr>
      </w:pPr>
      <w:r>
        <w:rPr>
          <w:rFonts w:ascii="Arial" w:cs="Arial" w:eastAsia="Arial" w:hAnsi="Arial"/>
          <w:sz w:val="17"/>
          <w:szCs w:val="17"/>
          <w:color w:val="auto"/>
        </w:rPr>
        <w:t>Compensation Committee. Key terms of the agreements, as in effect on December 31, 2022, were as follows:</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65"/>
        </w:trPr>
        <w:tc>
          <w:tcPr>
            <w:tcW w:w="7040" w:type="dxa"/>
            <w:vAlign w:val="bottom"/>
            <w:shd w:val="clear" w:color="auto" w:fill="FCFCF7"/>
          </w:tcPr>
          <w:p>
            <w:pPr>
              <w:spacing w:after="0"/>
              <w:rPr>
                <w:sz w:val="5"/>
                <w:szCs w:val="5"/>
                <w:color w:val="auto"/>
              </w:rPr>
            </w:pPr>
          </w:p>
        </w:tc>
        <w:tc>
          <w:tcPr>
            <w:tcW w:w="1400" w:type="dxa"/>
            <w:vAlign w:val="bottom"/>
            <w:shd w:val="clear" w:color="auto" w:fill="FCFCF7"/>
          </w:tcPr>
          <w:p>
            <w:pPr>
              <w:spacing w:after="0"/>
              <w:rPr>
                <w:sz w:val="5"/>
                <w:szCs w:val="5"/>
                <w:color w:val="auto"/>
              </w:rPr>
            </w:pPr>
          </w:p>
        </w:tc>
        <w:tc>
          <w:tcPr>
            <w:tcW w:w="680" w:type="dxa"/>
            <w:vAlign w:val="bottom"/>
            <w:shd w:val="clear" w:color="auto" w:fill="FCFCF7"/>
          </w:tcPr>
          <w:p>
            <w:pPr>
              <w:spacing w:after="0"/>
              <w:rPr>
                <w:sz w:val="5"/>
                <w:szCs w:val="5"/>
                <w:color w:val="auto"/>
              </w:rPr>
            </w:pPr>
          </w:p>
        </w:tc>
        <w:tc>
          <w:tcPr>
            <w:tcW w:w="440" w:type="dxa"/>
            <w:vAlign w:val="bottom"/>
            <w:shd w:val="clear" w:color="auto" w:fill="FCFCF7"/>
          </w:tcPr>
          <w:p>
            <w:pPr>
              <w:spacing w:after="0"/>
              <w:rPr>
                <w:sz w:val="5"/>
                <w:szCs w:val="5"/>
                <w:color w:val="auto"/>
              </w:rPr>
            </w:pPr>
          </w:p>
        </w:tc>
        <w:tc>
          <w:tcPr>
            <w:tcW w:w="1060" w:type="dxa"/>
            <w:vAlign w:val="bottom"/>
            <w:shd w:val="clear" w:color="auto" w:fill="FCFCF7"/>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7040" w:type="dxa"/>
            <w:vAlign w:val="bottom"/>
            <w:vMerge w:val="restart"/>
            <w:shd w:val="clear" w:color="auto" w:fill="DEDBD3"/>
          </w:tcPr>
          <w:p>
            <w:pPr>
              <w:ind w:left="60"/>
              <w:spacing w:after="0"/>
              <w:rPr>
                <w:sz w:val="20"/>
                <w:szCs w:val="20"/>
                <w:color w:val="auto"/>
              </w:rPr>
            </w:pPr>
            <w:r>
              <w:rPr>
                <w:rFonts w:ascii="Arial" w:cs="Arial" w:eastAsia="Arial" w:hAnsi="Arial"/>
                <w:sz w:val="12"/>
                <w:szCs w:val="12"/>
                <w:b w:val="1"/>
                <w:bCs w:val="1"/>
                <w:color w:val="auto"/>
              </w:rPr>
              <w:t>NAMED EXECUTIVE OFFICER</w:t>
            </w:r>
          </w:p>
        </w:tc>
        <w:tc>
          <w:tcPr>
            <w:tcW w:w="2080" w:type="dxa"/>
            <w:vAlign w:val="bottom"/>
            <w:gridSpan w:val="2"/>
            <w:vMerge w:val="restart"/>
            <w:shd w:val="clear" w:color="auto" w:fill="DEDBD3"/>
          </w:tcPr>
          <w:p>
            <w:pPr>
              <w:jc w:val="right"/>
              <w:ind w:right="291"/>
              <w:spacing w:after="0"/>
              <w:rPr>
                <w:sz w:val="20"/>
                <w:szCs w:val="20"/>
                <w:color w:val="auto"/>
              </w:rPr>
            </w:pPr>
            <w:r>
              <w:rPr>
                <w:rFonts w:ascii="Arial" w:cs="Arial" w:eastAsia="Arial" w:hAnsi="Arial"/>
                <w:sz w:val="12"/>
                <w:szCs w:val="12"/>
                <w:b w:val="1"/>
                <w:bCs w:val="1"/>
                <w:color w:val="auto"/>
              </w:rPr>
              <w:t>CONTRACT EXPIRATION</w:t>
            </w:r>
          </w:p>
        </w:tc>
        <w:tc>
          <w:tcPr>
            <w:tcW w:w="440" w:type="dxa"/>
            <w:vAlign w:val="bottom"/>
            <w:shd w:val="clear" w:color="auto" w:fill="DEDBD3"/>
          </w:tcPr>
          <w:p>
            <w:pPr>
              <w:spacing w:after="0"/>
              <w:rPr>
                <w:sz w:val="15"/>
                <w:szCs w:val="15"/>
                <w:color w:val="auto"/>
              </w:rPr>
            </w:pPr>
          </w:p>
        </w:tc>
        <w:tc>
          <w:tcPr>
            <w:tcW w:w="1060" w:type="dxa"/>
            <w:vAlign w:val="bottom"/>
            <w:shd w:val="clear" w:color="auto" w:fill="DEDBD3"/>
          </w:tcPr>
          <w:p>
            <w:pPr>
              <w:jc w:val="right"/>
              <w:ind w:right="554"/>
              <w:spacing w:after="0"/>
              <w:rPr>
                <w:sz w:val="20"/>
                <w:szCs w:val="20"/>
                <w:color w:val="auto"/>
              </w:rPr>
            </w:pPr>
            <w:r>
              <w:rPr>
                <w:rFonts w:ascii="Arial" w:cs="Arial" w:eastAsia="Arial" w:hAnsi="Arial"/>
                <w:sz w:val="12"/>
                <w:szCs w:val="12"/>
                <w:b w:val="1"/>
                <w:bCs w:val="1"/>
                <w:color w:val="auto"/>
              </w:rPr>
              <w:t>BASE</w:t>
            </w:r>
          </w:p>
        </w:tc>
        <w:tc>
          <w:tcPr>
            <w:tcW w:w="0" w:type="dxa"/>
            <w:vAlign w:val="bottom"/>
          </w:tcPr>
          <w:p>
            <w:pPr>
              <w:spacing w:after="0"/>
              <w:rPr>
                <w:sz w:val="1"/>
                <w:szCs w:val="1"/>
                <w:color w:val="auto"/>
              </w:rPr>
            </w:pPr>
          </w:p>
        </w:tc>
      </w:tr>
      <w:tr>
        <w:trPr>
          <w:trHeight w:val="195"/>
        </w:trPr>
        <w:tc>
          <w:tcPr>
            <w:tcW w:w="7040" w:type="dxa"/>
            <w:vAlign w:val="bottom"/>
            <w:tcBorders>
              <w:bottom w:val="single" w:sz="8" w:color="DEDBD3"/>
            </w:tcBorders>
            <w:vMerge w:val="continue"/>
            <w:shd w:val="clear" w:color="auto" w:fill="DEDBD3"/>
          </w:tcPr>
          <w:p>
            <w:pPr>
              <w:spacing w:after="0"/>
              <w:rPr>
                <w:sz w:val="16"/>
                <w:szCs w:val="16"/>
                <w:color w:val="auto"/>
              </w:rPr>
            </w:pPr>
          </w:p>
        </w:tc>
        <w:tc>
          <w:tcPr>
            <w:tcW w:w="2080" w:type="dxa"/>
            <w:vAlign w:val="bottom"/>
            <w:tcBorders>
              <w:bottom w:val="single" w:sz="8" w:color="DEDBD3"/>
            </w:tcBorders>
            <w:gridSpan w:val="2"/>
            <w:vMerge w:val="continue"/>
            <w:shd w:val="clear" w:color="auto" w:fill="DEDBD3"/>
          </w:tcPr>
          <w:p>
            <w:pPr>
              <w:spacing w:after="0"/>
              <w:rPr>
                <w:sz w:val="16"/>
                <w:szCs w:val="16"/>
                <w:color w:val="auto"/>
              </w:rPr>
            </w:pPr>
          </w:p>
        </w:tc>
        <w:tc>
          <w:tcPr>
            <w:tcW w:w="440" w:type="dxa"/>
            <w:vAlign w:val="bottom"/>
            <w:tcBorders>
              <w:bottom w:val="single" w:sz="8" w:color="DEDBD3"/>
            </w:tcBorders>
            <w:shd w:val="clear" w:color="auto" w:fill="DEDBD3"/>
          </w:tcPr>
          <w:p>
            <w:pPr>
              <w:spacing w:after="0"/>
              <w:rPr>
                <w:sz w:val="16"/>
                <w:szCs w:val="16"/>
                <w:color w:val="auto"/>
              </w:rPr>
            </w:pPr>
          </w:p>
        </w:tc>
        <w:tc>
          <w:tcPr>
            <w:tcW w:w="1060" w:type="dxa"/>
            <w:vAlign w:val="bottom"/>
            <w:tcBorders>
              <w:bottom w:val="single" w:sz="8" w:color="DEDBD3"/>
            </w:tcBorders>
            <w:shd w:val="clear" w:color="auto" w:fill="DEDBD3"/>
          </w:tcPr>
          <w:p>
            <w:pPr>
              <w:jc w:val="right"/>
              <w:ind w:right="474"/>
              <w:spacing w:after="0"/>
              <w:rPr>
                <w:sz w:val="20"/>
                <w:szCs w:val="20"/>
                <w:color w:val="auto"/>
              </w:rPr>
            </w:pPr>
            <w:r>
              <w:rPr>
                <w:rFonts w:ascii="Arial" w:cs="Arial" w:eastAsia="Arial" w:hAnsi="Arial"/>
                <w:sz w:val="12"/>
                <w:szCs w:val="12"/>
                <w:b w:val="1"/>
                <w:bCs w:val="1"/>
                <w:color w:val="auto"/>
              </w:rPr>
              <w:t>SALARY</w:t>
            </w:r>
          </w:p>
        </w:tc>
        <w:tc>
          <w:tcPr>
            <w:tcW w:w="0" w:type="dxa"/>
            <w:vAlign w:val="bottom"/>
          </w:tcPr>
          <w:p>
            <w:pPr>
              <w:spacing w:after="0"/>
              <w:rPr>
                <w:sz w:val="1"/>
                <w:szCs w:val="1"/>
                <w:color w:val="auto"/>
              </w:rPr>
            </w:pPr>
          </w:p>
        </w:tc>
      </w:tr>
      <w:tr>
        <w:trPr>
          <w:trHeight w:val="266"/>
        </w:trPr>
        <w:tc>
          <w:tcPr>
            <w:tcW w:w="7040" w:type="dxa"/>
            <w:vAlign w:val="bottom"/>
            <w:tcBorders>
              <w:bottom w:val="single" w:sz="8" w:color="FDF9F2"/>
            </w:tcBorders>
            <w:shd w:val="clear" w:color="auto" w:fill="FDF9F2"/>
          </w:tcPr>
          <w:p>
            <w:pPr>
              <w:ind w:left="60"/>
              <w:spacing w:after="0"/>
              <w:rPr>
                <w:sz w:val="20"/>
                <w:szCs w:val="20"/>
                <w:color w:val="auto"/>
              </w:rPr>
            </w:pPr>
            <w:r>
              <w:rPr>
                <w:rFonts w:ascii="Arial" w:cs="Arial" w:eastAsia="Arial" w:hAnsi="Arial"/>
                <w:sz w:val="12"/>
                <w:szCs w:val="12"/>
                <w:b w:val="1"/>
                <w:bCs w:val="1"/>
                <w:color w:val="auto"/>
              </w:rPr>
              <w:t>Craig S. Billings</w:t>
            </w:r>
          </w:p>
        </w:tc>
        <w:tc>
          <w:tcPr>
            <w:tcW w:w="2080" w:type="dxa"/>
            <w:vAlign w:val="bottom"/>
            <w:tcBorders>
              <w:bottom w:val="single" w:sz="8" w:color="FDF9F2"/>
            </w:tcBorders>
            <w:gridSpan w:val="2"/>
            <w:shd w:val="clear" w:color="auto" w:fill="FDF9F2"/>
          </w:tcPr>
          <w:p>
            <w:pPr>
              <w:jc w:val="right"/>
              <w:ind w:right="291"/>
              <w:spacing w:after="0"/>
              <w:rPr>
                <w:sz w:val="20"/>
                <w:szCs w:val="20"/>
                <w:color w:val="auto"/>
              </w:rPr>
            </w:pPr>
            <w:r>
              <w:rPr>
                <w:rFonts w:ascii="Arial" w:cs="Arial" w:eastAsia="Arial" w:hAnsi="Arial"/>
                <w:sz w:val="14"/>
                <w:szCs w:val="14"/>
                <w:color w:val="auto"/>
              </w:rPr>
              <w:t>February 15, 2025</w:t>
            </w:r>
          </w:p>
        </w:tc>
        <w:tc>
          <w:tcPr>
            <w:tcW w:w="440" w:type="dxa"/>
            <w:vAlign w:val="bottom"/>
            <w:tcBorders>
              <w:bottom w:val="single" w:sz="8" w:color="FDF9F2"/>
            </w:tcBorders>
            <w:shd w:val="clear" w:color="auto" w:fill="FDF9F2"/>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FDF9F2"/>
            </w:tcBorders>
            <w:shd w:val="clear" w:color="auto" w:fill="FDF9F2"/>
          </w:tcPr>
          <w:p>
            <w:pPr>
              <w:jc w:val="right"/>
              <w:ind w:right="374"/>
              <w:spacing w:after="0"/>
              <w:rPr>
                <w:sz w:val="20"/>
                <w:szCs w:val="20"/>
                <w:color w:val="auto"/>
              </w:rPr>
            </w:pPr>
            <w:r>
              <w:rPr>
                <w:rFonts w:ascii="Arial" w:cs="Arial" w:eastAsia="Arial" w:hAnsi="Arial"/>
                <w:sz w:val="14"/>
                <w:szCs w:val="14"/>
                <w:color w:val="auto"/>
                <w:w w:val="96"/>
              </w:rPr>
              <w:t>1,800,000</w:t>
            </w:r>
          </w:p>
        </w:tc>
        <w:tc>
          <w:tcPr>
            <w:tcW w:w="0" w:type="dxa"/>
            <w:vAlign w:val="bottom"/>
          </w:tcPr>
          <w:p>
            <w:pPr>
              <w:spacing w:after="0"/>
              <w:rPr>
                <w:sz w:val="1"/>
                <w:szCs w:val="1"/>
                <w:color w:val="auto"/>
              </w:rPr>
            </w:pPr>
          </w:p>
        </w:tc>
      </w:tr>
      <w:tr>
        <w:trPr>
          <w:trHeight w:val="266"/>
        </w:trPr>
        <w:tc>
          <w:tcPr>
            <w:tcW w:w="7040" w:type="dxa"/>
            <w:vAlign w:val="bottom"/>
            <w:tcBorders>
              <w:bottom w:val="single" w:sz="8" w:color="DEDBD3"/>
            </w:tcBorders>
            <w:shd w:val="clear" w:color="auto" w:fill="DEDBD3"/>
          </w:tcPr>
          <w:p>
            <w:pPr>
              <w:ind w:left="60"/>
              <w:spacing w:after="0"/>
              <w:rPr>
                <w:sz w:val="20"/>
                <w:szCs w:val="20"/>
                <w:color w:val="auto"/>
              </w:rPr>
            </w:pPr>
            <w:r>
              <w:rPr>
                <w:rFonts w:ascii="Arial" w:cs="Arial" w:eastAsia="Arial" w:hAnsi="Arial"/>
                <w:sz w:val="12"/>
                <w:szCs w:val="12"/>
                <w:b w:val="1"/>
                <w:bCs w:val="1"/>
                <w:color w:val="auto"/>
              </w:rPr>
              <w:t>Julie M. Cameron-Doe</w:t>
            </w:r>
          </w:p>
        </w:tc>
        <w:tc>
          <w:tcPr>
            <w:tcW w:w="1400" w:type="dxa"/>
            <w:vAlign w:val="bottom"/>
            <w:tcBorders>
              <w:bottom w:val="single" w:sz="8" w:color="DEDBD3"/>
            </w:tcBorders>
            <w:shd w:val="clear" w:color="auto" w:fill="DEDBD3"/>
          </w:tcPr>
          <w:p>
            <w:pPr>
              <w:jc w:val="right"/>
              <w:spacing w:after="0"/>
              <w:rPr>
                <w:sz w:val="20"/>
                <w:szCs w:val="20"/>
                <w:color w:val="auto"/>
              </w:rPr>
            </w:pPr>
            <w:r>
              <w:rPr>
                <w:rFonts w:ascii="Arial" w:cs="Arial" w:eastAsia="Arial" w:hAnsi="Arial"/>
                <w:sz w:val="14"/>
                <w:szCs w:val="14"/>
                <w:color w:val="auto"/>
              </w:rPr>
              <w:t>April 18,</w:t>
            </w:r>
          </w:p>
        </w:tc>
        <w:tc>
          <w:tcPr>
            <w:tcW w:w="680" w:type="dxa"/>
            <w:vAlign w:val="bottom"/>
            <w:tcBorders>
              <w:bottom w:val="single" w:sz="8" w:color="DEDBD3"/>
            </w:tcBorders>
            <w:shd w:val="clear" w:color="auto" w:fill="DEDBD3"/>
          </w:tcPr>
          <w:p>
            <w:pPr>
              <w:jc w:val="right"/>
              <w:ind w:right="291"/>
              <w:spacing w:after="0"/>
              <w:rPr>
                <w:sz w:val="20"/>
                <w:szCs w:val="20"/>
                <w:color w:val="auto"/>
              </w:rPr>
            </w:pPr>
            <w:r>
              <w:rPr>
                <w:rFonts w:ascii="Arial" w:cs="Arial" w:eastAsia="Arial" w:hAnsi="Arial"/>
                <w:sz w:val="14"/>
                <w:szCs w:val="14"/>
                <w:color w:val="auto"/>
                <w:w w:val="96"/>
              </w:rPr>
              <w:t>2025</w:t>
            </w:r>
          </w:p>
        </w:tc>
        <w:tc>
          <w:tcPr>
            <w:tcW w:w="440" w:type="dxa"/>
            <w:vAlign w:val="bottom"/>
            <w:tcBorders>
              <w:bottom w:val="single" w:sz="8" w:color="DEDBD3"/>
            </w:tcBorders>
            <w:shd w:val="clear" w:color="auto" w:fill="DEDBD3"/>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EDBD3"/>
            </w:tcBorders>
            <w:shd w:val="clear" w:color="auto" w:fill="DEDBD3"/>
          </w:tcPr>
          <w:p>
            <w:pPr>
              <w:jc w:val="right"/>
              <w:ind w:right="374"/>
              <w:spacing w:after="0"/>
              <w:rPr>
                <w:sz w:val="20"/>
                <w:szCs w:val="20"/>
                <w:color w:val="auto"/>
              </w:rPr>
            </w:pPr>
            <w:r>
              <w:rPr>
                <w:rFonts w:ascii="Arial" w:cs="Arial" w:eastAsia="Arial" w:hAnsi="Arial"/>
                <w:sz w:val="14"/>
                <w:szCs w:val="14"/>
                <w:color w:val="auto"/>
              </w:rPr>
              <w:t>900,000</w:t>
            </w:r>
          </w:p>
        </w:tc>
        <w:tc>
          <w:tcPr>
            <w:tcW w:w="0" w:type="dxa"/>
            <w:vAlign w:val="bottom"/>
          </w:tcPr>
          <w:p>
            <w:pPr>
              <w:spacing w:after="0"/>
              <w:rPr>
                <w:sz w:val="1"/>
                <w:szCs w:val="1"/>
                <w:color w:val="auto"/>
              </w:rPr>
            </w:pPr>
          </w:p>
        </w:tc>
      </w:tr>
      <w:tr>
        <w:trPr>
          <w:trHeight w:val="235"/>
        </w:trPr>
        <w:tc>
          <w:tcPr>
            <w:tcW w:w="7040" w:type="dxa"/>
            <w:vAlign w:val="bottom"/>
            <w:shd w:val="clear" w:color="auto" w:fill="FDF9F2"/>
          </w:tcPr>
          <w:p>
            <w:pPr>
              <w:ind w:left="60"/>
              <w:spacing w:after="0"/>
              <w:rPr>
                <w:sz w:val="20"/>
                <w:szCs w:val="20"/>
                <w:color w:val="auto"/>
              </w:rPr>
            </w:pPr>
            <w:r>
              <w:rPr>
                <w:rFonts w:ascii="Arial" w:cs="Arial" w:eastAsia="Arial" w:hAnsi="Arial"/>
                <w:sz w:val="12"/>
                <w:szCs w:val="12"/>
                <w:b w:val="1"/>
                <w:bCs w:val="1"/>
                <w:color w:val="auto"/>
              </w:rPr>
              <w:t>Ellen F. Whittemore</w:t>
            </w:r>
          </w:p>
        </w:tc>
        <w:tc>
          <w:tcPr>
            <w:tcW w:w="1400" w:type="dxa"/>
            <w:vAlign w:val="bottom"/>
            <w:shd w:val="clear" w:color="auto" w:fill="FDF9F2"/>
          </w:tcPr>
          <w:p>
            <w:pPr>
              <w:jc w:val="right"/>
              <w:spacing w:after="0"/>
              <w:rPr>
                <w:sz w:val="20"/>
                <w:szCs w:val="20"/>
                <w:color w:val="auto"/>
              </w:rPr>
            </w:pPr>
            <w:r>
              <w:rPr>
                <w:rFonts w:ascii="Arial" w:cs="Arial" w:eastAsia="Arial" w:hAnsi="Arial"/>
                <w:sz w:val="14"/>
                <w:szCs w:val="14"/>
                <w:color w:val="auto"/>
              </w:rPr>
              <w:t>January 31,</w:t>
            </w:r>
          </w:p>
        </w:tc>
        <w:tc>
          <w:tcPr>
            <w:tcW w:w="680" w:type="dxa"/>
            <w:vAlign w:val="bottom"/>
            <w:shd w:val="clear" w:color="auto" w:fill="FDF9F2"/>
          </w:tcPr>
          <w:p>
            <w:pPr>
              <w:jc w:val="right"/>
              <w:ind w:right="291"/>
              <w:spacing w:after="0"/>
              <w:rPr>
                <w:sz w:val="20"/>
                <w:szCs w:val="20"/>
                <w:color w:val="auto"/>
              </w:rPr>
            </w:pPr>
            <w:r>
              <w:rPr>
                <w:rFonts w:ascii="Arial" w:cs="Arial" w:eastAsia="Arial" w:hAnsi="Arial"/>
                <w:sz w:val="14"/>
                <w:szCs w:val="14"/>
                <w:color w:val="auto"/>
                <w:w w:val="96"/>
              </w:rPr>
              <w:t>2025</w:t>
            </w:r>
          </w:p>
        </w:tc>
        <w:tc>
          <w:tcPr>
            <w:tcW w:w="440" w:type="dxa"/>
            <w:vAlign w:val="bottom"/>
            <w:shd w:val="clear" w:color="auto" w:fill="FDF9F2"/>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FDF9F2"/>
          </w:tcPr>
          <w:p>
            <w:pPr>
              <w:jc w:val="right"/>
              <w:ind w:right="374"/>
              <w:spacing w:after="0"/>
              <w:rPr>
                <w:sz w:val="20"/>
                <w:szCs w:val="20"/>
                <w:color w:val="auto"/>
              </w:rPr>
            </w:pPr>
            <w:r>
              <w:rPr>
                <w:rFonts w:ascii="Arial" w:cs="Arial" w:eastAsia="Arial" w:hAnsi="Arial"/>
                <w:sz w:val="14"/>
                <w:szCs w:val="14"/>
                <w:color w:val="auto"/>
              </w:rPr>
              <w:t>900,000</w:t>
            </w:r>
          </w:p>
        </w:tc>
        <w:tc>
          <w:tcPr>
            <w:tcW w:w="0" w:type="dxa"/>
            <w:vAlign w:val="bottom"/>
          </w:tcPr>
          <w:p>
            <w:pPr>
              <w:spacing w:after="0"/>
              <w:rPr>
                <w:sz w:val="1"/>
                <w:szCs w:val="1"/>
                <w:color w:val="auto"/>
              </w:rPr>
            </w:pPr>
          </w:p>
        </w:tc>
      </w:tr>
      <w:tr>
        <w:trPr>
          <w:trHeight w:val="51"/>
        </w:trPr>
        <w:tc>
          <w:tcPr>
            <w:tcW w:w="7040" w:type="dxa"/>
            <w:vAlign w:val="bottom"/>
            <w:shd w:val="clear" w:color="auto" w:fill="FDF9F2"/>
          </w:tcPr>
          <w:p>
            <w:pPr>
              <w:spacing w:after="0"/>
              <w:rPr>
                <w:sz w:val="4"/>
                <w:szCs w:val="4"/>
                <w:color w:val="auto"/>
              </w:rPr>
            </w:pPr>
          </w:p>
        </w:tc>
        <w:tc>
          <w:tcPr>
            <w:tcW w:w="1400" w:type="dxa"/>
            <w:vAlign w:val="bottom"/>
            <w:shd w:val="clear" w:color="auto" w:fill="FDF9F2"/>
          </w:tcPr>
          <w:p>
            <w:pPr>
              <w:spacing w:after="0"/>
              <w:rPr>
                <w:sz w:val="4"/>
                <w:szCs w:val="4"/>
                <w:color w:val="auto"/>
              </w:rPr>
            </w:pPr>
          </w:p>
        </w:tc>
        <w:tc>
          <w:tcPr>
            <w:tcW w:w="680" w:type="dxa"/>
            <w:vAlign w:val="bottom"/>
            <w:shd w:val="clear" w:color="auto" w:fill="FDF9F2"/>
          </w:tcPr>
          <w:p>
            <w:pPr>
              <w:spacing w:after="0"/>
              <w:rPr>
                <w:sz w:val="4"/>
                <w:szCs w:val="4"/>
                <w:color w:val="auto"/>
              </w:rPr>
            </w:pPr>
          </w:p>
        </w:tc>
        <w:tc>
          <w:tcPr>
            <w:tcW w:w="440" w:type="dxa"/>
            <w:vAlign w:val="bottom"/>
            <w:shd w:val="clear" w:color="auto" w:fill="FDF9F2"/>
          </w:tcPr>
          <w:p>
            <w:pPr>
              <w:spacing w:after="0"/>
              <w:rPr>
                <w:sz w:val="4"/>
                <w:szCs w:val="4"/>
                <w:color w:val="auto"/>
              </w:rPr>
            </w:pPr>
          </w:p>
        </w:tc>
        <w:tc>
          <w:tcPr>
            <w:tcW w:w="1060" w:type="dxa"/>
            <w:vAlign w:val="bottom"/>
            <w:shd w:val="clear" w:color="auto" w:fill="FDF9F2"/>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-792480</wp:posOffset>
            </wp:positionV>
            <wp:extent cx="6740525" cy="7931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40525" cy="793115"/>
                    </a:xfrm>
                    <a:prstGeom prst="rect">
                      <a:avLst/>
                    </a:prstGeom>
                    <a:noFill/>
                  </pic:spPr>
                </pic:pic>
              </a:graphicData>
            </a:graphic>
          </wp:anchor>
        </w:drawing>
      </w:r>
    </w:p>
    <w:p>
      <w:pPr>
        <w:spacing w:after="0" w:line="187" w:lineRule="exact"/>
        <w:rPr>
          <w:sz w:val="20"/>
          <w:szCs w:val="20"/>
          <w:color w:val="auto"/>
        </w:rPr>
      </w:pPr>
    </w:p>
    <w:p>
      <w:pPr>
        <w:ind w:left="320" w:right="120"/>
        <w:spacing w:after="0" w:line="243" w:lineRule="auto"/>
        <w:rPr>
          <w:sz w:val="20"/>
          <w:szCs w:val="20"/>
          <w:color w:val="auto"/>
        </w:rPr>
      </w:pPr>
      <w:r>
        <w:rPr>
          <w:rFonts w:ascii="Arial" w:cs="Arial" w:eastAsia="Arial" w:hAnsi="Arial"/>
          <w:sz w:val="17"/>
          <w:szCs w:val="17"/>
          <w:color w:val="auto"/>
        </w:rPr>
        <w:t>Each of the employment agreements provides that the executive will participate in Company profit sharing and retirement plans if offered, disability or life insurance plans, medical and/or hospitalization plans, vacation and expense reimbursement programs. In addition, the agreements provide for severance payments and benefits upon certain terminations of employment, including termination following a change in control, as discussed in the section below entitled “Potential Payments Upon Termination or Change in Control.” Mr. Maddox’s base salary was $2.0 million per year at the time of his separation on January 31, 2022.</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auto"/>
        </w:rPr>
        <w:t>Pay vs. Performance</w:t>
      </w:r>
    </w:p>
    <w:p>
      <w:pPr>
        <w:spacing w:after="0" w:line="47" w:lineRule="exact"/>
        <w:rPr>
          <w:sz w:val="20"/>
          <w:szCs w:val="20"/>
          <w:color w:val="auto"/>
        </w:rPr>
      </w:pPr>
    </w:p>
    <w:p>
      <w:pPr>
        <w:jc w:val="both"/>
        <w:ind w:left="320" w:right="20"/>
        <w:spacing w:after="0" w:line="247" w:lineRule="auto"/>
        <w:rPr>
          <w:sz w:val="20"/>
          <w:szCs w:val="20"/>
          <w:color w:val="auto"/>
        </w:rPr>
      </w:pPr>
      <w:r>
        <w:rPr>
          <w:rFonts w:ascii="Arial" w:cs="Arial" w:eastAsia="Arial" w:hAnsi="Arial"/>
          <w:sz w:val="17"/>
          <w:szCs w:val="17"/>
          <w:color w:val="auto"/>
        </w:rPr>
        <w:t>The following table sets forth SEC required information with respect to the Company’s financial performance and the compensation paid to our Principle Executive Officer(s) (each, a PEO) and our non-PEO NEOs for the fiscal years ended on December 31, 2020, December 31, 2021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137795</wp:posOffset>
            </wp:positionV>
            <wp:extent cx="6748780" cy="10902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48780" cy="1090295"/>
                    </a:xfrm>
                    <a:prstGeom prst="rect">
                      <a:avLst/>
                    </a:prstGeom>
                    <a:noFill/>
                  </pic:spPr>
                </pic:pic>
              </a:graphicData>
            </a:graphic>
          </wp:anchor>
        </w:drawing>
      </w:r>
    </w:p>
    <w:p>
      <w:pPr>
        <w:spacing w:after="0" w:line="197" w:lineRule="exact"/>
        <w:rPr>
          <w:sz w:val="20"/>
          <w:szCs w:val="20"/>
          <w:color w:val="auto"/>
        </w:rPr>
      </w:pPr>
    </w:p>
    <w:tbl>
      <w:tblPr>
        <w:tblLayout w:type="fixed"/>
        <w:tblInd w:w="320" w:type="dxa"/>
        <w:tblCellMar>
          <w:top w:w="0" w:type="dxa"/>
          <w:left w:w="0" w:type="dxa"/>
          <w:bottom w:w="0" w:type="dxa"/>
          <w:right w:w="0" w:type="dxa"/>
        </w:tblCellMar>
      </w:tblPr>
      <w:tr>
        <w:trPr>
          <w:trHeight w:val="117"/>
        </w:trPr>
        <w:tc>
          <w:tcPr>
            <w:tcW w:w="1500" w:type="dxa"/>
            <w:vAlign w:val="bottom"/>
            <w:tcBorders>
              <w:right w:val="single" w:sz="8" w:color="DEDBD3"/>
            </w:tcBorders>
            <w:shd w:val="clear" w:color="auto" w:fill="DEDBD3"/>
          </w:tcPr>
          <w:p>
            <w:pPr>
              <w:spacing w:after="0"/>
              <w:rPr>
                <w:sz w:val="10"/>
                <w:szCs w:val="10"/>
                <w:color w:val="auto"/>
              </w:rPr>
            </w:pPr>
          </w:p>
        </w:tc>
        <w:tc>
          <w:tcPr>
            <w:tcW w:w="140" w:type="dxa"/>
            <w:vAlign w:val="bottom"/>
            <w:shd w:val="clear" w:color="auto" w:fill="DEDBD3"/>
          </w:tcPr>
          <w:p>
            <w:pPr>
              <w:spacing w:after="0"/>
              <w:rPr>
                <w:sz w:val="10"/>
                <w:szCs w:val="10"/>
                <w:color w:val="auto"/>
              </w:rPr>
            </w:pPr>
          </w:p>
        </w:tc>
        <w:tc>
          <w:tcPr>
            <w:tcW w:w="720" w:type="dxa"/>
            <w:vAlign w:val="bottom"/>
            <w:shd w:val="clear" w:color="auto" w:fill="DEDBD3"/>
          </w:tcPr>
          <w:p>
            <w:pPr>
              <w:spacing w:after="0"/>
              <w:rPr>
                <w:sz w:val="10"/>
                <w:szCs w:val="10"/>
                <w:color w:val="auto"/>
              </w:rPr>
            </w:pPr>
          </w:p>
        </w:tc>
        <w:tc>
          <w:tcPr>
            <w:tcW w:w="160" w:type="dxa"/>
            <w:vAlign w:val="bottom"/>
            <w:shd w:val="clear" w:color="auto" w:fill="DEDBD3"/>
          </w:tcPr>
          <w:p>
            <w:pPr>
              <w:spacing w:after="0"/>
              <w:rPr>
                <w:sz w:val="10"/>
                <w:szCs w:val="10"/>
                <w:color w:val="auto"/>
              </w:rPr>
            </w:pPr>
          </w:p>
        </w:tc>
        <w:tc>
          <w:tcPr>
            <w:tcW w:w="720" w:type="dxa"/>
            <w:vAlign w:val="bottom"/>
            <w:shd w:val="clear" w:color="auto" w:fill="DEDBD3"/>
          </w:tcPr>
          <w:p>
            <w:pPr>
              <w:spacing w:after="0"/>
              <w:rPr>
                <w:sz w:val="10"/>
                <w:szCs w:val="10"/>
                <w:color w:val="auto"/>
              </w:rPr>
            </w:pPr>
          </w:p>
        </w:tc>
        <w:tc>
          <w:tcPr>
            <w:tcW w:w="160" w:type="dxa"/>
            <w:vAlign w:val="bottom"/>
            <w:shd w:val="clear" w:color="auto" w:fill="DEDBD3"/>
          </w:tcPr>
          <w:p>
            <w:pPr>
              <w:spacing w:after="0"/>
              <w:rPr>
                <w:sz w:val="10"/>
                <w:szCs w:val="10"/>
                <w:color w:val="auto"/>
              </w:rPr>
            </w:pPr>
          </w:p>
        </w:tc>
        <w:tc>
          <w:tcPr>
            <w:tcW w:w="740" w:type="dxa"/>
            <w:vAlign w:val="bottom"/>
            <w:shd w:val="clear" w:color="auto" w:fill="DEDBD3"/>
          </w:tcPr>
          <w:p>
            <w:pPr>
              <w:spacing w:after="0"/>
              <w:rPr>
                <w:sz w:val="10"/>
                <w:szCs w:val="10"/>
                <w:color w:val="auto"/>
              </w:rPr>
            </w:pPr>
          </w:p>
        </w:tc>
        <w:tc>
          <w:tcPr>
            <w:tcW w:w="860" w:type="dxa"/>
            <w:vAlign w:val="bottom"/>
            <w:shd w:val="clear" w:color="auto" w:fill="DEDBD3"/>
          </w:tcPr>
          <w:p>
            <w:pPr>
              <w:spacing w:after="0"/>
              <w:rPr>
                <w:sz w:val="10"/>
                <w:szCs w:val="10"/>
                <w:color w:val="auto"/>
              </w:rPr>
            </w:pPr>
          </w:p>
        </w:tc>
        <w:tc>
          <w:tcPr>
            <w:tcW w:w="180" w:type="dxa"/>
            <w:vAlign w:val="bottom"/>
            <w:shd w:val="clear" w:color="auto" w:fill="DEDBD3"/>
          </w:tcPr>
          <w:p>
            <w:pPr>
              <w:spacing w:after="0"/>
              <w:rPr>
                <w:sz w:val="10"/>
                <w:szCs w:val="10"/>
                <w:color w:val="auto"/>
              </w:rPr>
            </w:pPr>
          </w:p>
        </w:tc>
        <w:tc>
          <w:tcPr>
            <w:tcW w:w="700" w:type="dxa"/>
            <w:vAlign w:val="bottom"/>
            <w:shd w:val="clear" w:color="auto" w:fill="DEDBD3"/>
          </w:tcPr>
          <w:p>
            <w:pPr>
              <w:spacing w:after="0"/>
              <w:rPr>
                <w:sz w:val="10"/>
                <w:szCs w:val="10"/>
                <w:color w:val="auto"/>
              </w:rPr>
            </w:pPr>
          </w:p>
        </w:tc>
        <w:tc>
          <w:tcPr>
            <w:tcW w:w="180" w:type="dxa"/>
            <w:vAlign w:val="bottom"/>
            <w:shd w:val="clear" w:color="auto" w:fill="DEDBD3"/>
          </w:tcPr>
          <w:p>
            <w:pPr>
              <w:spacing w:after="0"/>
              <w:rPr>
                <w:sz w:val="10"/>
                <w:szCs w:val="10"/>
                <w:color w:val="auto"/>
              </w:rPr>
            </w:pPr>
          </w:p>
        </w:tc>
        <w:tc>
          <w:tcPr>
            <w:tcW w:w="720" w:type="dxa"/>
            <w:vAlign w:val="bottom"/>
            <w:shd w:val="clear" w:color="auto" w:fill="DEDBD3"/>
          </w:tcPr>
          <w:p>
            <w:pPr>
              <w:spacing w:after="0"/>
              <w:rPr>
                <w:sz w:val="10"/>
                <w:szCs w:val="10"/>
                <w:color w:val="auto"/>
              </w:rPr>
            </w:pPr>
          </w:p>
        </w:tc>
        <w:tc>
          <w:tcPr>
            <w:tcW w:w="180" w:type="dxa"/>
            <w:vAlign w:val="bottom"/>
            <w:shd w:val="clear" w:color="auto" w:fill="DEDBD3"/>
          </w:tcPr>
          <w:p>
            <w:pPr>
              <w:spacing w:after="0"/>
              <w:rPr>
                <w:sz w:val="10"/>
                <w:szCs w:val="10"/>
                <w:color w:val="auto"/>
              </w:rPr>
            </w:pPr>
          </w:p>
        </w:tc>
        <w:tc>
          <w:tcPr>
            <w:tcW w:w="1500" w:type="dxa"/>
            <w:vAlign w:val="bottom"/>
            <w:gridSpan w:val="3"/>
            <w:shd w:val="clear" w:color="auto" w:fill="DEDBD3"/>
          </w:tcPr>
          <w:p>
            <w:pPr>
              <w:jc w:val="right"/>
              <w:ind w:right="214"/>
              <w:spacing w:after="0"/>
              <w:rPr>
                <w:sz w:val="20"/>
                <w:szCs w:val="20"/>
                <w:color w:val="auto"/>
              </w:rPr>
            </w:pPr>
            <w:r>
              <w:rPr>
                <w:rFonts w:ascii="Arial" w:cs="Arial" w:eastAsia="Arial" w:hAnsi="Arial"/>
                <w:sz w:val="8"/>
                <w:szCs w:val="8"/>
                <w:b w:val="1"/>
                <w:bCs w:val="1"/>
                <w:color w:val="auto"/>
              </w:rPr>
              <w:t>VALUE OF INITIAL FIXED $100</w:t>
            </w:r>
          </w:p>
        </w:tc>
        <w:tc>
          <w:tcPr>
            <w:tcW w:w="160" w:type="dxa"/>
            <w:vAlign w:val="bottom"/>
            <w:shd w:val="clear" w:color="auto" w:fill="DEDBD3"/>
          </w:tcPr>
          <w:p>
            <w:pPr>
              <w:spacing w:after="0"/>
              <w:rPr>
                <w:sz w:val="10"/>
                <w:szCs w:val="10"/>
                <w:color w:val="auto"/>
              </w:rPr>
            </w:pPr>
          </w:p>
        </w:tc>
        <w:tc>
          <w:tcPr>
            <w:tcW w:w="900" w:type="dxa"/>
            <w:vAlign w:val="bottom"/>
            <w:shd w:val="clear" w:color="auto" w:fill="DEDBD3"/>
          </w:tcPr>
          <w:p>
            <w:pPr>
              <w:spacing w:after="0"/>
              <w:rPr>
                <w:sz w:val="10"/>
                <w:szCs w:val="10"/>
                <w:color w:val="auto"/>
              </w:rPr>
            </w:pPr>
          </w:p>
        </w:tc>
        <w:tc>
          <w:tcPr>
            <w:tcW w:w="220" w:type="dxa"/>
            <w:vAlign w:val="bottom"/>
            <w:shd w:val="clear" w:color="auto" w:fill="DEDBD3"/>
          </w:tcPr>
          <w:p>
            <w:pPr>
              <w:spacing w:after="0"/>
              <w:rPr>
                <w:sz w:val="10"/>
                <w:szCs w:val="10"/>
                <w:color w:val="auto"/>
              </w:rPr>
            </w:pPr>
          </w:p>
        </w:tc>
        <w:tc>
          <w:tcPr>
            <w:tcW w:w="880" w:type="dxa"/>
            <w:vAlign w:val="bottom"/>
            <w:shd w:val="clear" w:color="auto" w:fill="DEDBD3"/>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500" w:type="dxa"/>
            <w:vAlign w:val="bottom"/>
            <w:tcBorders>
              <w:bottom w:val="single" w:sz="8" w:color="DEDBD3"/>
              <w:right w:val="single" w:sz="8" w:color="DEDBD3"/>
            </w:tcBorders>
            <w:shd w:val="clear" w:color="auto" w:fill="DEDBD3"/>
          </w:tcPr>
          <w:p>
            <w:pPr>
              <w:spacing w:after="0"/>
              <w:rPr>
                <w:sz w:val="10"/>
                <w:szCs w:val="10"/>
                <w:color w:val="auto"/>
              </w:rPr>
            </w:pPr>
          </w:p>
        </w:tc>
        <w:tc>
          <w:tcPr>
            <w:tcW w:w="140" w:type="dxa"/>
            <w:vAlign w:val="bottom"/>
            <w:tcBorders>
              <w:bottom w:val="single" w:sz="8" w:color="DEDBD3"/>
            </w:tcBorders>
            <w:shd w:val="clear" w:color="auto" w:fill="DEDBD3"/>
          </w:tcPr>
          <w:p>
            <w:pPr>
              <w:spacing w:after="0"/>
              <w:rPr>
                <w:sz w:val="10"/>
                <w:szCs w:val="10"/>
                <w:color w:val="auto"/>
              </w:rPr>
            </w:pPr>
          </w:p>
        </w:tc>
        <w:tc>
          <w:tcPr>
            <w:tcW w:w="720" w:type="dxa"/>
            <w:vAlign w:val="bottom"/>
            <w:tcBorders>
              <w:bottom w:val="single" w:sz="8" w:color="DEDBD3"/>
            </w:tcBorders>
            <w:shd w:val="clear" w:color="auto" w:fill="DEDBD3"/>
          </w:tcPr>
          <w:p>
            <w:pPr>
              <w:spacing w:after="0"/>
              <w:rPr>
                <w:sz w:val="10"/>
                <w:szCs w:val="10"/>
                <w:color w:val="auto"/>
              </w:rPr>
            </w:pPr>
          </w:p>
        </w:tc>
        <w:tc>
          <w:tcPr>
            <w:tcW w:w="160" w:type="dxa"/>
            <w:vAlign w:val="bottom"/>
            <w:tcBorders>
              <w:bottom w:val="single" w:sz="8" w:color="DEDBD3"/>
            </w:tcBorders>
            <w:shd w:val="clear" w:color="auto" w:fill="DEDBD3"/>
          </w:tcPr>
          <w:p>
            <w:pPr>
              <w:spacing w:after="0"/>
              <w:rPr>
                <w:sz w:val="10"/>
                <w:szCs w:val="10"/>
                <w:color w:val="auto"/>
              </w:rPr>
            </w:pPr>
          </w:p>
        </w:tc>
        <w:tc>
          <w:tcPr>
            <w:tcW w:w="720" w:type="dxa"/>
            <w:vAlign w:val="bottom"/>
            <w:tcBorders>
              <w:bottom w:val="single" w:sz="8" w:color="DEDBD3"/>
            </w:tcBorders>
            <w:shd w:val="clear" w:color="auto" w:fill="DEDBD3"/>
          </w:tcPr>
          <w:p>
            <w:pPr>
              <w:spacing w:after="0"/>
              <w:rPr>
                <w:sz w:val="10"/>
                <w:szCs w:val="10"/>
                <w:color w:val="auto"/>
              </w:rPr>
            </w:pPr>
          </w:p>
        </w:tc>
        <w:tc>
          <w:tcPr>
            <w:tcW w:w="160" w:type="dxa"/>
            <w:vAlign w:val="bottom"/>
            <w:tcBorders>
              <w:bottom w:val="single" w:sz="8" w:color="DEDBD3"/>
            </w:tcBorders>
            <w:shd w:val="clear" w:color="auto" w:fill="DEDBD3"/>
          </w:tcPr>
          <w:p>
            <w:pPr>
              <w:spacing w:after="0"/>
              <w:rPr>
                <w:sz w:val="10"/>
                <w:szCs w:val="10"/>
                <w:color w:val="auto"/>
              </w:rPr>
            </w:pPr>
          </w:p>
        </w:tc>
        <w:tc>
          <w:tcPr>
            <w:tcW w:w="740" w:type="dxa"/>
            <w:vAlign w:val="bottom"/>
            <w:tcBorders>
              <w:bottom w:val="single" w:sz="8" w:color="DEDBD3"/>
            </w:tcBorders>
            <w:shd w:val="clear" w:color="auto" w:fill="DEDBD3"/>
          </w:tcPr>
          <w:p>
            <w:pPr>
              <w:spacing w:after="0"/>
              <w:rPr>
                <w:sz w:val="10"/>
                <w:szCs w:val="10"/>
                <w:color w:val="auto"/>
              </w:rPr>
            </w:pPr>
          </w:p>
        </w:tc>
        <w:tc>
          <w:tcPr>
            <w:tcW w:w="860" w:type="dxa"/>
            <w:vAlign w:val="bottom"/>
            <w:tcBorders>
              <w:bottom w:val="single" w:sz="8" w:color="DEDBD3"/>
            </w:tcBorders>
            <w:shd w:val="clear" w:color="auto" w:fill="DEDBD3"/>
          </w:tcPr>
          <w:p>
            <w:pPr>
              <w:spacing w:after="0"/>
              <w:rPr>
                <w:sz w:val="10"/>
                <w:szCs w:val="10"/>
                <w:color w:val="auto"/>
              </w:rPr>
            </w:pPr>
          </w:p>
        </w:tc>
        <w:tc>
          <w:tcPr>
            <w:tcW w:w="180" w:type="dxa"/>
            <w:vAlign w:val="bottom"/>
            <w:tcBorders>
              <w:bottom w:val="single" w:sz="8" w:color="DEDBD3"/>
            </w:tcBorders>
            <w:shd w:val="clear" w:color="auto" w:fill="DEDBD3"/>
          </w:tcPr>
          <w:p>
            <w:pPr>
              <w:spacing w:after="0"/>
              <w:rPr>
                <w:sz w:val="10"/>
                <w:szCs w:val="10"/>
                <w:color w:val="auto"/>
              </w:rPr>
            </w:pPr>
          </w:p>
        </w:tc>
        <w:tc>
          <w:tcPr>
            <w:tcW w:w="700" w:type="dxa"/>
            <w:vAlign w:val="bottom"/>
            <w:tcBorders>
              <w:bottom w:val="single" w:sz="8" w:color="DEDBD3"/>
            </w:tcBorders>
            <w:shd w:val="clear" w:color="auto" w:fill="DEDBD3"/>
          </w:tcPr>
          <w:p>
            <w:pPr>
              <w:spacing w:after="0"/>
              <w:rPr>
                <w:sz w:val="10"/>
                <w:szCs w:val="10"/>
                <w:color w:val="auto"/>
              </w:rPr>
            </w:pPr>
          </w:p>
        </w:tc>
        <w:tc>
          <w:tcPr>
            <w:tcW w:w="180" w:type="dxa"/>
            <w:vAlign w:val="bottom"/>
            <w:tcBorders>
              <w:bottom w:val="single" w:sz="8" w:color="DEDBD3"/>
            </w:tcBorders>
            <w:shd w:val="clear" w:color="auto" w:fill="DEDBD3"/>
          </w:tcPr>
          <w:p>
            <w:pPr>
              <w:spacing w:after="0"/>
              <w:rPr>
                <w:sz w:val="10"/>
                <w:szCs w:val="10"/>
                <w:color w:val="auto"/>
              </w:rPr>
            </w:pPr>
          </w:p>
        </w:tc>
        <w:tc>
          <w:tcPr>
            <w:tcW w:w="720" w:type="dxa"/>
            <w:vAlign w:val="bottom"/>
            <w:tcBorders>
              <w:bottom w:val="single" w:sz="8" w:color="DEDBD3"/>
            </w:tcBorders>
            <w:shd w:val="clear" w:color="auto" w:fill="DEDBD3"/>
          </w:tcPr>
          <w:p>
            <w:pPr>
              <w:spacing w:after="0"/>
              <w:rPr>
                <w:sz w:val="10"/>
                <w:szCs w:val="10"/>
                <w:color w:val="auto"/>
              </w:rPr>
            </w:pPr>
          </w:p>
        </w:tc>
        <w:tc>
          <w:tcPr>
            <w:tcW w:w="180" w:type="dxa"/>
            <w:vAlign w:val="bottom"/>
            <w:tcBorders>
              <w:bottom w:val="single" w:sz="8" w:color="DEDBD3"/>
            </w:tcBorders>
            <w:shd w:val="clear" w:color="auto" w:fill="DEDBD3"/>
          </w:tcPr>
          <w:p>
            <w:pPr>
              <w:spacing w:after="0"/>
              <w:rPr>
                <w:sz w:val="10"/>
                <w:szCs w:val="10"/>
                <w:color w:val="auto"/>
              </w:rPr>
            </w:pPr>
          </w:p>
        </w:tc>
        <w:tc>
          <w:tcPr>
            <w:tcW w:w="1500" w:type="dxa"/>
            <w:vAlign w:val="bottom"/>
            <w:tcBorders>
              <w:bottom w:val="single" w:sz="8" w:color="DEDBD3"/>
            </w:tcBorders>
            <w:gridSpan w:val="3"/>
            <w:shd w:val="clear" w:color="auto" w:fill="DEDBD3"/>
          </w:tcPr>
          <w:p>
            <w:pPr>
              <w:jc w:val="right"/>
              <w:ind w:right="294"/>
              <w:spacing w:after="0"/>
              <w:rPr>
                <w:sz w:val="20"/>
                <w:szCs w:val="20"/>
                <w:color w:val="auto"/>
              </w:rPr>
            </w:pPr>
            <w:r>
              <w:rPr>
                <w:rFonts w:ascii="Arial" w:cs="Arial" w:eastAsia="Arial" w:hAnsi="Arial"/>
                <w:sz w:val="8"/>
                <w:szCs w:val="8"/>
                <w:b w:val="1"/>
                <w:bCs w:val="1"/>
                <w:color w:val="auto"/>
              </w:rPr>
              <w:t>INVESTMENT BASED ON:</w:t>
            </w:r>
          </w:p>
        </w:tc>
        <w:tc>
          <w:tcPr>
            <w:tcW w:w="160" w:type="dxa"/>
            <w:vAlign w:val="bottom"/>
            <w:tcBorders>
              <w:bottom w:val="single" w:sz="8" w:color="DEDBD3"/>
            </w:tcBorders>
            <w:shd w:val="clear" w:color="auto" w:fill="DEDBD3"/>
          </w:tcPr>
          <w:p>
            <w:pPr>
              <w:spacing w:after="0"/>
              <w:rPr>
                <w:sz w:val="10"/>
                <w:szCs w:val="10"/>
                <w:color w:val="auto"/>
              </w:rPr>
            </w:pPr>
          </w:p>
        </w:tc>
        <w:tc>
          <w:tcPr>
            <w:tcW w:w="900" w:type="dxa"/>
            <w:vAlign w:val="bottom"/>
            <w:tcBorders>
              <w:bottom w:val="single" w:sz="8" w:color="DEDBD3"/>
            </w:tcBorders>
            <w:shd w:val="clear" w:color="auto" w:fill="DEDBD3"/>
          </w:tcPr>
          <w:p>
            <w:pPr>
              <w:spacing w:after="0"/>
              <w:rPr>
                <w:sz w:val="10"/>
                <w:szCs w:val="10"/>
                <w:color w:val="auto"/>
              </w:rPr>
            </w:pPr>
          </w:p>
        </w:tc>
        <w:tc>
          <w:tcPr>
            <w:tcW w:w="220" w:type="dxa"/>
            <w:vAlign w:val="bottom"/>
            <w:tcBorders>
              <w:bottom w:val="single" w:sz="8" w:color="DEDBD3"/>
            </w:tcBorders>
            <w:shd w:val="clear" w:color="auto" w:fill="DEDBD3"/>
          </w:tcPr>
          <w:p>
            <w:pPr>
              <w:spacing w:after="0"/>
              <w:rPr>
                <w:sz w:val="10"/>
                <w:szCs w:val="10"/>
                <w:color w:val="auto"/>
              </w:rPr>
            </w:pPr>
          </w:p>
        </w:tc>
        <w:tc>
          <w:tcPr>
            <w:tcW w:w="880" w:type="dxa"/>
            <w:vAlign w:val="bottom"/>
            <w:tcBorders>
              <w:bottom w:val="single" w:sz="8" w:color="DEDBD3"/>
            </w:tcBorders>
            <w:shd w:val="clear" w:color="auto" w:fill="DEDBD3"/>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500" w:type="dxa"/>
            <w:vAlign w:val="bottom"/>
            <w:tcBorders>
              <w:right w:val="single" w:sz="8" w:color="FCFCFC"/>
            </w:tcBorders>
            <w:shd w:val="clear" w:color="auto" w:fill="DEDBD3"/>
          </w:tcPr>
          <w:p>
            <w:pPr>
              <w:spacing w:after="0"/>
              <w:rPr>
                <w:sz w:val="13"/>
                <w:szCs w:val="13"/>
                <w:color w:val="auto"/>
              </w:rPr>
            </w:pPr>
          </w:p>
        </w:tc>
        <w:tc>
          <w:tcPr>
            <w:tcW w:w="140" w:type="dxa"/>
            <w:vAlign w:val="bottom"/>
            <w:shd w:val="clear" w:color="auto" w:fill="DEDBD3"/>
          </w:tcPr>
          <w:p>
            <w:pPr>
              <w:spacing w:after="0"/>
              <w:rPr>
                <w:sz w:val="13"/>
                <w:szCs w:val="13"/>
                <w:color w:val="auto"/>
              </w:rPr>
            </w:pPr>
          </w:p>
        </w:tc>
        <w:tc>
          <w:tcPr>
            <w:tcW w:w="720" w:type="dxa"/>
            <w:vAlign w:val="bottom"/>
            <w:shd w:val="clear" w:color="auto" w:fill="DEDBD3"/>
          </w:tcPr>
          <w:p>
            <w:pPr>
              <w:spacing w:after="0"/>
              <w:rPr>
                <w:sz w:val="13"/>
                <w:szCs w:val="13"/>
                <w:color w:val="auto"/>
              </w:rPr>
            </w:pPr>
          </w:p>
        </w:tc>
        <w:tc>
          <w:tcPr>
            <w:tcW w:w="160" w:type="dxa"/>
            <w:vAlign w:val="bottom"/>
            <w:shd w:val="clear" w:color="auto" w:fill="DEDBD3"/>
          </w:tcPr>
          <w:p>
            <w:pPr>
              <w:spacing w:after="0"/>
              <w:rPr>
                <w:sz w:val="13"/>
                <w:szCs w:val="13"/>
                <w:color w:val="auto"/>
              </w:rPr>
            </w:pPr>
          </w:p>
        </w:tc>
        <w:tc>
          <w:tcPr>
            <w:tcW w:w="720" w:type="dxa"/>
            <w:vAlign w:val="bottom"/>
            <w:shd w:val="clear" w:color="auto" w:fill="DEDBD3"/>
          </w:tcPr>
          <w:p>
            <w:pPr>
              <w:spacing w:after="0"/>
              <w:rPr>
                <w:sz w:val="13"/>
                <w:szCs w:val="13"/>
                <w:color w:val="auto"/>
              </w:rPr>
            </w:pPr>
          </w:p>
        </w:tc>
        <w:tc>
          <w:tcPr>
            <w:tcW w:w="160" w:type="dxa"/>
            <w:vAlign w:val="bottom"/>
            <w:shd w:val="clear" w:color="auto" w:fill="DEDBD3"/>
          </w:tcPr>
          <w:p>
            <w:pPr>
              <w:spacing w:after="0"/>
              <w:rPr>
                <w:sz w:val="13"/>
                <w:szCs w:val="13"/>
                <w:color w:val="auto"/>
              </w:rPr>
            </w:pPr>
          </w:p>
        </w:tc>
        <w:tc>
          <w:tcPr>
            <w:tcW w:w="740" w:type="dxa"/>
            <w:vAlign w:val="bottom"/>
            <w:shd w:val="clear" w:color="auto" w:fill="DEDBD3"/>
          </w:tcPr>
          <w:p>
            <w:pPr>
              <w:spacing w:after="0"/>
              <w:rPr>
                <w:sz w:val="13"/>
                <w:szCs w:val="13"/>
                <w:color w:val="auto"/>
              </w:rPr>
            </w:pPr>
          </w:p>
        </w:tc>
        <w:tc>
          <w:tcPr>
            <w:tcW w:w="860" w:type="dxa"/>
            <w:vAlign w:val="bottom"/>
            <w:shd w:val="clear" w:color="auto" w:fill="DEDBD3"/>
          </w:tcPr>
          <w:p>
            <w:pPr>
              <w:spacing w:after="0"/>
              <w:rPr>
                <w:sz w:val="13"/>
                <w:szCs w:val="13"/>
                <w:color w:val="auto"/>
              </w:rPr>
            </w:pPr>
          </w:p>
        </w:tc>
        <w:tc>
          <w:tcPr>
            <w:tcW w:w="180" w:type="dxa"/>
            <w:vAlign w:val="bottom"/>
            <w:shd w:val="clear" w:color="auto" w:fill="DEDBD3"/>
          </w:tcPr>
          <w:p>
            <w:pPr>
              <w:spacing w:after="0"/>
              <w:rPr>
                <w:sz w:val="13"/>
                <w:szCs w:val="13"/>
                <w:color w:val="auto"/>
              </w:rPr>
            </w:pPr>
          </w:p>
        </w:tc>
        <w:tc>
          <w:tcPr>
            <w:tcW w:w="700" w:type="dxa"/>
            <w:vAlign w:val="bottom"/>
            <w:shd w:val="clear" w:color="auto" w:fill="DEDBD3"/>
          </w:tcPr>
          <w:p>
            <w:pPr>
              <w:jc w:val="center"/>
              <w:ind w:right="116"/>
              <w:spacing w:after="0"/>
              <w:rPr>
                <w:sz w:val="20"/>
                <w:szCs w:val="20"/>
                <w:color w:val="auto"/>
              </w:rPr>
            </w:pPr>
            <w:r>
              <w:rPr>
                <w:rFonts w:ascii="Arial" w:cs="Arial" w:eastAsia="Arial" w:hAnsi="Arial"/>
                <w:sz w:val="8"/>
                <w:szCs w:val="8"/>
                <w:b w:val="1"/>
                <w:bCs w:val="1"/>
                <w:color w:val="auto"/>
                <w:w w:val="95"/>
              </w:rPr>
              <w:t>AVERAGE</w:t>
            </w:r>
          </w:p>
        </w:tc>
        <w:tc>
          <w:tcPr>
            <w:tcW w:w="180" w:type="dxa"/>
            <w:vAlign w:val="bottom"/>
            <w:shd w:val="clear" w:color="auto" w:fill="DEDBD3"/>
          </w:tcPr>
          <w:p>
            <w:pPr>
              <w:spacing w:after="0"/>
              <w:rPr>
                <w:sz w:val="13"/>
                <w:szCs w:val="13"/>
                <w:color w:val="auto"/>
              </w:rPr>
            </w:pPr>
          </w:p>
        </w:tc>
        <w:tc>
          <w:tcPr>
            <w:tcW w:w="720" w:type="dxa"/>
            <w:vAlign w:val="bottom"/>
            <w:shd w:val="clear" w:color="auto" w:fill="DEDBD3"/>
          </w:tcPr>
          <w:p>
            <w:pPr>
              <w:spacing w:after="0"/>
              <w:rPr>
                <w:sz w:val="13"/>
                <w:szCs w:val="13"/>
                <w:color w:val="auto"/>
              </w:rPr>
            </w:pPr>
          </w:p>
        </w:tc>
        <w:tc>
          <w:tcPr>
            <w:tcW w:w="180" w:type="dxa"/>
            <w:vAlign w:val="bottom"/>
            <w:shd w:val="clear" w:color="auto" w:fill="DEDBD3"/>
          </w:tcPr>
          <w:p>
            <w:pPr>
              <w:spacing w:after="0"/>
              <w:rPr>
                <w:sz w:val="13"/>
                <w:szCs w:val="13"/>
                <w:color w:val="auto"/>
              </w:rPr>
            </w:pPr>
          </w:p>
        </w:tc>
        <w:tc>
          <w:tcPr>
            <w:tcW w:w="680" w:type="dxa"/>
            <w:vAlign w:val="bottom"/>
            <w:shd w:val="clear" w:color="auto" w:fill="DEDBD3"/>
          </w:tcPr>
          <w:p>
            <w:pPr>
              <w:spacing w:after="0"/>
              <w:rPr>
                <w:sz w:val="13"/>
                <w:szCs w:val="13"/>
                <w:color w:val="auto"/>
              </w:rPr>
            </w:pPr>
          </w:p>
        </w:tc>
        <w:tc>
          <w:tcPr>
            <w:tcW w:w="160" w:type="dxa"/>
            <w:vAlign w:val="bottom"/>
            <w:shd w:val="clear" w:color="auto" w:fill="DEDBD3"/>
          </w:tcPr>
          <w:p>
            <w:pPr>
              <w:spacing w:after="0"/>
              <w:rPr>
                <w:sz w:val="13"/>
                <w:szCs w:val="13"/>
                <w:color w:val="auto"/>
              </w:rPr>
            </w:pPr>
          </w:p>
        </w:tc>
        <w:tc>
          <w:tcPr>
            <w:tcW w:w="660" w:type="dxa"/>
            <w:vAlign w:val="bottom"/>
            <w:shd w:val="clear" w:color="auto" w:fill="DEDBD3"/>
          </w:tcPr>
          <w:p>
            <w:pPr>
              <w:spacing w:after="0"/>
              <w:rPr>
                <w:sz w:val="13"/>
                <w:szCs w:val="13"/>
                <w:color w:val="auto"/>
              </w:rPr>
            </w:pPr>
          </w:p>
        </w:tc>
        <w:tc>
          <w:tcPr>
            <w:tcW w:w="160" w:type="dxa"/>
            <w:vAlign w:val="bottom"/>
            <w:shd w:val="clear" w:color="auto" w:fill="DEDBD3"/>
          </w:tcPr>
          <w:p>
            <w:pPr>
              <w:spacing w:after="0"/>
              <w:rPr>
                <w:sz w:val="13"/>
                <w:szCs w:val="13"/>
                <w:color w:val="auto"/>
              </w:rPr>
            </w:pPr>
          </w:p>
        </w:tc>
        <w:tc>
          <w:tcPr>
            <w:tcW w:w="900" w:type="dxa"/>
            <w:vAlign w:val="bottom"/>
            <w:shd w:val="clear" w:color="auto" w:fill="DEDBD3"/>
          </w:tcPr>
          <w:p>
            <w:pPr>
              <w:spacing w:after="0"/>
              <w:rPr>
                <w:sz w:val="13"/>
                <w:szCs w:val="13"/>
                <w:color w:val="auto"/>
              </w:rPr>
            </w:pPr>
          </w:p>
        </w:tc>
        <w:tc>
          <w:tcPr>
            <w:tcW w:w="220" w:type="dxa"/>
            <w:vAlign w:val="bottom"/>
            <w:shd w:val="clear" w:color="auto" w:fill="DEDBD3"/>
          </w:tcPr>
          <w:p>
            <w:pPr>
              <w:spacing w:after="0"/>
              <w:rPr>
                <w:sz w:val="13"/>
                <w:szCs w:val="13"/>
                <w:color w:val="auto"/>
              </w:rPr>
            </w:pPr>
          </w:p>
        </w:tc>
        <w:tc>
          <w:tcPr>
            <w:tcW w:w="880" w:type="dxa"/>
            <w:vAlign w:val="bottom"/>
            <w:shd w:val="clear" w:color="auto" w:fill="DEDBD3"/>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1500" w:type="dxa"/>
            <w:vAlign w:val="bottom"/>
            <w:tcBorders>
              <w:right w:val="single" w:sz="8" w:color="FCFCFC"/>
            </w:tcBorders>
            <w:shd w:val="clear" w:color="auto" w:fill="DEDBD3"/>
          </w:tcPr>
          <w:p>
            <w:pPr>
              <w:spacing w:after="0"/>
              <w:rPr>
                <w:sz w:val="6"/>
                <w:szCs w:val="6"/>
                <w:color w:val="auto"/>
              </w:rPr>
            </w:pPr>
          </w:p>
        </w:tc>
        <w:tc>
          <w:tcPr>
            <w:tcW w:w="140" w:type="dxa"/>
            <w:vAlign w:val="bottom"/>
            <w:shd w:val="clear" w:color="auto" w:fill="DEDBD3"/>
          </w:tcPr>
          <w:p>
            <w:pPr>
              <w:spacing w:after="0"/>
              <w:rPr>
                <w:sz w:val="6"/>
                <w:szCs w:val="6"/>
                <w:color w:val="auto"/>
              </w:rPr>
            </w:pPr>
          </w:p>
        </w:tc>
        <w:tc>
          <w:tcPr>
            <w:tcW w:w="720" w:type="dxa"/>
            <w:vAlign w:val="bottom"/>
            <w:shd w:val="clear" w:color="auto" w:fill="DEDBD3"/>
          </w:tcPr>
          <w:p>
            <w:pPr>
              <w:spacing w:after="0"/>
              <w:rPr>
                <w:sz w:val="6"/>
                <w:szCs w:val="6"/>
                <w:color w:val="auto"/>
              </w:rPr>
            </w:pPr>
          </w:p>
        </w:tc>
        <w:tc>
          <w:tcPr>
            <w:tcW w:w="160" w:type="dxa"/>
            <w:vAlign w:val="bottom"/>
            <w:shd w:val="clear" w:color="auto" w:fill="DEDBD3"/>
          </w:tcPr>
          <w:p>
            <w:pPr>
              <w:spacing w:after="0"/>
              <w:rPr>
                <w:sz w:val="6"/>
                <w:szCs w:val="6"/>
                <w:color w:val="auto"/>
              </w:rPr>
            </w:pPr>
          </w:p>
        </w:tc>
        <w:tc>
          <w:tcPr>
            <w:tcW w:w="720" w:type="dxa"/>
            <w:vAlign w:val="bottom"/>
            <w:shd w:val="clear" w:color="auto" w:fill="DEDBD3"/>
          </w:tcPr>
          <w:p>
            <w:pPr>
              <w:spacing w:after="0"/>
              <w:rPr>
                <w:sz w:val="6"/>
                <w:szCs w:val="6"/>
                <w:color w:val="auto"/>
              </w:rPr>
            </w:pPr>
          </w:p>
        </w:tc>
        <w:tc>
          <w:tcPr>
            <w:tcW w:w="160" w:type="dxa"/>
            <w:vAlign w:val="bottom"/>
            <w:shd w:val="clear" w:color="auto" w:fill="DEDBD3"/>
          </w:tcPr>
          <w:p>
            <w:pPr>
              <w:spacing w:after="0"/>
              <w:rPr>
                <w:sz w:val="6"/>
                <w:szCs w:val="6"/>
                <w:color w:val="auto"/>
              </w:rPr>
            </w:pPr>
          </w:p>
        </w:tc>
        <w:tc>
          <w:tcPr>
            <w:tcW w:w="740" w:type="dxa"/>
            <w:vAlign w:val="bottom"/>
            <w:shd w:val="clear" w:color="auto" w:fill="DEDBD3"/>
          </w:tcPr>
          <w:p>
            <w:pPr>
              <w:spacing w:after="0"/>
              <w:rPr>
                <w:sz w:val="6"/>
                <w:szCs w:val="6"/>
                <w:color w:val="auto"/>
              </w:rPr>
            </w:pPr>
          </w:p>
        </w:tc>
        <w:tc>
          <w:tcPr>
            <w:tcW w:w="860" w:type="dxa"/>
            <w:vAlign w:val="bottom"/>
            <w:shd w:val="clear" w:color="auto" w:fill="DEDBD3"/>
          </w:tcPr>
          <w:p>
            <w:pPr>
              <w:spacing w:after="0"/>
              <w:rPr>
                <w:sz w:val="6"/>
                <w:szCs w:val="6"/>
                <w:color w:val="auto"/>
              </w:rPr>
            </w:pPr>
          </w:p>
        </w:tc>
        <w:tc>
          <w:tcPr>
            <w:tcW w:w="180" w:type="dxa"/>
            <w:vAlign w:val="bottom"/>
            <w:shd w:val="clear" w:color="auto" w:fill="DEDBD3"/>
          </w:tcPr>
          <w:p>
            <w:pPr>
              <w:spacing w:after="0"/>
              <w:rPr>
                <w:sz w:val="6"/>
                <w:szCs w:val="6"/>
                <w:color w:val="auto"/>
              </w:rPr>
            </w:pPr>
          </w:p>
        </w:tc>
        <w:tc>
          <w:tcPr>
            <w:tcW w:w="700" w:type="dxa"/>
            <w:vAlign w:val="bottom"/>
            <w:shd w:val="clear" w:color="auto" w:fill="DEDBD3"/>
          </w:tcPr>
          <w:p>
            <w:pPr>
              <w:jc w:val="center"/>
              <w:ind w:right="136"/>
              <w:spacing w:after="0" w:line="78" w:lineRule="exact"/>
              <w:rPr>
                <w:sz w:val="20"/>
                <w:szCs w:val="20"/>
                <w:color w:val="auto"/>
              </w:rPr>
            </w:pPr>
            <w:r>
              <w:rPr>
                <w:rFonts w:ascii="Arial" w:cs="Arial" w:eastAsia="Arial" w:hAnsi="Arial"/>
                <w:sz w:val="8"/>
                <w:szCs w:val="8"/>
                <w:b w:val="1"/>
                <w:bCs w:val="1"/>
                <w:color w:val="auto"/>
                <w:w w:val="96"/>
              </w:rPr>
              <w:t>SUMMARY</w:t>
            </w:r>
          </w:p>
        </w:tc>
        <w:tc>
          <w:tcPr>
            <w:tcW w:w="180" w:type="dxa"/>
            <w:vAlign w:val="bottom"/>
            <w:shd w:val="clear" w:color="auto" w:fill="DEDBD3"/>
          </w:tcPr>
          <w:p>
            <w:pPr>
              <w:spacing w:after="0"/>
              <w:rPr>
                <w:sz w:val="6"/>
                <w:szCs w:val="6"/>
                <w:color w:val="auto"/>
              </w:rPr>
            </w:pPr>
          </w:p>
        </w:tc>
        <w:tc>
          <w:tcPr>
            <w:tcW w:w="720" w:type="dxa"/>
            <w:vAlign w:val="bottom"/>
            <w:shd w:val="clear" w:color="auto" w:fill="DEDBD3"/>
          </w:tcPr>
          <w:p>
            <w:pPr>
              <w:spacing w:after="0"/>
              <w:rPr>
                <w:sz w:val="6"/>
                <w:szCs w:val="6"/>
                <w:color w:val="auto"/>
              </w:rPr>
            </w:pPr>
          </w:p>
        </w:tc>
        <w:tc>
          <w:tcPr>
            <w:tcW w:w="180" w:type="dxa"/>
            <w:vAlign w:val="bottom"/>
            <w:shd w:val="clear" w:color="auto" w:fill="DEDBD3"/>
          </w:tcPr>
          <w:p>
            <w:pPr>
              <w:spacing w:after="0"/>
              <w:rPr>
                <w:sz w:val="6"/>
                <w:szCs w:val="6"/>
                <w:color w:val="auto"/>
              </w:rPr>
            </w:pPr>
          </w:p>
        </w:tc>
        <w:tc>
          <w:tcPr>
            <w:tcW w:w="680" w:type="dxa"/>
            <w:vAlign w:val="bottom"/>
            <w:shd w:val="clear" w:color="auto" w:fill="DEDBD3"/>
          </w:tcPr>
          <w:p>
            <w:pPr>
              <w:spacing w:after="0"/>
              <w:rPr>
                <w:sz w:val="6"/>
                <w:szCs w:val="6"/>
                <w:color w:val="auto"/>
              </w:rPr>
            </w:pPr>
          </w:p>
        </w:tc>
        <w:tc>
          <w:tcPr>
            <w:tcW w:w="160" w:type="dxa"/>
            <w:vAlign w:val="bottom"/>
            <w:shd w:val="clear" w:color="auto" w:fill="DEDBD3"/>
          </w:tcPr>
          <w:p>
            <w:pPr>
              <w:spacing w:after="0"/>
              <w:rPr>
                <w:sz w:val="6"/>
                <w:szCs w:val="6"/>
                <w:color w:val="auto"/>
              </w:rPr>
            </w:pPr>
          </w:p>
        </w:tc>
        <w:tc>
          <w:tcPr>
            <w:tcW w:w="660" w:type="dxa"/>
            <w:vAlign w:val="bottom"/>
            <w:shd w:val="clear" w:color="auto" w:fill="DEDBD3"/>
          </w:tcPr>
          <w:p>
            <w:pPr>
              <w:spacing w:after="0"/>
              <w:rPr>
                <w:sz w:val="6"/>
                <w:szCs w:val="6"/>
                <w:color w:val="auto"/>
              </w:rPr>
            </w:pPr>
          </w:p>
        </w:tc>
        <w:tc>
          <w:tcPr>
            <w:tcW w:w="160" w:type="dxa"/>
            <w:vAlign w:val="bottom"/>
            <w:shd w:val="clear" w:color="auto" w:fill="DEDBD3"/>
          </w:tcPr>
          <w:p>
            <w:pPr>
              <w:spacing w:after="0"/>
              <w:rPr>
                <w:sz w:val="6"/>
                <w:szCs w:val="6"/>
                <w:color w:val="auto"/>
              </w:rPr>
            </w:pPr>
          </w:p>
        </w:tc>
        <w:tc>
          <w:tcPr>
            <w:tcW w:w="900" w:type="dxa"/>
            <w:vAlign w:val="bottom"/>
            <w:shd w:val="clear" w:color="auto" w:fill="DEDBD3"/>
          </w:tcPr>
          <w:p>
            <w:pPr>
              <w:spacing w:after="0"/>
              <w:rPr>
                <w:sz w:val="6"/>
                <w:szCs w:val="6"/>
                <w:color w:val="auto"/>
              </w:rPr>
            </w:pPr>
          </w:p>
        </w:tc>
        <w:tc>
          <w:tcPr>
            <w:tcW w:w="220" w:type="dxa"/>
            <w:vAlign w:val="bottom"/>
            <w:shd w:val="clear" w:color="auto" w:fill="DEDBD3"/>
          </w:tcPr>
          <w:p>
            <w:pPr>
              <w:spacing w:after="0"/>
              <w:rPr>
                <w:sz w:val="6"/>
                <w:szCs w:val="6"/>
                <w:color w:val="auto"/>
              </w:rPr>
            </w:pPr>
          </w:p>
        </w:tc>
        <w:tc>
          <w:tcPr>
            <w:tcW w:w="880" w:type="dxa"/>
            <w:vAlign w:val="bottom"/>
            <w:shd w:val="clear" w:color="auto" w:fill="DEDBD3"/>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500" w:type="dxa"/>
            <w:vAlign w:val="bottom"/>
            <w:tcBorders>
              <w:right w:val="single" w:sz="8" w:color="FCFCFC"/>
            </w:tcBorders>
            <w:shd w:val="clear" w:color="auto" w:fill="DEDBD3"/>
          </w:tcPr>
          <w:p>
            <w:pPr>
              <w:spacing w:after="0"/>
              <w:rPr>
                <w:sz w:val="7"/>
                <w:szCs w:val="7"/>
                <w:color w:val="auto"/>
              </w:rPr>
            </w:pPr>
          </w:p>
        </w:tc>
        <w:tc>
          <w:tcPr>
            <w:tcW w:w="140" w:type="dxa"/>
            <w:vAlign w:val="bottom"/>
            <w:shd w:val="clear" w:color="auto" w:fill="DEDBD3"/>
          </w:tcPr>
          <w:p>
            <w:pPr>
              <w:spacing w:after="0"/>
              <w:rPr>
                <w:sz w:val="7"/>
                <w:szCs w:val="7"/>
                <w:color w:val="auto"/>
              </w:rPr>
            </w:pPr>
          </w:p>
        </w:tc>
        <w:tc>
          <w:tcPr>
            <w:tcW w:w="720" w:type="dxa"/>
            <w:vAlign w:val="bottom"/>
            <w:shd w:val="clear" w:color="auto" w:fill="DEDBD3"/>
          </w:tcPr>
          <w:p>
            <w:pPr>
              <w:jc w:val="center"/>
              <w:ind w:right="114"/>
              <w:spacing w:after="0"/>
              <w:rPr>
                <w:sz w:val="20"/>
                <w:szCs w:val="20"/>
                <w:color w:val="auto"/>
              </w:rPr>
            </w:pPr>
            <w:r>
              <w:rPr>
                <w:rFonts w:ascii="Arial" w:cs="Arial" w:eastAsia="Arial" w:hAnsi="Arial"/>
                <w:sz w:val="8"/>
                <w:szCs w:val="8"/>
                <w:b w:val="1"/>
                <w:bCs w:val="1"/>
                <w:color w:val="auto"/>
                <w:w w:val="96"/>
              </w:rPr>
              <w:t>SUMMARY</w:t>
            </w:r>
          </w:p>
        </w:tc>
        <w:tc>
          <w:tcPr>
            <w:tcW w:w="160" w:type="dxa"/>
            <w:vAlign w:val="bottom"/>
            <w:shd w:val="clear" w:color="auto" w:fill="DEDBD3"/>
          </w:tcPr>
          <w:p>
            <w:pPr>
              <w:spacing w:after="0"/>
              <w:rPr>
                <w:sz w:val="7"/>
                <w:szCs w:val="7"/>
                <w:color w:val="auto"/>
              </w:rPr>
            </w:pPr>
          </w:p>
        </w:tc>
        <w:tc>
          <w:tcPr>
            <w:tcW w:w="720" w:type="dxa"/>
            <w:vAlign w:val="bottom"/>
            <w:shd w:val="clear" w:color="auto" w:fill="DEDBD3"/>
          </w:tcPr>
          <w:p>
            <w:pPr>
              <w:jc w:val="center"/>
              <w:ind w:right="114"/>
              <w:spacing w:after="0"/>
              <w:rPr>
                <w:sz w:val="20"/>
                <w:szCs w:val="20"/>
                <w:color w:val="auto"/>
              </w:rPr>
            </w:pPr>
            <w:r>
              <w:rPr>
                <w:rFonts w:ascii="Arial" w:cs="Arial" w:eastAsia="Arial" w:hAnsi="Arial"/>
                <w:sz w:val="8"/>
                <w:szCs w:val="8"/>
                <w:b w:val="1"/>
                <w:bCs w:val="1"/>
                <w:color w:val="auto"/>
                <w:w w:val="96"/>
              </w:rPr>
              <w:t>SUMMARY</w:t>
            </w:r>
          </w:p>
        </w:tc>
        <w:tc>
          <w:tcPr>
            <w:tcW w:w="900" w:type="dxa"/>
            <w:vAlign w:val="bottom"/>
            <w:gridSpan w:val="2"/>
            <w:vMerge w:val="restart"/>
            <w:shd w:val="clear" w:color="auto" w:fill="DEDBD3"/>
          </w:tcPr>
          <w:p>
            <w:pPr>
              <w:jc w:val="center"/>
              <w:spacing w:after="0"/>
              <w:rPr>
                <w:sz w:val="20"/>
                <w:szCs w:val="20"/>
                <w:color w:val="auto"/>
              </w:rPr>
            </w:pPr>
            <w:r>
              <w:rPr>
                <w:rFonts w:ascii="Arial" w:cs="Arial" w:eastAsia="Arial" w:hAnsi="Arial"/>
                <w:sz w:val="8"/>
                <w:szCs w:val="8"/>
                <w:b w:val="1"/>
                <w:bCs w:val="1"/>
                <w:color w:val="auto"/>
                <w:w w:val="97"/>
              </w:rPr>
              <w:t>COMPENSATION</w:t>
            </w:r>
          </w:p>
        </w:tc>
        <w:tc>
          <w:tcPr>
            <w:tcW w:w="860" w:type="dxa"/>
            <w:vAlign w:val="bottom"/>
            <w:vMerge w:val="restart"/>
            <w:shd w:val="clear" w:color="auto" w:fill="DEDBD3"/>
          </w:tcPr>
          <w:p>
            <w:pPr>
              <w:jc w:val="center"/>
              <w:spacing w:after="0"/>
              <w:rPr>
                <w:sz w:val="20"/>
                <w:szCs w:val="20"/>
                <w:color w:val="auto"/>
              </w:rPr>
            </w:pPr>
            <w:r>
              <w:rPr>
                <w:rFonts w:ascii="Arial" w:cs="Arial" w:eastAsia="Arial" w:hAnsi="Arial"/>
                <w:sz w:val="8"/>
                <w:szCs w:val="8"/>
                <w:b w:val="1"/>
                <w:bCs w:val="1"/>
                <w:color w:val="auto"/>
                <w:w w:val="97"/>
              </w:rPr>
              <w:t>COMPENSATION</w:t>
            </w:r>
          </w:p>
        </w:tc>
        <w:tc>
          <w:tcPr>
            <w:tcW w:w="880" w:type="dxa"/>
            <w:vAlign w:val="bottom"/>
            <w:gridSpan w:val="2"/>
            <w:shd w:val="clear" w:color="auto" w:fill="DEDBD3"/>
          </w:tcPr>
          <w:p>
            <w:pPr>
              <w:jc w:val="center"/>
              <w:spacing w:after="0"/>
              <w:rPr>
                <w:sz w:val="20"/>
                <w:szCs w:val="20"/>
                <w:color w:val="auto"/>
              </w:rPr>
            </w:pPr>
            <w:r>
              <w:rPr>
                <w:rFonts w:ascii="Arial" w:cs="Arial" w:eastAsia="Arial" w:hAnsi="Arial"/>
                <w:sz w:val="8"/>
                <w:szCs w:val="8"/>
                <w:b w:val="1"/>
                <w:bCs w:val="1"/>
                <w:color w:val="auto"/>
                <w:w w:val="94"/>
              </w:rPr>
              <w:t>COMPENSATION</w:t>
            </w:r>
          </w:p>
        </w:tc>
        <w:tc>
          <w:tcPr>
            <w:tcW w:w="180" w:type="dxa"/>
            <w:vAlign w:val="bottom"/>
            <w:shd w:val="clear" w:color="auto" w:fill="DEDBD3"/>
          </w:tcPr>
          <w:p>
            <w:pPr>
              <w:spacing w:after="0"/>
              <w:rPr>
                <w:sz w:val="7"/>
                <w:szCs w:val="7"/>
                <w:color w:val="auto"/>
              </w:rPr>
            </w:pPr>
          </w:p>
        </w:tc>
        <w:tc>
          <w:tcPr>
            <w:tcW w:w="720" w:type="dxa"/>
            <w:vAlign w:val="bottom"/>
            <w:shd w:val="clear" w:color="auto" w:fill="DEDBD3"/>
          </w:tcPr>
          <w:p>
            <w:pPr>
              <w:jc w:val="center"/>
              <w:ind w:right="134"/>
              <w:spacing w:after="0"/>
              <w:rPr>
                <w:sz w:val="20"/>
                <w:szCs w:val="20"/>
                <w:color w:val="auto"/>
              </w:rPr>
            </w:pPr>
            <w:r>
              <w:rPr>
                <w:rFonts w:ascii="Arial" w:cs="Arial" w:eastAsia="Arial" w:hAnsi="Arial"/>
                <w:sz w:val="8"/>
                <w:szCs w:val="8"/>
                <w:b w:val="1"/>
                <w:bCs w:val="1"/>
                <w:color w:val="auto"/>
                <w:w w:val="95"/>
              </w:rPr>
              <w:t>AVERAGE</w:t>
            </w:r>
          </w:p>
        </w:tc>
        <w:tc>
          <w:tcPr>
            <w:tcW w:w="180" w:type="dxa"/>
            <w:vAlign w:val="bottom"/>
            <w:shd w:val="clear" w:color="auto" w:fill="DEDBD3"/>
          </w:tcPr>
          <w:p>
            <w:pPr>
              <w:spacing w:after="0"/>
              <w:rPr>
                <w:sz w:val="7"/>
                <w:szCs w:val="7"/>
                <w:color w:val="auto"/>
              </w:rPr>
            </w:pPr>
          </w:p>
        </w:tc>
        <w:tc>
          <w:tcPr>
            <w:tcW w:w="680" w:type="dxa"/>
            <w:vAlign w:val="bottom"/>
            <w:shd w:val="clear" w:color="auto" w:fill="DEDBD3"/>
          </w:tcPr>
          <w:p>
            <w:pPr>
              <w:spacing w:after="0"/>
              <w:rPr>
                <w:sz w:val="7"/>
                <w:szCs w:val="7"/>
                <w:color w:val="auto"/>
              </w:rPr>
            </w:pPr>
          </w:p>
        </w:tc>
        <w:tc>
          <w:tcPr>
            <w:tcW w:w="160" w:type="dxa"/>
            <w:vAlign w:val="bottom"/>
            <w:shd w:val="clear" w:color="auto" w:fill="DEDBD3"/>
          </w:tcPr>
          <w:p>
            <w:pPr>
              <w:spacing w:after="0"/>
              <w:rPr>
                <w:sz w:val="7"/>
                <w:szCs w:val="7"/>
                <w:color w:val="auto"/>
              </w:rPr>
            </w:pPr>
          </w:p>
        </w:tc>
        <w:tc>
          <w:tcPr>
            <w:tcW w:w="660" w:type="dxa"/>
            <w:vAlign w:val="bottom"/>
            <w:vMerge w:val="restart"/>
            <w:shd w:val="clear" w:color="auto" w:fill="DEDBD3"/>
          </w:tcPr>
          <w:p>
            <w:pPr>
              <w:jc w:val="center"/>
              <w:ind w:right="94"/>
              <w:spacing w:after="0"/>
              <w:rPr>
                <w:sz w:val="20"/>
                <w:szCs w:val="20"/>
                <w:color w:val="auto"/>
              </w:rPr>
            </w:pPr>
            <w:r>
              <w:rPr>
                <w:rFonts w:ascii="Arial" w:cs="Arial" w:eastAsia="Arial" w:hAnsi="Arial"/>
                <w:sz w:val="8"/>
                <w:szCs w:val="8"/>
                <w:b w:val="1"/>
                <w:bCs w:val="1"/>
                <w:color w:val="auto"/>
                <w:w w:val="97"/>
              </w:rPr>
              <w:t>PEER GROUP</w:t>
            </w:r>
          </w:p>
        </w:tc>
        <w:tc>
          <w:tcPr>
            <w:tcW w:w="160" w:type="dxa"/>
            <w:vAlign w:val="bottom"/>
            <w:shd w:val="clear" w:color="auto" w:fill="DEDBD3"/>
          </w:tcPr>
          <w:p>
            <w:pPr>
              <w:spacing w:after="0"/>
              <w:rPr>
                <w:sz w:val="7"/>
                <w:szCs w:val="7"/>
                <w:color w:val="auto"/>
              </w:rPr>
            </w:pPr>
          </w:p>
        </w:tc>
        <w:tc>
          <w:tcPr>
            <w:tcW w:w="900" w:type="dxa"/>
            <w:vAlign w:val="bottom"/>
            <w:shd w:val="clear" w:color="auto" w:fill="DEDBD3"/>
          </w:tcPr>
          <w:p>
            <w:pPr>
              <w:spacing w:after="0"/>
              <w:rPr>
                <w:sz w:val="7"/>
                <w:szCs w:val="7"/>
                <w:color w:val="auto"/>
              </w:rPr>
            </w:pPr>
          </w:p>
        </w:tc>
        <w:tc>
          <w:tcPr>
            <w:tcW w:w="220" w:type="dxa"/>
            <w:vAlign w:val="bottom"/>
            <w:shd w:val="clear" w:color="auto" w:fill="DEDBD3"/>
          </w:tcPr>
          <w:p>
            <w:pPr>
              <w:spacing w:after="0"/>
              <w:rPr>
                <w:sz w:val="7"/>
                <w:szCs w:val="7"/>
                <w:color w:val="auto"/>
              </w:rPr>
            </w:pPr>
          </w:p>
        </w:tc>
        <w:tc>
          <w:tcPr>
            <w:tcW w:w="880" w:type="dxa"/>
            <w:vAlign w:val="bottom"/>
            <w:shd w:val="clear" w:color="auto" w:fill="DEDBD3"/>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500" w:type="dxa"/>
            <w:vAlign w:val="bottom"/>
            <w:tcBorders>
              <w:right w:val="single" w:sz="8" w:color="FCFCFC"/>
            </w:tcBorders>
            <w:shd w:val="clear" w:color="auto" w:fill="DEDBD3"/>
          </w:tcPr>
          <w:p>
            <w:pPr>
              <w:spacing w:after="0"/>
              <w:rPr>
                <w:sz w:val="6"/>
                <w:szCs w:val="6"/>
                <w:color w:val="auto"/>
              </w:rPr>
            </w:pPr>
          </w:p>
        </w:tc>
        <w:tc>
          <w:tcPr>
            <w:tcW w:w="860" w:type="dxa"/>
            <w:vAlign w:val="bottom"/>
            <w:gridSpan w:val="2"/>
            <w:shd w:val="clear" w:color="auto" w:fill="DEDBD3"/>
          </w:tcPr>
          <w:p>
            <w:pPr>
              <w:jc w:val="center"/>
              <w:spacing w:after="0" w:line="78" w:lineRule="exact"/>
              <w:rPr>
                <w:sz w:val="20"/>
                <w:szCs w:val="20"/>
                <w:color w:val="auto"/>
              </w:rPr>
            </w:pPr>
            <w:r>
              <w:rPr>
                <w:rFonts w:ascii="Arial" w:cs="Arial" w:eastAsia="Arial" w:hAnsi="Arial"/>
                <w:sz w:val="8"/>
                <w:szCs w:val="8"/>
                <w:b w:val="1"/>
                <w:bCs w:val="1"/>
                <w:color w:val="auto"/>
                <w:w w:val="97"/>
              </w:rPr>
              <w:t>COMPENSATION</w:t>
            </w:r>
          </w:p>
        </w:tc>
        <w:tc>
          <w:tcPr>
            <w:tcW w:w="880" w:type="dxa"/>
            <w:vAlign w:val="bottom"/>
            <w:gridSpan w:val="2"/>
            <w:shd w:val="clear" w:color="auto" w:fill="DEDBD3"/>
          </w:tcPr>
          <w:p>
            <w:pPr>
              <w:jc w:val="center"/>
              <w:spacing w:after="0" w:line="78" w:lineRule="exact"/>
              <w:rPr>
                <w:sz w:val="20"/>
                <w:szCs w:val="20"/>
                <w:color w:val="auto"/>
              </w:rPr>
            </w:pPr>
            <w:r>
              <w:rPr>
                <w:rFonts w:ascii="Arial" w:cs="Arial" w:eastAsia="Arial" w:hAnsi="Arial"/>
                <w:sz w:val="8"/>
                <w:szCs w:val="8"/>
                <w:b w:val="1"/>
                <w:bCs w:val="1"/>
                <w:color w:val="auto"/>
                <w:w w:val="94"/>
              </w:rPr>
              <w:t>COMPENSATION</w:t>
            </w:r>
          </w:p>
        </w:tc>
        <w:tc>
          <w:tcPr>
            <w:tcW w:w="900" w:type="dxa"/>
            <w:vAlign w:val="bottom"/>
            <w:gridSpan w:val="2"/>
            <w:vMerge w:val="continue"/>
            <w:shd w:val="clear" w:color="auto" w:fill="DEDBD3"/>
          </w:tcPr>
          <w:p>
            <w:pPr>
              <w:spacing w:after="0"/>
              <w:rPr>
                <w:sz w:val="6"/>
                <w:szCs w:val="6"/>
                <w:color w:val="auto"/>
              </w:rPr>
            </w:pPr>
          </w:p>
        </w:tc>
        <w:tc>
          <w:tcPr>
            <w:tcW w:w="860" w:type="dxa"/>
            <w:vAlign w:val="bottom"/>
            <w:vMerge w:val="continue"/>
            <w:shd w:val="clear" w:color="auto" w:fill="DEDBD3"/>
          </w:tcPr>
          <w:p>
            <w:pPr>
              <w:spacing w:after="0"/>
              <w:rPr>
                <w:sz w:val="6"/>
                <w:szCs w:val="6"/>
                <w:color w:val="auto"/>
              </w:rPr>
            </w:pPr>
          </w:p>
        </w:tc>
        <w:tc>
          <w:tcPr>
            <w:tcW w:w="180" w:type="dxa"/>
            <w:vAlign w:val="bottom"/>
            <w:shd w:val="clear" w:color="auto" w:fill="DEDBD3"/>
          </w:tcPr>
          <w:p>
            <w:pPr>
              <w:spacing w:after="0"/>
              <w:rPr>
                <w:sz w:val="6"/>
                <w:szCs w:val="6"/>
                <w:color w:val="auto"/>
              </w:rPr>
            </w:pPr>
          </w:p>
        </w:tc>
        <w:tc>
          <w:tcPr>
            <w:tcW w:w="700" w:type="dxa"/>
            <w:vAlign w:val="bottom"/>
            <w:shd w:val="clear" w:color="auto" w:fill="DEDBD3"/>
          </w:tcPr>
          <w:p>
            <w:pPr>
              <w:jc w:val="center"/>
              <w:ind w:right="116"/>
              <w:spacing w:after="0" w:line="78" w:lineRule="exact"/>
              <w:rPr>
                <w:sz w:val="20"/>
                <w:szCs w:val="20"/>
                <w:color w:val="auto"/>
              </w:rPr>
            </w:pPr>
            <w:r>
              <w:rPr>
                <w:rFonts w:ascii="Arial" w:cs="Arial" w:eastAsia="Arial" w:hAnsi="Arial"/>
                <w:sz w:val="8"/>
                <w:szCs w:val="8"/>
                <w:b w:val="1"/>
                <w:bCs w:val="1"/>
                <w:color w:val="auto"/>
                <w:w w:val="97"/>
              </w:rPr>
              <w:t>TABLE TOTAL</w:t>
            </w:r>
          </w:p>
        </w:tc>
        <w:tc>
          <w:tcPr>
            <w:tcW w:w="900" w:type="dxa"/>
            <w:vAlign w:val="bottom"/>
            <w:gridSpan w:val="2"/>
            <w:shd w:val="clear" w:color="auto" w:fill="DEDBD3"/>
          </w:tcPr>
          <w:p>
            <w:pPr>
              <w:jc w:val="center"/>
              <w:spacing w:after="0" w:line="78" w:lineRule="exact"/>
              <w:rPr>
                <w:sz w:val="20"/>
                <w:szCs w:val="20"/>
                <w:color w:val="auto"/>
              </w:rPr>
            </w:pPr>
            <w:r>
              <w:rPr>
                <w:rFonts w:ascii="Arial" w:cs="Arial" w:eastAsia="Arial" w:hAnsi="Arial"/>
                <w:sz w:val="8"/>
                <w:szCs w:val="8"/>
                <w:b w:val="1"/>
                <w:bCs w:val="1"/>
                <w:color w:val="auto"/>
                <w:w w:val="94"/>
              </w:rPr>
              <w:t>COMPENSATION</w:t>
            </w:r>
          </w:p>
        </w:tc>
        <w:tc>
          <w:tcPr>
            <w:tcW w:w="180" w:type="dxa"/>
            <w:vAlign w:val="bottom"/>
            <w:shd w:val="clear" w:color="auto" w:fill="DEDBD3"/>
          </w:tcPr>
          <w:p>
            <w:pPr>
              <w:spacing w:after="0"/>
              <w:rPr>
                <w:sz w:val="6"/>
                <w:szCs w:val="6"/>
                <w:color w:val="auto"/>
              </w:rPr>
            </w:pPr>
          </w:p>
        </w:tc>
        <w:tc>
          <w:tcPr>
            <w:tcW w:w="680" w:type="dxa"/>
            <w:vAlign w:val="bottom"/>
            <w:vMerge w:val="restart"/>
            <w:shd w:val="clear" w:color="auto" w:fill="DEDBD3"/>
          </w:tcPr>
          <w:p>
            <w:pPr>
              <w:jc w:val="center"/>
              <w:ind w:right="155"/>
              <w:spacing w:after="0"/>
              <w:rPr>
                <w:sz w:val="20"/>
                <w:szCs w:val="20"/>
                <w:color w:val="auto"/>
              </w:rPr>
            </w:pPr>
            <w:r>
              <w:rPr>
                <w:rFonts w:ascii="Arial" w:cs="Arial" w:eastAsia="Arial" w:hAnsi="Arial"/>
                <w:sz w:val="8"/>
                <w:szCs w:val="8"/>
                <w:b w:val="1"/>
                <w:bCs w:val="1"/>
                <w:color w:val="auto"/>
                <w:w w:val="89"/>
              </w:rPr>
              <w:t>TOTAL</w:t>
            </w:r>
          </w:p>
        </w:tc>
        <w:tc>
          <w:tcPr>
            <w:tcW w:w="160" w:type="dxa"/>
            <w:vAlign w:val="bottom"/>
            <w:shd w:val="clear" w:color="auto" w:fill="DEDBD3"/>
          </w:tcPr>
          <w:p>
            <w:pPr>
              <w:spacing w:after="0"/>
              <w:rPr>
                <w:sz w:val="6"/>
                <w:szCs w:val="6"/>
                <w:color w:val="auto"/>
              </w:rPr>
            </w:pPr>
          </w:p>
        </w:tc>
        <w:tc>
          <w:tcPr>
            <w:tcW w:w="660" w:type="dxa"/>
            <w:vAlign w:val="bottom"/>
            <w:vMerge w:val="continue"/>
            <w:shd w:val="clear" w:color="auto" w:fill="DEDBD3"/>
          </w:tcPr>
          <w:p>
            <w:pPr>
              <w:spacing w:after="0"/>
              <w:rPr>
                <w:sz w:val="6"/>
                <w:szCs w:val="6"/>
                <w:color w:val="auto"/>
              </w:rPr>
            </w:pPr>
          </w:p>
        </w:tc>
        <w:tc>
          <w:tcPr>
            <w:tcW w:w="160" w:type="dxa"/>
            <w:vAlign w:val="bottom"/>
            <w:shd w:val="clear" w:color="auto" w:fill="DEDBD3"/>
          </w:tcPr>
          <w:p>
            <w:pPr>
              <w:spacing w:after="0"/>
              <w:rPr>
                <w:sz w:val="6"/>
                <w:szCs w:val="6"/>
                <w:color w:val="auto"/>
              </w:rPr>
            </w:pPr>
          </w:p>
        </w:tc>
        <w:tc>
          <w:tcPr>
            <w:tcW w:w="900" w:type="dxa"/>
            <w:vAlign w:val="bottom"/>
            <w:shd w:val="clear" w:color="auto" w:fill="DEDBD3"/>
          </w:tcPr>
          <w:p>
            <w:pPr>
              <w:spacing w:after="0"/>
              <w:rPr>
                <w:sz w:val="6"/>
                <w:szCs w:val="6"/>
                <w:color w:val="auto"/>
              </w:rPr>
            </w:pPr>
          </w:p>
        </w:tc>
        <w:tc>
          <w:tcPr>
            <w:tcW w:w="220" w:type="dxa"/>
            <w:vAlign w:val="bottom"/>
            <w:shd w:val="clear" w:color="auto" w:fill="DEDBD3"/>
          </w:tcPr>
          <w:p>
            <w:pPr>
              <w:spacing w:after="0"/>
              <w:rPr>
                <w:sz w:val="6"/>
                <w:szCs w:val="6"/>
                <w:color w:val="auto"/>
              </w:rPr>
            </w:pPr>
          </w:p>
        </w:tc>
        <w:tc>
          <w:tcPr>
            <w:tcW w:w="880" w:type="dxa"/>
            <w:vAlign w:val="bottom"/>
            <w:vMerge w:val="restart"/>
            <w:shd w:val="clear" w:color="auto" w:fill="DEDBD3"/>
          </w:tcPr>
          <w:p>
            <w:pPr>
              <w:jc w:val="center"/>
              <w:ind w:right="274"/>
              <w:spacing w:after="0"/>
              <w:rPr>
                <w:sz w:val="20"/>
                <w:szCs w:val="20"/>
                <w:color w:val="auto"/>
              </w:rPr>
            </w:pPr>
            <w:r>
              <w:rPr>
                <w:rFonts w:ascii="Arial" w:cs="Arial" w:eastAsia="Arial" w:hAnsi="Arial"/>
                <w:sz w:val="8"/>
                <w:szCs w:val="8"/>
                <w:b w:val="1"/>
                <w:bCs w:val="1"/>
                <w:color w:val="auto"/>
              </w:rPr>
              <w:t>ADJUSTED</w:t>
            </w:r>
          </w:p>
        </w:tc>
        <w:tc>
          <w:tcPr>
            <w:tcW w:w="0" w:type="dxa"/>
            <w:vAlign w:val="bottom"/>
          </w:tcPr>
          <w:p>
            <w:pPr>
              <w:spacing w:after="0"/>
              <w:rPr>
                <w:sz w:val="1"/>
                <w:szCs w:val="1"/>
                <w:color w:val="auto"/>
              </w:rPr>
            </w:pPr>
          </w:p>
        </w:tc>
      </w:tr>
      <w:tr>
        <w:trPr>
          <w:trHeight w:val="78"/>
        </w:trPr>
        <w:tc>
          <w:tcPr>
            <w:tcW w:w="1500" w:type="dxa"/>
            <w:vAlign w:val="bottom"/>
            <w:tcBorders>
              <w:right w:val="single" w:sz="8" w:color="FCFCFC"/>
            </w:tcBorders>
            <w:shd w:val="clear" w:color="auto" w:fill="DEDBD3"/>
          </w:tcPr>
          <w:p>
            <w:pPr>
              <w:spacing w:after="0"/>
              <w:rPr>
                <w:sz w:val="6"/>
                <w:szCs w:val="6"/>
                <w:color w:val="auto"/>
              </w:rPr>
            </w:pPr>
          </w:p>
        </w:tc>
        <w:tc>
          <w:tcPr>
            <w:tcW w:w="140" w:type="dxa"/>
            <w:vAlign w:val="bottom"/>
            <w:shd w:val="clear" w:color="auto" w:fill="DEDBD3"/>
          </w:tcPr>
          <w:p>
            <w:pPr>
              <w:spacing w:after="0"/>
              <w:rPr>
                <w:sz w:val="6"/>
                <w:szCs w:val="6"/>
                <w:color w:val="auto"/>
              </w:rPr>
            </w:pPr>
          </w:p>
        </w:tc>
        <w:tc>
          <w:tcPr>
            <w:tcW w:w="720" w:type="dxa"/>
            <w:vAlign w:val="bottom"/>
            <w:shd w:val="clear" w:color="auto" w:fill="DEDBD3"/>
          </w:tcPr>
          <w:p>
            <w:pPr>
              <w:jc w:val="center"/>
              <w:ind w:right="114"/>
              <w:spacing w:after="0" w:line="78" w:lineRule="exact"/>
              <w:rPr>
                <w:sz w:val="20"/>
                <w:szCs w:val="20"/>
                <w:color w:val="auto"/>
              </w:rPr>
            </w:pPr>
            <w:r>
              <w:rPr>
                <w:rFonts w:ascii="Arial" w:cs="Arial" w:eastAsia="Arial" w:hAnsi="Arial"/>
                <w:sz w:val="8"/>
                <w:szCs w:val="8"/>
                <w:b w:val="1"/>
                <w:bCs w:val="1"/>
                <w:color w:val="auto"/>
                <w:w w:val="93"/>
              </w:rPr>
              <w:t>TABLE TOTAL</w:t>
            </w:r>
          </w:p>
        </w:tc>
        <w:tc>
          <w:tcPr>
            <w:tcW w:w="160" w:type="dxa"/>
            <w:vAlign w:val="bottom"/>
            <w:shd w:val="clear" w:color="auto" w:fill="DEDBD3"/>
          </w:tcPr>
          <w:p>
            <w:pPr>
              <w:spacing w:after="0"/>
              <w:rPr>
                <w:sz w:val="6"/>
                <w:szCs w:val="6"/>
                <w:color w:val="auto"/>
              </w:rPr>
            </w:pPr>
          </w:p>
        </w:tc>
        <w:tc>
          <w:tcPr>
            <w:tcW w:w="720" w:type="dxa"/>
            <w:vAlign w:val="bottom"/>
            <w:shd w:val="clear" w:color="auto" w:fill="DEDBD3"/>
          </w:tcPr>
          <w:p>
            <w:pPr>
              <w:jc w:val="center"/>
              <w:ind w:right="134"/>
              <w:spacing w:after="0" w:line="78" w:lineRule="exact"/>
              <w:rPr>
                <w:sz w:val="20"/>
                <w:szCs w:val="20"/>
                <w:color w:val="auto"/>
              </w:rPr>
            </w:pPr>
            <w:r>
              <w:rPr>
                <w:rFonts w:ascii="Arial" w:cs="Arial" w:eastAsia="Arial" w:hAnsi="Arial"/>
                <w:sz w:val="8"/>
                <w:szCs w:val="8"/>
                <w:b w:val="1"/>
                <w:bCs w:val="1"/>
                <w:color w:val="auto"/>
                <w:w w:val="97"/>
              </w:rPr>
              <w:t>TABLE TOTAL</w:t>
            </w:r>
          </w:p>
        </w:tc>
        <w:tc>
          <w:tcPr>
            <w:tcW w:w="900" w:type="dxa"/>
            <w:vAlign w:val="bottom"/>
            <w:gridSpan w:val="2"/>
            <w:shd w:val="clear" w:color="auto" w:fill="DEDBD3"/>
          </w:tcPr>
          <w:p>
            <w:pPr>
              <w:jc w:val="center"/>
              <w:spacing w:after="0" w:line="78" w:lineRule="exact"/>
              <w:rPr>
                <w:sz w:val="20"/>
                <w:szCs w:val="20"/>
                <w:color w:val="auto"/>
              </w:rPr>
            </w:pPr>
            <w:r>
              <w:rPr>
                <w:rFonts w:ascii="Arial" w:cs="Arial" w:eastAsia="Arial" w:hAnsi="Arial"/>
                <w:sz w:val="8"/>
                <w:szCs w:val="8"/>
                <w:b w:val="1"/>
                <w:bCs w:val="1"/>
                <w:color w:val="auto"/>
                <w:w w:val="93"/>
              </w:rPr>
              <w:t>ACTUALLY PAID</w:t>
            </w:r>
          </w:p>
        </w:tc>
        <w:tc>
          <w:tcPr>
            <w:tcW w:w="860" w:type="dxa"/>
            <w:vAlign w:val="bottom"/>
            <w:shd w:val="clear" w:color="auto" w:fill="DEDBD3"/>
          </w:tcPr>
          <w:p>
            <w:pPr>
              <w:jc w:val="center"/>
              <w:spacing w:after="0" w:line="78" w:lineRule="exact"/>
              <w:rPr>
                <w:sz w:val="20"/>
                <w:szCs w:val="20"/>
                <w:color w:val="auto"/>
              </w:rPr>
            </w:pPr>
            <w:r>
              <w:rPr>
                <w:rFonts w:ascii="Arial" w:cs="Arial" w:eastAsia="Arial" w:hAnsi="Arial"/>
                <w:sz w:val="8"/>
                <w:szCs w:val="8"/>
                <w:b w:val="1"/>
                <w:bCs w:val="1"/>
                <w:color w:val="auto"/>
                <w:w w:val="96"/>
              </w:rPr>
              <w:t>ACTUALLY PAID</w:t>
            </w:r>
          </w:p>
        </w:tc>
        <w:tc>
          <w:tcPr>
            <w:tcW w:w="180" w:type="dxa"/>
            <w:vAlign w:val="bottom"/>
            <w:shd w:val="clear" w:color="auto" w:fill="DEDBD3"/>
          </w:tcPr>
          <w:p>
            <w:pPr>
              <w:spacing w:after="0"/>
              <w:rPr>
                <w:sz w:val="6"/>
                <w:szCs w:val="6"/>
                <w:color w:val="auto"/>
              </w:rPr>
            </w:pPr>
          </w:p>
        </w:tc>
        <w:tc>
          <w:tcPr>
            <w:tcW w:w="700" w:type="dxa"/>
            <w:vAlign w:val="bottom"/>
            <w:shd w:val="clear" w:color="auto" w:fill="DEDBD3"/>
          </w:tcPr>
          <w:p>
            <w:pPr>
              <w:jc w:val="center"/>
              <w:ind w:right="136"/>
              <w:spacing w:after="0" w:line="78" w:lineRule="exact"/>
              <w:rPr>
                <w:sz w:val="20"/>
                <w:szCs w:val="20"/>
                <w:color w:val="auto"/>
              </w:rPr>
            </w:pPr>
            <w:r>
              <w:rPr>
                <w:rFonts w:ascii="Arial" w:cs="Arial" w:eastAsia="Arial" w:hAnsi="Arial"/>
                <w:sz w:val="8"/>
                <w:szCs w:val="8"/>
                <w:b w:val="1"/>
                <w:bCs w:val="1"/>
                <w:color w:val="auto"/>
                <w:w w:val="94"/>
              </w:rPr>
              <w:t>FOR</w:t>
            </w:r>
          </w:p>
        </w:tc>
        <w:tc>
          <w:tcPr>
            <w:tcW w:w="900" w:type="dxa"/>
            <w:vAlign w:val="bottom"/>
            <w:gridSpan w:val="2"/>
            <w:shd w:val="clear" w:color="auto" w:fill="DEDBD3"/>
          </w:tcPr>
          <w:p>
            <w:pPr>
              <w:jc w:val="center"/>
              <w:spacing w:after="0" w:line="78" w:lineRule="exact"/>
              <w:rPr>
                <w:sz w:val="20"/>
                <w:szCs w:val="20"/>
                <w:color w:val="auto"/>
              </w:rPr>
            </w:pPr>
            <w:r>
              <w:rPr>
                <w:rFonts w:ascii="Arial" w:cs="Arial" w:eastAsia="Arial" w:hAnsi="Arial"/>
                <w:sz w:val="8"/>
                <w:szCs w:val="8"/>
                <w:b w:val="1"/>
                <w:bCs w:val="1"/>
                <w:color w:val="auto"/>
                <w:w w:val="96"/>
              </w:rPr>
              <w:t>ACTUALLY PAID</w:t>
            </w:r>
          </w:p>
        </w:tc>
        <w:tc>
          <w:tcPr>
            <w:tcW w:w="180" w:type="dxa"/>
            <w:vAlign w:val="bottom"/>
            <w:shd w:val="clear" w:color="auto" w:fill="DEDBD3"/>
          </w:tcPr>
          <w:p>
            <w:pPr>
              <w:spacing w:after="0"/>
              <w:rPr>
                <w:sz w:val="6"/>
                <w:szCs w:val="6"/>
                <w:color w:val="auto"/>
              </w:rPr>
            </w:pPr>
          </w:p>
        </w:tc>
        <w:tc>
          <w:tcPr>
            <w:tcW w:w="680" w:type="dxa"/>
            <w:vAlign w:val="bottom"/>
            <w:vMerge w:val="continue"/>
            <w:shd w:val="clear" w:color="auto" w:fill="DEDBD3"/>
          </w:tcPr>
          <w:p>
            <w:pPr>
              <w:spacing w:after="0"/>
              <w:rPr>
                <w:sz w:val="6"/>
                <w:szCs w:val="6"/>
                <w:color w:val="auto"/>
              </w:rPr>
            </w:pPr>
          </w:p>
        </w:tc>
        <w:tc>
          <w:tcPr>
            <w:tcW w:w="160" w:type="dxa"/>
            <w:vAlign w:val="bottom"/>
            <w:shd w:val="clear" w:color="auto" w:fill="DEDBD3"/>
          </w:tcPr>
          <w:p>
            <w:pPr>
              <w:spacing w:after="0"/>
              <w:rPr>
                <w:sz w:val="6"/>
                <w:szCs w:val="6"/>
                <w:color w:val="auto"/>
              </w:rPr>
            </w:pPr>
          </w:p>
        </w:tc>
        <w:tc>
          <w:tcPr>
            <w:tcW w:w="660" w:type="dxa"/>
            <w:vAlign w:val="bottom"/>
            <w:shd w:val="clear" w:color="auto" w:fill="DEDBD3"/>
          </w:tcPr>
          <w:p>
            <w:pPr>
              <w:jc w:val="center"/>
              <w:ind w:right="94"/>
              <w:spacing w:after="0" w:line="78" w:lineRule="exact"/>
              <w:rPr>
                <w:sz w:val="20"/>
                <w:szCs w:val="20"/>
                <w:color w:val="auto"/>
              </w:rPr>
            </w:pPr>
            <w:r>
              <w:rPr>
                <w:rFonts w:ascii="Arial" w:cs="Arial" w:eastAsia="Arial" w:hAnsi="Arial"/>
                <w:sz w:val="8"/>
                <w:szCs w:val="8"/>
                <w:b w:val="1"/>
                <w:bCs w:val="1"/>
                <w:color w:val="auto"/>
                <w:w w:val="89"/>
              </w:rPr>
              <w:t>TOTAL</w:t>
            </w:r>
          </w:p>
        </w:tc>
        <w:tc>
          <w:tcPr>
            <w:tcW w:w="160" w:type="dxa"/>
            <w:vAlign w:val="bottom"/>
            <w:shd w:val="clear" w:color="auto" w:fill="DEDBD3"/>
          </w:tcPr>
          <w:p>
            <w:pPr>
              <w:spacing w:after="0"/>
              <w:rPr>
                <w:sz w:val="6"/>
                <w:szCs w:val="6"/>
                <w:color w:val="auto"/>
              </w:rPr>
            </w:pPr>
          </w:p>
        </w:tc>
        <w:tc>
          <w:tcPr>
            <w:tcW w:w="900" w:type="dxa"/>
            <w:vAlign w:val="bottom"/>
            <w:shd w:val="clear" w:color="auto" w:fill="DEDBD3"/>
          </w:tcPr>
          <w:p>
            <w:pPr>
              <w:spacing w:after="0"/>
              <w:rPr>
                <w:sz w:val="6"/>
                <w:szCs w:val="6"/>
                <w:color w:val="auto"/>
              </w:rPr>
            </w:pPr>
          </w:p>
        </w:tc>
        <w:tc>
          <w:tcPr>
            <w:tcW w:w="220" w:type="dxa"/>
            <w:vAlign w:val="bottom"/>
            <w:shd w:val="clear" w:color="auto" w:fill="DEDBD3"/>
          </w:tcPr>
          <w:p>
            <w:pPr>
              <w:spacing w:after="0"/>
              <w:rPr>
                <w:sz w:val="6"/>
                <w:szCs w:val="6"/>
                <w:color w:val="auto"/>
              </w:rPr>
            </w:pPr>
          </w:p>
        </w:tc>
        <w:tc>
          <w:tcPr>
            <w:tcW w:w="880" w:type="dxa"/>
            <w:vAlign w:val="bottom"/>
            <w:vMerge w:val="continue"/>
            <w:shd w:val="clear" w:color="auto" w:fill="DEDBD3"/>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500" w:type="dxa"/>
            <w:vAlign w:val="bottom"/>
            <w:tcBorders>
              <w:right w:val="single" w:sz="8" w:color="FCFCFC"/>
            </w:tcBorders>
            <w:vMerge w:val="restart"/>
            <w:shd w:val="clear" w:color="auto" w:fill="DEDBD3"/>
          </w:tcPr>
          <w:p>
            <w:pPr>
              <w:ind w:left="20"/>
              <w:spacing w:after="0"/>
              <w:rPr>
                <w:sz w:val="20"/>
                <w:szCs w:val="20"/>
                <w:color w:val="auto"/>
              </w:rPr>
            </w:pPr>
            <w:r>
              <w:rPr>
                <w:rFonts w:ascii="Arial" w:cs="Arial" w:eastAsia="Arial" w:hAnsi="Arial"/>
                <w:sz w:val="8"/>
                <w:szCs w:val="8"/>
                <w:b w:val="1"/>
                <w:bCs w:val="1"/>
                <w:color w:val="auto"/>
              </w:rPr>
              <w:t>YEAR</w:t>
            </w:r>
          </w:p>
        </w:tc>
        <w:tc>
          <w:tcPr>
            <w:tcW w:w="860" w:type="dxa"/>
            <w:vAlign w:val="bottom"/>
            <w:gridSpan w:val="2"/>
            <w:shd w:val="clear" w:color="auto" w:fill="DEDBD3"/>
          </w:tcPr>
          <w:p>
            <w:pPr>
              <w:jc w:val="center"/>
              <w:spacing w:after="0" w:line="78" w:lineRule="exact"/>
              <w:rPr>
                <w:sz w:val="20"/>
                <w:szCs w:val="20"/>
                <w:color w:val="auto"/>
              </w:rPr>
            </w:pPr>
            <w:r>
              <w:rPr>
                <w:rFonts w:ascii="Arial" w:cs="Arial" w:eastAsia="Arial" w:hAnsi="Arial"/>
                <w:sz w:val="8"/>
                <w:szCs w:val="8"/>
                <w:b w:val="1"/>
                <w:bCs w:val="1"/>
                <w:color w:val="auto"/>
                <w:w w:val="98"/>
              </w:rPr>
              <w:t>FOR OUTGOING</w:t>
            </w:r>
          </w:p>
        </w:tc>
        <w:tc>
          <w:tcPr>
            <w:tcW w:w="880" w:type="dxa"/>
            <w:vAlign w:val="bottom"/>
            <w:gridSpan w:val="2"/>
            <w:shd w:val="clear" w:color="auto" w:fill="DEDBD3"/>
          </w:tcPr>
          <w:p>
            <w:pPr>
              <w:jc w:val="center"/>
              <w:spacing w:after="0" w:line="78" w:lineRule="exact"/>
              <w:rPr>
                <w:sz w:val="20"/>
                <w:szCs w:val="20"/>
                <w:color w:val="auto"/>
              </w:rPr>
            </w:pPr>
            <w:r>
              <w:rPr>
                <w:rFonts w:ascii="Arial" w:cs="Arial" w:eastAsia="Arial" w:hAnsi="Arial"/>
                <w:sz w:val="8"/>
                <w:szCs w:val="8"/>
                <w:b w:val="1"/>
                <w:bCs w:val="1"/>
                <w:color w:val="auto"/>
                <w:w w:val="96"/>
              </w:rPr>
              <w:t>FOR INCOMING</w:t>
            </w:r>
          </w:p>
        </w:tc>
        <w:tc>
          <w:tcPr>
            <w:tcW w:w="160" w:type="dxa"/>
            <w:vAlign w:val="bottom"/>
            <w:shd w:val="clear" w:color="auto" w:fill="DEDBD3"/>
          </w:tcPr>
          <w:p>
            <w:pPr>
              <w:spacing w:after="0"/>
              <w:rPr>
                <w:sz w:val="6"/>
                <w:szCs w:val="6"/>
                <w:color w:val="auto"/>
              </w:rPr>
            </w:pPr>
          </w:p>
        </w:tc>
        <w:tc>
          <w:tcPr>
            <w:tcW w:w="740" w:type="dxa"/>
            <w:vAlign w:val="bottom"/>
            <w:shd w:val="clear" w:color="auto" w:fill="DEDBD3"/>
          </w:tcPr>
          <w:p>
            <w:pPr>
              <w:jc w:val="center"/>
              <w:ind w:right="131"/>
              <w:spacing w:after="0" w:line="78" w:lineRule="exact"/>
              <w:rPr>
                <w:sz w:val="20"/>
                <w:szCs w:val="20"/>
                <w:color w:val="auto"/>
              </w:rPr>
            </w:pPr>
            <w:r>
              <w:rPr>
                <w:rFonts w:ascii="Arial" w:cs="Arial" w:eastAsia="Arial" w:hAnsi="Arial"/>
                <w:sz w:val="8"/>
                <w:szCs w:val="8"/>
                <w:b w:val="1"/>
                <w:bCs w:val="1"/>
                <w:color w:val="auto"/>
                <w:w w:val="98"/>
              </w:rPr>
              <w:t>TO OUTGOING</w:t>
            </w:r>
          </w:p>
        </w:tc>
        <w:tc>
          <w:tcPr>
            <w:tcW w:w="860" w:type="dxa"/>
            <w:vAlign w:val="bottom"/>
            <w:shd w:val="clear" w:color="auto" w:fill="DEDBD3"/>
          </w:tcPr>
          <w:p>
            <w:pPr>
              <w:jc w:val="center"/>
              <w:spacing w:after="0" w:line="78" w:lineRule="exact"/>
              <w:rPr>
                <w:sz w:val="20"/>
                <w:szCs w:val="20"/>
                <w:color w:val="auto"/>
              </w:rPr>
            </w:pPr>
            <w:r>
              <w:rPr>
                <w:rFonts w:ascii="Arial" w:cs="Arial" w:eastAsia="Arial" w:hAnsi="Arial"/>
                <w:sz w:val="8"/>
                <w:szCs w:val="8"/>
                <w:b w:val="1"/>
                <w:bCs w:val="1"/>
                <w:color w:val="auto"/>
                <w:w w:val="95"/>
              </w:rPr>
              <w:t>TO INCOMING</w:t>
            </w:r>
          </w:p>
        </w:tc>
        <w:tc>
          <w:tcPr>
            <w:tcW w:w="880" w:type="dxa"/>
            <w:vAlign w:val="bottom"/>
            <w:gridSpan w:val="2"/>
            <w:shd w:val="clear" w:color="auto" w:fill="DEDBD3"/>
          </w:tcPr>
          <w:p>
            <w:pPr>
              <w:jc w:val="center"/>
              <w:spacing w:after="0" w:line="78" w:lineRule="exact"/>
              <w:rPr>
                <w:sz w:val="20"/>
                <w:szCs w:val="20"/>
                <w:color w:val="auto"/>
              </w:rPr>
            </w:pPr>
            <w:r>
              <w:rPr>
                <w:rFonts w:ascii="Arial" w:cs="Arial" w:eastAsia="Arial" w:hAnsi="Arial"/>
                <w:sz w:val="8"/>
                <w:szCs w:val="8"/>
                <w:b w:val="1"/>
                <w:bCs w:val="1"/>
                <w:color w:val="auto"/>
                <w:w w:val="97"/>
              </w:rPr>
              <w:t>NON-PEO NEOs</w:t>
            </w:r>
          </w:p>
        </w:tc>
        <w:tc>
          <w:tcPr>
            <w:tcW w:w="180" w:type="dxa"/>
            <w:vAlign w:val="bottom"/>
            <w:shd w:val="clear" w:color="auto" w:fill="DEDBD3"/>
          </w:tcPr>
          <w:p>
            <w:pPr>
              <w:spacing w:after="0"/>
              <w:rPr>
                <w:sz w:val="6"/>
                <w:szCs w:val="6"/>
                <w:color w:val="auto"/>
              </w:rPr>
            </w:pPr>
          </w:p>
        </w:tc>
        <w:tc>
          <w:tcPr>
            <w:tcW w:w="720" w:type="dxa"/>
            <w:vAlign w:val="bottom"/>
            <w:shd w:val="clear" w:color="auto" w:fill="DEDBD3"/>
          </w:tcPr>
          <w:p>
            <w:pPr>
              <w:jc w:val="center"/>
              <w:ind w:right="134"/>
              <w:spacing w:after="0" w:line="78" w:lineRule="exact"/>
              <w:rPr>
                <w:sz w:val="20"/>
                <w:szCs w:val="20"/>
                <w:color w:val="auto"/>
              </w:rPr>
            </w:pPr>
            <w:r>
              <w:rPr>
                <w:rFonts w:ascii="Arial" w:cs="Arial" w:eastAsia="Arial" w:hAnsi="Arial"/>
                <w:sz w:val="8"/>
                <w:szCs w:val="8"/>
                <w:b w:val="1"/>
                <w:bCs w:val="1"/>
                <w:color w:val="auto"/>
                <w:w w:val="98"/>
              </w:rPr>
              <w:t>TO NON-PEO</w:t>
            </w:r>
          </w:p>
        </w:tc>
        <w:tc>
          <w:tcPr>
            <w:tcW w:w="860" w:type="dxa"/>
            <w:vAlign w:val="bottom"/>
            <w:gridSpan w:val="2"/>
            <w:shd w:val="clear" w:color="auto" w:fill="DEDBD3"/>
          </w:tcPr>
          <w:p>
            <w:pPr>
              <w:jc w:val="center"/>
              <w:spacing w:after="0" w:line="78" w:lineRule="exact"/>
              <w:rPr>
                <w:sz w:val="20"/>
                <w:szCs w:val="20"/>
                <w:color w:val="auto"/>
              </w:rPr>
            </w:pPr>
            <w:r>
              <w:rPr>
                <w:rFonts w:ascii="Arial" w:cs="Arial" w:eastAsia="Arial" w:hAnsi="Arial"/>
                <w:sz w:val="8"/>
                <w:szCs w:val="8"/>
                <w:b w:val="1"/>
                <w:bCs w:val="1"/>
                <w:color w:val="auto"/>
                <w:w w:val="97"/>
              </w:rPr>
              <w:t>SHAREHOLDER</w:t>
            </w:r>
          </w:p>
        </w:tc>
        <w:tc>
          <w:tcPr>
            <w:tcW w:w="820" w:type="dxa"/>
            <w:vAlign w:val="bottom"/>
            <w:gridSpan w:val="2"/>
            <w:shd w:val="clear" w:color="auto" w:fill="DEDBD3"/>
          </w:tcPr>
          <w:p>
            <w:pPr>
              <w:jc w:val="center"/>
              <w:spacing w:after="0" w:line="78" w:lineRule="exact"/>
              <w:rPr>
                <w:sz w:val="20"/>
                <w:szCs w:val="20"/>
                <w:color w:val="auto"/>
              </w:rPr>
            </w:pPr>
            <w:r>
              <w:rPr>
                <w:rFonts w:ascii="Arial" w:cs="Arial" w:eastAsia="Arial" w:hAnsi="Arial"/>
                <w:sz w:val="8"/>
                <w:szCs w:val="8"/>
                <w:b w:val="1"/>
                <w:bCs w:val="1"/>
                <w:color w:val="auto"/>
                <w:w w:val="97"/>
              </w:rPr>
              <w:t>SHAREHOLDER</w:t>
            </w:r>
          </w:p>
        </w:tc>
        <w:tc>
          <w:tcPr>
            <w:tcW w:w="160" w:type="dxa"/>
            <w:vAlign w:val="bottom"/>
            <w:shd w:val="clear" w:color="auto" w:fill="DEDBD3"/>
          </w:tcPr>
          <w:p>
            <w:pPr>
              <w:spacing w:after="0"/>
              <w:rPr>
                <w:sz w:val="6"/>
                <w:szCs w:val="6"/>
                <w:color w:val="auto"/>
              </w:rPr>
            </w:pPr>
          </w:p>
        </w:tc>
        <w:tc>
          <w:tcPr>
            <w:tcW w:w="900" w:type="dxa"/>
            <w:vAlign w:val="bottom"/>
            <w:vMerge w:val="restart"/>
            <w:shd w:val="clear" w:color="auto" w:fill="DEDBD3"/>
          </w:tcPr>
          <w:p>
            <w:pPr>
              <w:jc w:val="right"/>
              <w:ind w:right="191"/>
              <w:spacing w:after="0"/>
              <w:rPr>
                <w:sz w:val="20"/>
                <w:szCs w:val="20"/>
                <w:color w:val="auto"/>
              </w:rPr>
            </w:pPr>
            <w:r>
              <w:rPr>
                <w:rFonts w:ascii="Arial" w:cs="Arial" w:eastAsia="Arial" w:hAnsi="Arial"/>
                <w:sz w:val="8"/>
                <w:szCs w:val="8"/>
                <w:b w:val="1"/>
                <w:bCs w:val="1"/>
                <w:color w:val="auto"/>
                <w:w w:val="95"/>
              </w:rPr>
              <w:t>NET INCOME (10)</w:t>
            </w:r>
          </w:p>
        </w:tc>
        <w:tc>
          <w:tcPr>
            <w:tcW w:w="220" w:type="dxa"/>
            <w:vAlign w:val="bottom"/>
            <w:shd w:val="clear" w:color="auto" w:fill="DEDBD3"/>
          </w:tcPr>
          <w:p>
            <w:pPr>
              <w:spacing w:after="0"/>
              <w:rPr>
                <w:sz w:val="6"/>
                <w:szCs w:val="6"/>
                <w:color w:val="auto"/>
              </w:rPr>
            </w:pPr>
          </w:p>
        </w:tc>
        <w:tc>
          <w:tcPr>
            <w:tcW w:w="880" w:type="dxa"/>
            <w:vAlign w:val="bottom"/>
            <w:shd w:val="clear" w:color="auto" w:fill="DEDBD3"/>
          </w:tcPr>
          <w:p>
            <w:pPr>
              <w:jc w:val="center"/>
              <w:ind w:right="274"/>
              <w:spacing w:after="0" w:line="78" w:lineRule="exact"/>
              <w:rPr>
                <w:sz w:val="20"/>
                <w:szCs w:val="20"/>
                <w:color w:val="auto"/>
              </w:rPr>
            </w:pPr>
            <w:r>
              <w:rPr>
                <w:rFonts w:ascii="Arial" w:cs="Arial" w:eastAsia="Arial" w:hAnsi="Arial"/>
                <w:sz w:val="8"/>
                <w:szCs w:val="8"/>
                <w:b w:val="1"/>
                <w:bCs w:val="1"/>
                <w:color w:val="auto"/>
                <w:w w:val="99"/>
              </w:rPr>
              <w:t>PROPERTY</w:t>
            </w:r>
          </w:p>
        </w:tc>
        <w:tc>
          <w:tcPr>
            <w:tcW w:w="0" w:type="dxa"/>
            <w:vAlign w:val="bottom"/>
          </w:tcPr>
          <w:p>
            <w:pPr>
              <w:spacing w:after="0"/>
              <w:rPr>
                <w:sz w:val="1"/>
                <w:szCs w:val="1"/>
                <w:color w:val="auto"/>
              </w:rPr>
            </w:pPr>
          </w:p>
        </w:tc>
      </w:tr>
      <w:tr>
        <w:trPr>
          <w:trHeight w:val="143"/>
        </w:trPr>
        <w:tc>
          <w:tcPr>
            <w:tcW w:w="1500" w:type="dxa"/>
            <w:vAlign w:val="bottom"/>
            <w:tcBorders>
              <w:bottom w:val="single" w:sz="8" w:color="DEDBD3"/>
              <w:right w:val="single" w:sz="8" w:color="FCFCFC"/>
            </w:tcBorders>
            <w:vMerge w:val="continue"/>
            <w:shd w:val="clear" w:color="auto" w:fill="DEDBD3"/>
          </w:tcPr>
          <w:p>
            <w:pPr>
              <w:spacing w:after="0"/>
              <w:rPr>
                <w:sz w:val="12"/>
                <w:szCs w:val="12"/>
                <w:color w:val="auto"/>
              </w:rPr>
            </w:pPr>
          </w:p>
        </w:tc>
        <w:tc>
          <w:tcPr>
            <w:tcW w:w="140" w:type="dxa"/>
            <w:vAlign w:val="bottom"/>
            <w:tcBorders>
              <w:bottom w:val="single" w:sz="8" w:color="DEDBD3"/>
            </w:tcBorders>
            <w:shd w:val="clear" w:color="auto" w:fill="DEDBD3"/>
          </w:tcPr>
          <w:p>
            <w:pPr>
              <w:spacing w:after="0"/>
              <w:rPr>
                <w:sz w:val="12"/>
                <w:szCs w:val="12"/>
                <w:color w:val="auto"/>
              </w:rPr>
            </w:pPr>
          </w:p>
        </w:tc>
        <w:tc>
          <w:tcPr>
            <w:tcW w:w="720" w:type="dxa"/>
            <w:vAlign w:val="bottom"/>
            <w:tcBorders>
              <w:bottom w:val="single" w:sz="8" w:color="DEDBD3"/>
            </w:tcBorders>
            <w:shd w:val="clear" w:color="auto" w:fill="DEDBD3"/>
          </w:tcPr>
          <w:p>
            <w:pPr>
              <w:jc w:val="center"/>
              <w:ind w:right="134"/>
              <w:spacing w:after="0"/>
              <w:rPr>
                <w:sz w:val="20"/>
                <w:szCs w:val="20"/>
                <w:color w:val="auto"/>
              </w:rPr>
            </w:pPr>
            <w:r>
              <w:rPr>
                <w:rFonts w:ascii="Arial" w:cs="Arial" w:eastAsia="Arial" w:hAnsi="Arial"/>
                <w:sz w:val="8"/>
                <w:szCs w:val="8"/>
                <w:b w:val="1"/>
                <w:bCs w:val="1"/>
                <w:color w:val="auto"/>
                <w:w w:val="98"/>
              </w:rPr>
              <w:t>PEO (1)(2)</w:t>
            </w:r>
          </w:p>
        </w:tc>
        <w:tc>
          <w:tcPr>
            <w:tcW w:w="160" w:type="dxa"/>
            <w:vAlign w:val="bottom"/>
            <w:tcBorders>
              <w:bottom w:val="single" w:sz="8" w:color="DEDBD3"/>
            </w:tcBorders>
            <w:shd w:val="clear" w:color="auto" w:fill="DEDBD3"/>
          </w:tcPr>
          <w:p>
            <w:pPr>
              <w:spacing w:after="0"/>
              <w:rPr>
                <w:sz w:val="12"/>
                <w:szCs w:val="12"/>
                <w:color w:val="auto"/>
              </w:rPr>
            </w:pPr>
          </w:p>
        </w:tc>
        <w:tc>
          <w:tcPr>
            <w:tcW w:w="720" w:type="dxa"/>
            <w:vAlign w:val="bottom"/>
            <w:tcBorders>
              <w:bottom w:val="single" w:sz="8" w:color="DEDBD3"/>
            </w:tcBorders>
            <w:shd w:val="clear" w:color="auto" w:fill="DEDBD3"/>
          </w:tcPr>
          <w:p>
            <w:pPr>
              <w:jc w:val="center"/>
              <w:ind w:right="114"/>
              <w:spacing w:after="0"/>
              <w:rPr>
                <w:sz w:val="20"/>
                <w:szCs w:val="20"/>
                <w:color w:val="auto"/>
              </w:rPr>
            </w:pPr>
            <w:r>
              <w:rPr>
                <w:rFonts w:ascii="Arial" w:cs="Arial" w:eastAsia="Arial" w:hAnsi="Arial"/>
                <w:sz w:val="8"/>
                <w:szCs w:val="8"/>
                <w:b w:val="1"/>
                <w:bCs w:val="1"/>
                <w:color w:val="auto"/>
                <w:w w:val="96"/>
              </w:rPr>
              <w:t>PEO (3)</w:t>
            </w:r>
          </w:p>
        </w:tc>
        <w:tc>
          <w:tcPr>
            <w:tcW w:w="900" w:type="dxa"/>
            <w:vAlign w:val="bottom"/>
            <w:tcBorders>
              <w:bottom w:val="single" w:sz="8" w:color="DEDBD3"/>
            </w:tcBorders>
            <w:gridSpan w:val="2"/>
            <w:shd w:val="clear" w:color="auto" w:fill="DEDBD3"/>
          </w:tcPr>
          <w:p>
            <w:pPr>
              <w:jc w:val="center"/>
              <w:spacing w:after="0"/>
              <w:rPr>
                <w:sz w:val="20"/>
                <w:szCs w:val="20"/>
                <w:color w:val="auto"/>
              </w:rPr>
            </w:pPr>
            <w:r>
              <w:rPr>
                <w:rFonts w:ascii="Arial" w:cs="Arial" w:eastAsia="Arial" w:hAnsi="Arial"/>
                <w:sz w:val="8"/>
                <w:szCs w:val="8"/>
                <w:b w:val="1"/>
                <w:bCs w:val="1"/>
                <w:color w:val="auto"/>
                <w:w w:val="96"/>
              </w:rPr>
              <w:t>PEO (1)(2)(5)(7)</w:t>
            </w:r>
          </w:p>
        </w:tc>
        <w:tc>
          <w:tcPr>
            <w:tcW w:w="860" w:type="dxa"/>
            <w:vAlign w:val="bottom"/>
            <w:tcBorders>
              <w:bottom w:val="single" w:sz="8" w:color="DEDBD3"/>
            </w:tcBorders>
            <w:shd w:val="clear" w:color="auto" w:fill="DEDBD3"/>
          </w:tcPr>
          <w:p>
            <w:pPr>
              <w:jc w:val="center"/>
              <w:spacing w:after="0"/>
              <w:rPr>
                <w:sz w:val="20"/>
                <w:szCs w:val="20"/>
                <w:color w:val="auto"/>
              </w:rPr>
            </w:pPr>
            <w:r>
              <w:rPr>
                <w:rFonts w:ascii="Arial" w:cs="Arial" w:eastAsia="Arial" w:hAnsi="Arial"/>
                <w:sz w:val="8"/>
                <w:szCs w:val="8"/>
                <w:b w:val="1"/>
                <w:bCs w:val="1"/>
                <w:color w:val="auto"/>
                <w:w w:val="98"/>
              </w:rPr>
              <w:t>PEO (3)(5)(8)</w:t>
            </w:r>
          </w:p>
        </w:tc>
        <w:tc>
          <w:tcPr>
            <w:tcW w:w="180" w:type="dxa"/>
            <w:vAlign w:val="bottom"/>
            <w:tcBorders>
              <w:bottom w:val="single" w:sz="8" w:color="DEDBD3"/>
            </w:tcBorders>
            <w:shd w:val="clear" w:color="auto" w:fill="DEDBD3"/>
          </w:tcPr>
          <w:p>
            <w:pPr>
              <w:spacing w:after="0"/>
              <w:rPr>
                <w:sz w:val="12"/>
                <w:szCs w:val="12"/>
                <w:color w:val="auto"/>
              </w:rPr>
            </w:pPr>
          </w:p>
        </w:tc>
        <w:tc>
          <w:tcPr>
            <w:tcW w:w="700" w:type="dxa"/>
            <w:vAlign w:val="bottom"/>
            <w:tcBorders>
              <w:bottom w:val="single" w:sz="8" w:color="DEDBD3"/>
            </w:tcBorders>
            <w:shd w:val="clear" w:color="auto" w:fill="DEDBD3"/>
          </w:tcPr>
          <w:p>
            <w:pPr>
              <w:jc w:val="center"/>
              <w:ind w:right="116"/>
              <w:spacing w:after="0"/>
              <w:rPr>
                <w:sz w:val="20"/>
                <w:szCs w:val="20"/>
                <w:color w:val="auto"/>
              </w:rPr>
            </w:pPr>
            <w:r>
              <w:rPr>
                <w:rFonts w:ascii="Arial" w:cs="Arial" w:eastAsia="Arial" w:hAnsi="Arial"/>
                <w:sz w:val="8"/>
                <w:szCs w:val="8"/>
                <w:b w:val="1"/>
                <w:bCs w:val="1"/>
                <w:color w:val="auto"/>
              </w:rPr>
              <w:t>(4)</w:t>
            </w:r>
          </w:p>
        </w:tc>
        <w:tc>
          <w:tcPr>
            <w:tcW w:w="180" w:type="dxa"/>
            <w:vAlign w:val="bottom"/>
            <w:tcBorders>
              <w:bottom w:val="single" w:sz="8" w:color="DEDBD3"/>
            </w:tcBorders>
            <w:shd w:val="clear" w:color="auto" w:fill="DEDBD3"/>
          </w:tcPr>
          <w:p>
            <w:pPr>
              <w:spacing w:after="0"/>
              <w:rPr>
                <w:sz w:val="12"/>
                <w:szCs w:val="12"/>
                <w:color w:val="auto"/>
              </w:rPr>
            </w:pPr>
          </w:p>
        </w:tc>
        <w:tc>
          <w:tcPr>
            <w:tcW w:w="720" w:type="dxa"/>
            <w:vAlign w:val="bottom"/>
            <w:tcBorders>
              <w:bottom w:val="single" w:sz="8" w:color="DEDBD3"/>
            </w:tcBorders>
            <w:shd w:val="clear" w:color="auto" w:fill="DEDBD3"/>
          </w:tcPr>
          <w:p>
            <w:pPr>
              <w:jc w:val="center"/>
              <w:ind w:right="114"/>
              <w:spacing w:after="0"/>
              <w:rPr>
                <w:sz w:val="20"/>
                <w:szCs w:val="20"/>
                <w:color w:val="auto"/>
              </w:rPr>
            </w:pPr>
            <w:r>
              <w:rPr>
                <w:rFonts w:ascii="Arial" w:cs="Arial" w:eastAsia="Arial" w:hAnsi="Arial"/>
                <w:sz w:val="8"/>
                <w:szCs w:val="8"/>
                <w:b w:val="1"/>
                <w:bCs w:val="1"/>
                <w:color w:val="auto"/>
                <w:w w:val="97"/>
              </w:rPr>
              <w:t>NEOs (4)(5)(9)</w:t>
            </w:r>
          </w:p>
        </w:tc>
        <w:tc>
          <w:tcPr>
            <w:tcW w:w="180" w:type="dxa"/>
            <w:vAlign w:val="bottom"/>
            <w:tcBorders>
              <w:bottom w:val="single" w:sz="8" w:color="DEDBD3"/>
            </w:tcBorders>
            <w:shd w:val="clear" w:color="auto" w:fill="DEDBD3"/>
          </w:tcPr>
          <w:p>
            <w:pPr>
              <w:spacing w:after="0"/>
              <w:rPr>
                <w:sz w:val="12"/>
                <w:szCs w:val="12"/>
                <w:color w:val="auto"/>
              </w:rPr>
            </w:pPr>
          </w:p>
        </w:tc>
        <w:tc>
          <w:tcPr>
            <w:tcW w:w="680" w:type="dxa"/>
            <w:vAlign w:val="bottom"/>
            <w:tcBorders>
              <w:bottom w:val="single" w:sz="8" w:color="DEDBD3"/>
            </w:tcBorders>
            <w:shd w:val="clear" w:color="auto" w:fill="DEDBD3"/>
          </w:tcPr>
          <w:p>
            <w:pPr>
              <w:jc w:val="center"/>
              <w:ind w:right="155"/>
              <w:spacing w:after="0"/>
              <w:rPr>
                <w:sz w:val="20"/>
                <w:szCs w:val="20"/>
                <w:color w:val="auto"/>
              </w:rPr>
            </w:pPr>
            <w:r>
              <w:rPr>
                <w:rFonts w:ascii="Arial" w:cs="Arial" w:eastAsia="Arial" w:hAnsi="Arial"/>
                <w:sz w:val="8"/>
                <w:szCs w:val="8"/>
                <w:b w:val="1"/>
                <w:bCs w:val="1"/>
                <w:color w:val="auto"/>
                <w:w w:val="96"/>
              </w:rPr>
              <w:t>RETURN (6)</w:t>
            </w:r>
          </w:p>
        </w:tc>
        <w:tc>
          <w:tcPr>
            <w:tcW w:w="160" w:type="dxa"/>
            <w:vAlign w:val="bottom"/>
            <w:tcBorders>
              <w:bottom w:val="single" w:sz="8" w:color="DEDBD3"/>
            </w:tcBorders>
            <w:shd w:val="clear" w:color="auto" w:fill="DEDBD3"/>
          </w:tcPr>
          <w:p>
            <w:pPr>
              <w:spacing w:after="0"/>
              <w:rPr>
                <w:sz w:val="12"/>
                <w:szCs w:val="12"/>
                <w:color w:val="auto"/>
              </w:rPr>
            </w:pPr>
          </w:p>
        </w:tc>
        <w:tc>
          <w:tcPr>
            <w:tcW w:w="660" w:type="dxa"/>
            <w:vAlign w:val="bottom"/>
            <w:tcBorders>
              <w:bottom w:val="single" w:sz="8" w:color="DEDBD3"/>
            </w:tcBorders>
            <w:shd w:val="clear" w:color="auto" w:fill="DEDBD3"/>
          </w:tcPr>
          <w:p>
            <w:pPr>
              <w:jc w:val="center"/>
              <w:ind w:right="94"/>
              <w:spacing w:after="0"/>
              <w:rPr>
                <w:sz w:val="20"/>
                <w:szCs w:val="20"/>
                <w:color w:val="auto"/>
              </w:rPr>
            </w:pPr>
            <w:r>
              <w:rPr>
                <w:rFonts w:ascii="Arial" w:cs="Arial" w:eastAsia="Arial" w:hAnsi="Arial"/>
                <w:sz w:val="8"/>
                <w:szCs w:val="8"/>
                <w:b w:val="1"/>
                <w:bCs w:val="1"/>
                <w:color w:val="auto"/>
                <w:w w:val="96"/>
              </w:rPr>
              <w:t>RETURN (6)</w:t>
            </w:r>
          </w:p>
        </w:tc>
        <w:tc>
          <w:tcPr>
            <w:tcW w:w="160" w:type="dxa"/>
            <w:vAlign w:val="bottom"/>
            <w:tcBorders>
              <w:bottom w:val="single" w:sz="8" w:color="DEDBD3"/>
            </w:tcBorders>
            <w:shd w:val="clear" w:color="auto" w:fill="DEDBD3"/>
          </w:tcPr>
          <w:p>
            <w:pPr>
              <w:spacing w:after="0"/>
              <w:rPr>
                <w:sz w:val="12"/>
                <w:szCs w:val="12"/>
                <w:color w:val="auto"/>
              </w:rPr>
            </w:pPr>
          </w:p>
        </w:tc>
        <w:tc>
          <w:tcPr>
            <w:tcW w:w="900" w:type="dxa"/>
            <w:vAlign w:val="bottom"/>
            <w:tcBorders>
              <w:bottom w:val="single" w:sz="8" w:color="DEDBD3"/>
            </w:tcBorders>
            <w:vMerge w:val="continue"/>
            <w:shd w:val="clear" w:color="auto" w:fill="DEDBD3"/>
          </w:tcPr>
          <w:p>
            <w:pPr>
              <w:spacing w:after="0"/>
              <w:rPr>
                <w:sz w:val="12"/>
                <w:szCs w:val="12"/>
                <w:color w:val="auto"/>
              </w:rPr>
            </w:pPr>
          </w:p>
        </w:tc>
        <w:tc>
          <w:tcPr>
            <w:tcW w:w="220" w:type="dxa"/>
            <w:vAlign w:val="bottom"/>
            <w:tcBorders>
              <w:bottom w:val="single" w:sz="8" w:color="DEDBD3"/>
            </w:tcBorders>
            <w:shd w:val="clear" w:color="auto" w:fill="DEDBD3"/>
          </w:tcPr>
          <w:p>
            <w:pPr>
              <w:spacing w:after="0"/>
              <w:rPr>
                <w:sz w:val="12"/>
                <w:szCs w:val="12"/>
                <w:color w:val="auto"/>
              </w:rPr>
            </w:pPr>
          </w:p>
        </w:tc>
        <w:tc>
          <w:tcPr>
            <w:tcW w:w="880" w:type="dxa"/>
            <w:vAlign w:val="bottom"/>
            <w:tcBorders>
              <w:bottom w:val="single" w:sz="8" w:color="DEDBD3"/>
            </w:tcBorders>
            <w:shd w:val="clear" w:color="auto" w:fill="DEDBD3"/>
          </w:tcPr>
          <w:p>
            <w:pPr>
              <w:jc w:val="center"/>
              <w:ind w:right="274"/>
              <w:spacing w:after="0"/>
              <w:rPr>
                <w:sz w:val="20"/>
                <w:szCs w:val="20"/>
                <w:color w:val="auto"/>
              </w:rPr>
            </w:pPr>
            <w:r>
              <w:rPr>
                <w:rFonts w:ascii="Arial" w:cs="Arial" w:eastAsia="Arial" w:hAnsi="Arial"/>
                <w:sz w:val="8"/>
                <w:szCs w:val="8"/>
                <w:b w:val="1"/>
                <w:bCs w:val="1"/>
                <w:color w:val="auto"/>
                <w:w w:val="99"/>
              </w:rPr>
              <w:t>EBITDAR (11)</w:t>
            </w:r>
          </w:p>
        </w:tc>
        <w:tc>
          <w:tcPr>
            <w:tcW w:w="0" w:type="dxa"/>
            <w:vAlign w:val="bottom"/>
          </w:tcPr>
          <w:p>
            <w:pPr>
              <w:spacing w:after="0"/>
              <w:rPr>
                <w:sz w:val="1"/>
                <w:szCs w:val="1"/>
                <w:color w:val="auto"/>
              </w:rPr>
            </w:pPr>
          </w:p>
        </w:tc>
      </w:tr>
      <w:tr>
        <w:trPr>
          <w:trHeight w:val="166"/>
        </w:trPr>
        <w:tc>
          <w:tcPr>
            <w:tcW w:w="1500" w:type="dxa"/>
            <w:vAlign w:val="bottom"/>
            <w:tcBorders>
              <w:top w:val="single" w:sz="8" w:color="FDF9F2"/>
              <w:right w:val="single" w:sz="8" w:color="FDF9F2"/>
            </w:tcBorders>
            <w:shd w:val="clear" w:color="auto" w:fill="FDF9F2"/>
          </w:tcPr>
          <w:p>
            <w:pPr>
              <w:ind w:left="20"/>
              <w:spacing w:after="0"/>
              <w:rPr>
                <w:sz w:val="20"/>
                <w:szCs w:val="20"/>
                <w:color w:val="auto"/>
              </w:rPr>
            </w:pPr>
            <w:r>
              <w:rPr>
                <w:rFonts w:ascii="Arial" w:cs="Arial" w:eastAsia="Arial" w:hAnsi="Arial"/>
                <w:sz w:val="10"/>
                <w:szCs w:val="10"/>
                <w:color w:val="auto"/>
              </w:rPr>
              <w:t>2022</w:t>
            </w:r>
          </w:p>
        </w:tc>
        <w:tc>
          <w:tcPr>
            <w:tcW w:w="140" w:type="dxa"/>
            <w:vAlign w:val="bottom"/>
            <w:tcBorders>
              <w:top w:val="single" w:sz="8" w:color="FDF9F2"/>
            </w:tcBorders>
            <w:shd w:val="clear" w:color="auto" w:fill="FDF9F2"/>
          </w:tcPr>
          <w:p>
            <w:pPr>
              <w:jc w:val="right"/>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FDF9F2"/>
            </w:tcBorders>
            <w:shd w:val="clear" w:color="auto" w:fill="FDF9F2"/>
          </w:tcPr>
          <w:p>
            <w:pPr>
              <w:jc w:val="right"/>
              <w:ind w:right="74"/>
              <w:spacing w:after="0"/>
              <w:rPr>
                <w:sz w:val="20"/>
                <w:szCs w:val="20"/>
                <w:color w:val="auto"/>
              </w:rPr>
            </w:pPr>
            <w:r>
              <w:rPr>
                <w:rFonts w:ascii="Arial" w:cs="Arial" w:eastAsia="Arial" w:hAnsi="Arial"/>
                <w:sz w:val="10"/>
                <w:szCs w:val="10"/>
                <w:color w:val="auto"/>
              </w:rPr>
              <w:t>7,830,157</w:t>
            </w:r>
          </w:p>
        </w:tc>
        <w:tc>
          <w:tcPr>
            <w:tcW w:w="160" w:type="dxa"/>
            <w:vAlign w:val="bottom"/>
            <w:tcBorders>
              <w:top w:val="single" w:sz="8" w:color="FDF9F2"/>
            </w:tcBorders>
            <w:shd w:val="clear" w:color="auto" w:fill="FDF9F2"/>
          </w:tcPr>
          <w:p>
            <w:pPr>
              <w:jc w:val="right"/>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FDF9F2"/>
            </w:tcBorders>
            <w:shd w:val="clear" w:color="auto" w:fill="FDF9F2"/>
          </w:tcPr>
          <w:p>
            <w:pPr>
              <w:jc w:val="right"/>
              <w:ind w:right="54"/>
              <w:spacing w:after="0"/>
              <w:rPr>
                <w:sz w:val="20"/>
                <w:szCs w:val="20"/>
                <w:color w:val="auto"/>
              </w:rPr>
            </w:pPr>
            <w:r>
              <w:rPr>
                <w:rFonts w:ascii="Arial" w:cs="Arial" w:eastAsia="Arial" w:hAnsi="Arial"/>
                <w:sz w:val="10"/>
                <w:szCs w:val="10"/>
                <w:color w:val="auto"/>
              </w:rPr>
              <w:t>12,229,087</w:t>
            </w:r>
          </w:p>
        </w:tc>
        <w:tc>
          <w:tcPr>
            <w:tcW w:w="160" w:type="dxa"/>
            <w:vAlign w:val="bottom"/>
            <w:tcBorders>
              <w:top w:val="single" w:sz="8" w:color="FDF9F2"/>
            </w:tcBorders>
            <w:shd w:val="clear" w:color="auto" w:fill="FDF9F2"/>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top w:val="single" w:sz="8" w:color="FDF9F2"/>
            </w:tcBorders>
            <w:shd w:val="clear" w:color="auto" w:fill="FDF9F2"/>
          </w:tcPr>
          <w:p>
            <w:pPr>
              <w:jc w:val="right"/>
              <w:ind w:right="31"/>
              <w:spacing w:after="0"/>
              <w:rPr>
                <w:sz w:val="20"/>
                <w:szCs w:val="20"/>
                <w:color w:val="auto"/>
              </w:rPr>
            </w:pPr>
            <w:r>
              <w:rPr>
                <w:rFonts w:ascii="Arial" w:cs="Arial" w:eastAsia="Arial" w:hAnsi="Arial"/>
                <w:sz w:val="10"/>
                <w:szCs w:val="10"/>
                <w:color w:val="auto"/>
              </w:rPr>
              <w:t>(698,593)</w:t>
            </w:r>
          </w:p>
        </w:tc>
        <w:tc>
          <w:tcPr>
            <w:tcW w:w="860" w:type="dxa"/>
            <w:vAlign w:val="bottom"/>
            <w:tcBorders>
              <w:top w:val="single" w:sz="8" w:color="FDF9F2"/>
            </w:tcBorders>
            <w:shd w:val="clear" w:color="auto" w:fill="FDF9F2"/>
          </w:tcPr>
          <w:p>
            <w:pPr>
              <w:jc w:val="right"/>
              <w:ind w:right="55"/>
              <w:spacing w:after="0"/>
              <w:rPr>
                <w:sz w:val="20"/>
                <w:szCs w:val="20"/>
                <w:color w:val="auto"/>
              </w:rPr>
            </w:pPr>
            <w:r>
              <w:rPr>
                <w:rFonts w:ascii="Arial" w:cs="Arial" w:eastAsia="Arial" w:hAnsi="Arial"/>
                <w:sz w:val="10"/>
                <w:szCs w:val="10"/>
                <w:color w:val="auto"/>
              </w:rPr>
              <w:t>$   6,644,349</w:t>
            </w:r>
          </w:p>
        </w:tc>
        <w:tc>
          <w:tcPr>
            <w:tcW w:w="180" w:type="dxa"/>
            <w:vAlign w:val="bottom"/>
            <w:tcBorders>
              <w:top w:val="single" w:sz="8" w:color="FDF9F2"/>
            </w:tcBorders>
            <w:shd w:val="clear" w:color="auto" w:fill="FDF9F2"/>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FDF9F2"/>
            </w:tcBorders>
            <w:shd w:val="clear" w:color="auto" w:fill="FDF9F2"/>
          </w:tcPr>
          <w:p>
            <w:pPr>
              <w:jc w:val="right"/>
              <w:ind w:right="56"/>
              <w:spacing w:after="0"/>
              <w:rPr>
                <w:sz w:val="20"/>
                <w:szCs w:val="20"/>
                <w:color w:val="auto"/>
              </w:rPr>
            </w:pPr>
            <w:r>
              <w:rPr>
                <w:rFonts w:ascii="Arial" w:cs="Arial" w:eastAsia="Arial" w:hAnsi="Arial"/>
                <w:sz w:val="10"/>
                <w:szCs w:val="10"/>
                <w:color w:val="auto"/>
              </w:rPr>
              <w:t>5,265,417</w:t>
            </w:r>
          </w:p>
        </w:tc>
        <w:tc>
          <w:tcPr>
            <w:tcW w:w="180" w:type="dxa"/>
            <w:vAlign w:val="bottom"/>
            <w:tcBorders>
              <w:top w:val="single" w:sz="8" w:color="FDF9F2"/>
            </w:tcBorders>
            <w:shd w:val="clear" w:color="auto" w:fill="FDF9F2"/>
          </w:tcPr>
          <w:p>
            <w:pPr>
              <w:jc w:val="right"/>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FDF9F2"/>
            </w:tcBorders>
            <w:shd w:val="clear" w:color="auto" w:fill="FDF9F2"/>
          </w:tcPr>
          <w:p>
            <w:pPr>
              <w:jc w:val="right"/>
              <w:ind w:right="54"/>
              <w:spacing w:after="0"/>
              <w:rPr>
                <w:sz w:val="20"/>
                <w:szCs w:val="20"/>
                <w:color w:val="auto"/>
              </w:rPr>
            </w:pPr>
            <w:r>
              <w:rPr>
                <w:rFonts w:ascii="Arial" w:cs="Arial" w:eastAsia="Arial" w:hAnsi="Arial"/>
                <w:sz w:val="10"/>
                <w:szCs w:val="10"/>
                <w:color w:val="auto"/>
              </w:rPr>
              <w:t>5,161,405</w:t>
            </w:r>
          </w:p>
        </w:tc>
        <w:tc>
          <w:tcPr>
            <w:tcW w:w="180" w:type="dxa"/>
            <w:vAlign w:val="bottom"/>
            <w:tcBorders>
              <w:top w:val="single" w:sz="8" w:color="FDF9F2"/>
            </w:tcBorders>
            <w:shd w:val="clear" w:color="auto" w:fill="FDF9F2"/>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top w:val="single" w:sz="8" w:color="FDF9F2"/>
            </w:tcBorders>
            <w:shd w:val="clear" w:color="auto" w:fill="FDF9F2"/>
          </w:tcPr>
          <w:p>
            <w:pPr>
              <w:jc w:val="right"/>
              <w:ind w:right="75"/>
              <w:spacing w:after="0"/>
              <w:rPr>
                <w:sz w:val="20"/>
                <w:szCs w:val="20"/>
                <w:color w:val="auto"/>
              </w:rPr>
            </w:pPr>
            <w:r>
              <w:rPr>
                <w:rFonts w:ascii="Arial" w:cs="Arial" w:eastAsia="Arial" w:hAnsi="Arial"/>
                <w:sz w:val="10"/>
                <w:szCs w:val="10"/>
                <w:color w:val="auto"/>
              </w:rPr>
              <w:t>59.91</w:t>
            </w:r>
          </w:p>
        </w:tc>
        <w:tc>
          <w:tcPr>
            <w:tcW w:w="160" w:type="dxa"/>
            <w:vAlign w:val="bottom"/>
            <w:tcBorders>
              <w:top w:val="single" w:sz="8" w:color="FDF9F2"/>
            </w:tcBorders>
            <w:shd w:val="clear" w:color="auto" w:fill="FDF9F2"/>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top w:val="single" w:sz="8" w:color="FDF9F2"/>
            </w:tcBorders>
            <w:shd w:val="clear" w:color="auto" w:fill="FDF9F2"/>
          </w:tcPr>
          <w:p>
            <w:pPr>
              <w:jc w:val="right"/>
              <w:ind w:right="34"/>
              <w:spacing w:after="0"/>
              <w:rPr>
                <w:sz w:val="20"/>
                <w:szCs w:val="20"/>
                <w:color w:val="auto"/>
              </w:rPr>
            </w:pPr>
            <w:r>
              <w:rPr>
                <w:rFonts w:ascii="Arial" w:cs="Arial" w:eastAsia="Arial" w:hAnsi="Arial"/>
                <w:sz w:val="10"/>
                <w:szCs w:val="10"/>
                <w:color w:val="auto"/>
              </w:rPr>
              <w:t>58.28</w:t>
            </w:r>
          </w:p>
        </w:tc>
        <w:tc>
          <w:tcPr>
            <w:tcW w:w="160" w:type="dxa"/>
            <w:vAlign w:val="bottom"/>
            <w:tcBorders>
              <w:top w:val="single" w:sz="8" w:color="FDF9F2"/>
            </w:tcBorders>
            <w:shd w:val="clear" w:color="auto" w:fill="FDF9F2"/>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FDF9F2"/>
            </w:tcBorders>
            <w:shd w:val="clear" w:color="auto" w:fill="FDF9F2"/>
          </w:tcPr>
          <w:p>
            <w:pPr>
              <w:jc w:val="right"/>
              <w:ind w:right="51"/>
              <w:spacing w:after="0"/>
              <w:rPr>
                <w:sz w:val="20"/>
                <w:szCs w:val="20"/>
                <w:color w:val="auto"/>
              </w:rPr>
            </w:pPr>
            <w:r>
              <w:rPr>
                <w:rFonts w:ascii="Arial" w:cs="Arial" w:eastAsia="Arial" w:hAnsi="Arial"/>
                <w:sz w:val="10"/>
                <w:szCs w:val="10"/>
                <w:color w:val="auto"/>
              </w:rPr>
              <w:t>(423,856,000)</w:t>
            </w:r>
          </w:p>
        </w:tc>
        <w:tc>
          <w:tcPr>
            <w:tcW w:w="220" w:type="dxa"/>
            <w:vAlign w:val="bottom"/>
            <w:tcBorders>
              <w:top w:val="single" w:sz="8" w:color="FDF9F2"/>
            </w:tcBorders>
            <w:shd w:val="clear" w:color="auto" w:fill="FDF9F2"/>
          </w:tcPr>
          <w:p>
            <w:pPr>
              <w:jc w:val="right"/>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FDF9F2"/>
            </w:tcBorders>
            <w:shd w:val="clear" w:color="auto" w:fill="FDF9F2"/>
          </w:tcPr>
          <w:p>
            <w:pPr>
              <w:jc w:val="right"/>
              <w:ind w:right="174"/>
              <w:spacing w:after="0"/>
              <w:rPr>
                <w:sz w:val="20"/>
                <w:szCs w:val="20"/>
                <w:color w:val="auto"/>
              </w:rPr>
            </w:pPr>
            <w:r>
              <w:rPr>
                <w:rFonts w:ascii="Arial" w:cs="Arial" w:eastAsia="Arial" w:hAnsi="Arial"/>
                <w:sz w:val="10"/>
                <w:szCs w:val="10"/>
                <w:color w:val="auto"/>
              </w:rPr>
              <w:t>725,387,000</w:t>
            </w:r>
          </w:p>
        </w:tc>
        <w:tc>
          <w:tcPr>
            <w:tcW w:w="0" w:type="dxa"/>
            <w:vAlign w:val="bottom"/>
          </w:tcPr>
          <w:p>
            <w:pPr>
              <w:spacing w:after="0"/>
              <w:rPr>
                <w:sz w:val="1"/>
                <w:szCs w:val="1"/>
                <w:color w:val="auto"/>
              </w:rPr>
            </w:pPr>
          </w:p>
        </w:tc>
      </w:tr>
      <w:tr>
        <w:trPr>
          <w:trHeight w:val="61"/>
        </w:trPr>
        <w:tc>
          <w:tcPr>
            <w:tcW w:w="1500" w:type="dxa"/>
            <w:vAlign w:val="bottom"/>
            <w:tcBorders>
              <w:right w:val="single" w:sz="8" w:color="FDF9F2"/>
            </w:tcBorders>
            <w:shd w:val="clear" w:color="auto" w:fill="FDF9F2"/>
          </w:tcPr>
          <w:p>
            <w:pPr>
              <w:spacing w:after="0"/>
              <w:rPr>
                <w:sz w:val="5"/>
                <w:szCs w:val="5"/>
                <w:color w:val="auto"/>
              </w:rPr>
            </w:pPr>
          </w:p>
        </w:tc>
        <w:tc>
          <w:tcPr>
            <w:tcW w:w="140" w:type="dxa"/>
            <w:vAlign w:val="bottom"/>
            <w:shd w:val="clear" w:color="auto" w:fill="FDF9F2"/>
          </w:tcPr>
          <w:p>
            <w:pPr>
              <w:spacing w:after="0"/>
              <w:rPr>
                <w:sz w:val="5"/>
                <w:szCs w:val="5"/>
                <w:color w:val="auto"/>
              </w:rPr>
            </w:pPr>
          </w:p>
        </w:tc>
        <w:tc>
          <w:tcPr>
            <w:tcW w:w="720" w:type="dxa"/>
            <w:vAlign w:val="bottom"/>
            <w:shd w:val="clear" w:color="auto" w:fill="FDF9F2"/>
          </w:tcPr>
          <w:p>
            <w:pPr>
              <w:spacing w:after="0"/>
              <w:rPr>
                <w:sz w:val="5"/>
                <w:szCs w:val="5"/>
                <w:color w:val="auto"/>
              </w:rPr>
            </w:pPr>
          </w:p>
        </w:tc>
        <w:tc>
          <w:tcPr>
            <w:tcW w:w="160" w:type="dxa"/>
            <w:vAlign w:val="bottom"/>
            <w:shd w:val="clear" w:color="auto" w:fill="FDF9F2"/>
          </w:tcPr>
          <w:p>
            <w:pPr>
              <w:spacing w:after="0"/>
              <w:rPr>
                <w:sz w:val="5"/>
                <w:szCs w:val="5"/>
                <w:color w:val="auto"/>
              </w:rPr>
            </w:pPr>
          </w:p>
        </w:tc>
        <w:tc>
          <w:tcPr>
            <w:tcW w:w="720" w:type="dxa"/>
            <w:vAlign w:val="bottom"/>
            <w:shd w:val="clear" w:color="auto" w:fill="FDF9F2"/>
          </w:tcPr>
          <w:p>
            <w:pPr>
              <w:spacing w:after="0"/>
              <w:rPr>
                <w:sz w:val="5"/>
                <w:szCs w:val="5"/>
                <w:color w:val="auto"/>
              </w:rPr>
            </w:pPr>
          </w:p>
        </w:tc>
        <w:tc>
          <w:tcPr>
            <w:tcW w:w="160" w:type="dxa"/>
            <w:vAlign w:val="bottom"/>
            <w:shd w:val="clear" w:color="auto" w:fill="FDF9F2"/>
          </w:tcPr>
          <w:p>
            <w:pPr>
              <w:spacing w:after="0"/>
              <w:rPr>
                <w:sz w:val="5"/>
                <w:szCs w:val="5"/>
                <w:color w:val="auto"/>
              </w:rPr>
            </w:pPr>
          </w:p>
        </w:tc>
        <w:tc>
          <w:tcPr>
            <w:tcW w:w="740" w:type="dxa"/>
            <w:vAlign w:val="bottom"/>
            <w:shd w:val="clear" w:color="auto" w:fill="FDF9F2"/>
          </w:tcPr>
          <w:p>
            <w:pPr>
              <w:spacing w:after="0"/>
              <w:rPr>
                <w:sz w:val="5"/>
                <w:szCs w:val="5"/>
                <w:color w:val="auto"/>
              </w:rPr>
            </w:pPr>
          </w:p>
        </w:tc>
        <w:tc>
          <w:tcPr>
            <w:tcW w:w="860" w:type="dxa"/>
            <w:vAlign w:val="bottom"/>
            <w:shd w:val="clear" w:color="auto" w:fill="FDF9F2"/>
          </w:tcPr>
          <w:p>
            <w:pPr>
              <w:spacing w:after="0"/>
              <w:rPr>
                <w:sz w:val="5"/>
                <w:szCs w:val="5"/>
                <w:color w:val="auto"/>
              </w:rPr>
            </w:pPr>
          </w:p>
        </w:tc>
        <w:tc>
          <w:tcPr>
            <w:tcW w:w="180" w:type="dxa"/>
            <w:vAlign w:val="bottom"/>
            <w:shd w:val="clear" w:color="auto" w:fill="FDF9F2"/>
          </w:tcPr>
          <w:p>
            <w:pPr>
              <w:spacing w:after="0"/>
              <w:rPr>
                <w:sz w:val="5"/>
                <w:szCs w:val="5"/>
                <w:color w:val="auto"/>
              </w:rPr>
            </w:pPr>
          </w:p>
        </w:tc>
        <w:tc>
          <w:tcPr>
            <w:tcW w:w="700" w:type="dxa"/>
            <w:vAlign w:val="bottom"/>
            <w:shd w:val="clear" w:color="auto" w:fill="FDF9F2"/>
          </w:tcPr>
          <w:p>
            <w:pPr>
              <w:spacing w:after="0"/>
              <w:rPr>
                <w:sz w:val="5"/>
                <w:szCs w:val="5"/>
                <w:color w:val="auto"/>
              </w:rPr>
            </w:pPr>
          </w:p>
        </w:tc>
        <w:tc>
          <w:tcPr>
            <w:tcW w:w="180" w:type="dxa"/>
            <w:vAlign w:val="bottom"/>
            <w:shd w:val="clear" w:color="auto" w:fill="FDF9F2"/>
          </w:tcPr>
          <w:p>
            <w:pPr>
              <w:spacing w:after="0"/>
              <w:rPr>
                <w:sz w:val="5"/>
                <w:szCs w:val="5"/>
                <w:color w:val="auto"/>
              </w:rPr>
            </w:pPr>
          </w:p>
        </w:tc>
        <w:tc>
          <w:tcPr>
            <w:tcW w:w="720" w:type="dxa"/>
            <w:vAlign w:val="bottom"/>
            <w:shd w:val="clear" w:color="auto" w:fill="FDF9F2"/>
          </w:tcPr>
          <w:p>
            <w:pPr>
              <w:spacing w:after="0"/>
              <w:rPr>
                <w:sz w:val="5"/>
                <w:szCs w:val="5"/>
                <w:color w:val="auto"/>
              </w:rPr>
            </w:pPr>
          </w:p>
        </w:tc>
        <w:tc>
          <w:tcPr>
            <w:tcW w:w="180" w:type="dxa"/>
            <w:vAlign w:val="bottom"/>
            <w:shd w:val="clear" w:color="auto" w:fill="FDF9F2"/>
          </w:tcPr>
          <w:p>
            <w:pPr>
              <w:spacing w:after="0"/>
              <w:rPr>
                <w:sz w:val="5"/>
                <w:szCs w:val="5"/>
                <w:color w:val="auto"/>
              </w:rPr>
            </w:pPr>
          </w:p>
        </w:tc>
        <w:tc>
          <w:tcPr>
            <w:tcW w:w="680" w:type="dxa"/>
            <w:vAlign w:val="bottom"/>
            <w:shd w:val="clear" w:color="auto" w:fill="FDF9F2"/>
          </w:tcPr>
          <w:p>
            <w:pPr>
              <w:spacing w:after="0"/>
              <w:rPr>
                <w:sz w:val="5"/>
                <w:szCs w:val="5"/>
                <w:color w:val="auto"/>
              </w:rPr>
            </w:pPr>
          </w:p>
        </w:tc>
        <w:tc>
          <w:tcPr>
            <w:tcW w:w="160" w:type="dxa"/>
            <w:vAlign w:val="bottom"/>
            <w:shd w:val="clear" w:color="auto" w:fill="FDF9F2"/>
          </w:tcPr>
          <w:p>
            <w:pPr>
              <w:spacing w:after="0"/>
              <w:rPr>
                <w:sz w:val="5"/>
                <w:szCs w:val="5"/>
                <w:color w:val="auto"/>
              </w:rPr>
            </w:pPr>
          </w:p>
        </w:tc>
        <w:tc>
          <w:tcPr>
            <w:tcW w:w="660" w:type="dxa"/>
            <w:vAlign w:val="bottom"/>
            <w:shd w:val="clear" w:color="auto" w:fill="FDF9F2"/>
          </w:tcPr>
          <w:p>
            <w:pPr>
              <w:spacing w:after="0"/>
              <w:rPr>
                <w:sz w:val="5"/>
                <w:szCs w:val="5"/>
                <w:color w:val="auto"/>
              </w:rPr>
            </w:pPr>
          </w:p>
        </w:tc>
        <w:tc>
          <w:tcPr>
            <w:tcW w:w="160" w:type="dxa"/>
            <w:vAlign w:val="bottom"/>
            <w:shd w:val="clear" w:color="auto" w:fill="FDF9F2"/>
          </w:tcPr>
          <w:p>
            <w:pPr>
              <w:spacing w:after="0"/>
              <w:rPr>
                <w:sz w:val="5"/>
                <w:szCs w:val="5"/>
                <w:color w:val="auto"/>
              </w:rPr>
            </w:pPr>
          </w:p>
        </w:tc>
        <w:tc>
          <w:tcPr>
            <w:tcW w:w="900" w:type="dxa"/>
            <w:vAlign w:val="bottom"/>
            <w:shd w:val="clear" w:color="auto" w:fill="FDF9F2"/>
          </w:tcPr>
          <w:p>
            <w:pPr>
              <w:spacing w:after="0"/>
              <w:rPr>
                <w:sz w:val="5"/>
                <w:szCs w:val="5"/>
                <w:color w:val="auto"/>
              </w:rPr>
            </w:pPr>
          </w:p>
        </w:tc>
        <w:tc>
          <w:tcPr>
            <w:tcW w:w="220" w:type="dxa"/>
            <w:vAlign w:val="bottom"/>
            <w:shd w:val="clear" w:color="auto" w:fill="FDF9F2"/>
          </w:tcPr>
          <w:p>
            <w:pPr>
              <w:spacing w:after="0"/>
              <w:rPr>
                <w:sz w:val="5"/>
                <w:szCs w:val="5"/>
                <w:color w:val="auto"/>
              </w:rPr>
            </w:pPr>
          </w:p>
        </w:tc>
        <w:tc>
          <w:tcPr>
            <w:tcW w:w="880" w:type="dxa"/>
            <w:vAlign w:val="bottom"/>
            <w:shd w:val="clear" w:color="auto" w:fill="FDF9F2"/>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500" w:type="dxa"/>
            <w:vAlign w:val="bottom"/>
            <w:tcBorders>
              <w:right w:val="single" w:sz="8" w:color="DEDBD3"/>
            </w:tcBorders>
            <w:shd w:val="clear" w:color="auto" w:fill="DEDBD3"/>
          </w:tcPr>
          <w:p>
            <w:pPr>
              <w:ind w:left="20"/>
              <w:spacing w:after="0"/>
              <w:rPr>
                <w:sz w:val="20"/>
                <w:szCs w:val="20"/>
                <w:color w:val="auto"/>
              </w:rPr>
            </w:pPr>
            <w:r>
              <w:rPr>
                <w:rFonts w:ascii="Arial" w:cs="Arial" w:eastAsia="Arial" w:hAnsi="Arial"/>
                <w:sz w:val="10"/>
                <w:szCs w:val="10"/>
                <w:color w:val="auto"/>
              </w:rPr>
              <w:t>2021</w:t>
            </w:r>
          </w:p>
        </w:tc>
        <w:tc>
          <w:tcPr>
            <w:tcW w:w="140" w:type="dxa"/>
            <w:vAlign w:val="bottom"/>
            <w:shd w:val="clear" w:color="auto" w:fill="DEDBD3"/>
          </w:tcPr>
          <w:p>
            <w:pPr>
              <w:jc w:val="right"/>
              <w:spacing w:after="0"/>
              <w:rPr>
                <w:sz w:val="20"/>
                <w:szCs w:val="20"/>
                <w:color w:val="auto"/>
              </w:rPr>
            </w:pPr>
            <w:r>
              <w:rPr>
                <w:rFonts w:ascii="Arial" w:cs="Arial" w:eastAsia="Arial" w:hAnsi="Arial"/>
                <w:sz w:val="10"/>
                <w:szCs w:val="10"/>
                <w:color w:val="auto"/>
              </w:rPr>
              <w:t>$</w:t>
            </w:r>
          </w:p>
        </w:tc>
        <w:tc>
          <w:tcPr>
            <w:tcW w:w="720" w:type="dxa"/>
            <w:vAlign w:val="bottom"/>
            <w:shd w:val="clear" w:color="auto" w:fill="DEDBD3"/>
          </w:tcPr>
          <w:p>
            <w:pPr>
              <w:jc w:val="right"/>
              <w:ind w:right="74"/>
              <w:spacing w:after="0"/>
              <w:rPr>
                <w:sz w:val="20"/>
                <w:szCs w:val="20"/>
                <w:color w:val="auto"/>
              </w:rPr>
            </w:pPr>
            <w:r>
              <w:rPr>
                <w:rFonts w:ascii="Arial" w:cs="Arial" w:eastAsia="Arial" w:hAnsi="Arial"/>
                <w:sz w:val="10"/>
                <w:szCs w:val="10"/>
                <w:color w:val="auto"/>
              </w:rPr>
              <w:t>12,928,747</w:t>
            </w:r>
          </w:p>
        </w:tc>
        <w:tc>
          <w:tcPr>
            <w:tcW w:w="160" w:type="dxa"/>
            <w:vAlign w:val="bottom"/>
            <w:shd w:val="clear" w:color="auto" w:fill="DEDBD3"/>
          </w:tcPr>
          <w:p>
            <w:pPr>
              <w:spacing w:after="0"/>
              <w:rPr>
                <w:sz w:val="16"/>
                <w:szCs w:val="16"/>
                <w:color w:val="auto"/>
              </w:rPr>
            </w:pPr>
          </w:p>
        </w:tc>
        <w:tc>
          <w:tcPr>
            <w:tcW w:w="720" w:type="dxa"/>
            <w:vAlign w:val="bottom"/>
            <w:shd w:val="clear" w:color="auto" w:fill="DEDBD3"/>
          </w:tcPr>
          <w:p>
            <w:pPr>
              <w:jc w:val="right"/>
              <w:ind w:right="54"/>
              <w:spacing w:after="0"/>
              <w:rPr>
                <w:sz w:val="20"/>
                <w:szCs w:val="20"/>
                <w:color w:val="auto"/>
              </w:rPr>
            </w:pPr>
            <w:r>
              <w:rPr>
                <w:rFonts w:ascii="Arial" w:cs="Arial" w:eastAsia="Arial" w:hAnsi="Arial"/>
                <w:sz w:val="10"/>
                <w:szCs w:val="10"/>
                <w:color w:val="auto"/>
              </w:rPr>
              <w:t>-</w:t>
            </w:r>
          </w:p>
        </w:tc>
        <w:tc>
          <w:tcPr>
            <w:tcW w:w="160" w:type="dxa"/>
            <w:vAlign w:val="bottom"/>
            <w:shd w:val="clear" w:color="auto" w:fill="DEDBD3"/>
          </w:tcPr>
          <w:p>
            <w:pPr>
              <w:jc w:val="right"/>
              <w:spacing w:after="0"/>
              <w:rPr>
                <w:sz w:val="20"/>
                <w:szCs w:val="20"/>
                <w:color w:val="auto"/>
              </w:rPr>
            </w:pPr>
            <w:r>
              <w:rPr>
                <w:rFonts w:ascii="Arial" w:cs="Arial" w:eastAsia="Arial" w:hAnsi="Arial"/>
                <w:sz w:val="10"/>
                <w:szCs w:val="10"/>
                <w:color w:val="auto"/>
              </w:rPr>
              <w:t>$</w:t>
            </w:r>
          </w:p>
        </w:tc>
        <w:tc>
          <w:tcPr>
            <w:tcW w:w="740" w:type="dxa"/>
            <w:vAlign w:val="bottom"/>
            <w:shd w:val="clear" w:color="auto" w:fill="DEDBD3"/>
          </w:tcPr>
          <w:p>
            <w:pPr>
              <w:jc w:val="right"/>
              <w:ind w:right="71"/>
              <w:spacing w:after="0"/>
              <w:rPr>
                <w:sz w:val="20"/>
                <w:szCs w:val="20"/>
                <w:color w:val="auto"/>
              </w:rPr>
            </w:pPr>
            <w:r>
              <w:rPr>
                <w:rFonts w:ascii="Arial" w:cs="Arial" w:eastAsia="Arial" w:hAnsi="Arial"/>
                <w:sz w:val="10"/>
                <w:szCs w:val="10"/>
                <w:color w:val="auto"/>
              </w:rPr>
              <w:t>7,935,501</w:t>
            </w:r>
          </w:p>
        </w:tc>
        <w:tc>
          <w:tcPr>
            <w:tcW w:w="860" w:type="dxa"/>
            <w:vAlign w:val="bottom"/>
            <w:shd w:val="clear" w:color="auto" w:fill="DEDBD3"/>
          </w:tcPr>
          <w:p>
            <w:pPr>
              <w:jc w:val="right"/>
              <w:ind w:right="55"/>
              <w:spacing w:after="0"/>
              <w:rPr>
                <w:sz w:val="20"/>
                <w:szCs w:val="20"/>
                <w:color w:val="auto"/>
              </w:rPr>
            </w:pPr>
            <w:r>
              <w:rPr>
                <w:rFonts w:ascii="Arial" w:cs="Arial" w:eastAsia="Arial" w:hAnsi="Arial"/>
                <w:sz w:val="10"/>
                <w:szCs w:val="10"/>
                <w:color w:val="auto"/>
              </w:rPr>
              <w:t>-</w:t>
            </w:r>
          </w:p>
        </w:tc>
        <w:tc>
          <w:tcPr>
            <w:tcW w:w="180" w:type="dxa"/>
            <w:vAlign w:val="bottom"/>
            <w:shd w:val="clear" w:color="auto" w:fill="DEDBD3"/>
          </w:tcPr>
          <w:p>
            <w:pPr>
              <w:jc w:val="right"/>
              <w:spacing w:after="0"/>
              <w:rPr>
                <w:sz w:val="20"/>
                <w:szCs w:val="20"/>
                <w:color w:val="auto"/>
              </w:rPr>
            </w:pPr>
            <w:r>
              <w:rPr>
                <w:rFonts w:ascii="Arial" w:cs="Arial" w:eastAsia="Arial" w:hAnsi="Arial"/>
                <w:sz w:val="10"/>
                <w:szCs w:val="10"/>
                <w:color w:val="auto"/>
              </w:rPr>
              <w:t>$</w:t>
            </w:r>
          </w:p>
        </w:tc>
        <w:tc>
          <w:tcPr>
            <w:tcW w:w="700" w:type="dxa"/>
            <w:vAlign w:val="bottom"/>
            <w:shd w:val="clear" w:color="auto" w:fill="DEDBD3"/>
          </w:tcPr>
          <w:p>
            <w:pPr>
              <w:jc w:val="right"/>
              <w:ind w:right="56"/>
              <w:spacing w:after="0"/>
              <w:rPr>
                <w:sz w:val="20"/>
                <w:szCs w:val="20"/>
                <w:color w:val="auto"/>
              </w:rPr>
            </w:pPr>
            <w:r>
              <w:rPr>
                <w:rFonts w:ascii="Arial" w:cs="Arial" w:eastAsia="Arial" w:hAnsi="Arial"/>
                <w:sz w:val="10"/>
                <w:szCs w:val="10"/>
                <w:color w:val="auto"/>
              </w:rPr>
              <w:t>6,936,390</w:t>
            </w:r>
          </w:p>
        </w:tc>
        <w:tc>
          <w:tcPr>
            <w:tcW w:w="180" w:type="dxa"/>
            <w:vAlign w:val="bottom"/>
            <w:shd w:val="clear" w:color="auto" w:fill="DEDBD3"/>
          </w:tcPr>
          <w:p>
            <w:pPr>
              <w:jc w:val="right"/>
              <w:spacing w:after="0"/>
              <w:rPr>
                <w:sz w:val="20"/>
                <w:szCs w:val="20"/>
                <w:color w:val="auto"/>
              </w:rPr>
            </w:pPr>
            <w:r>
              <w:rPr>
                <w:rFonts w:ascii="Arial" w:cs="Arial" w:eastAsia="Arial" w:hAnsi="Arial"/>
                <w:sz w:val="10"/>
                <w:szCs w:val="10"/>
                <w:color w:val="auto"/>
              </w:rPr>
              <w:t>$</w:t>
            </w:r>
          </w:p>
        </w:tc>
        <w:tc>
          <w:tcPr>
            <w:tcW w:w="720" w:type="dxa"/>
            <w:vAlign w:val="bottom"/>
            <w:shd w:val="clear" w:color="auto" w:fill="DEDBD3"/>
          </w:tcPr>
          <w:p>
            <w:pPr>
              <w:jc w:val="right"/>
              <w:ind w:right="54"/>
              <w:spacing w:after="0"/>
              <w:rPr>
                <w:sz w:val="20"/>
                <w:szCs w:val="20"/>
                <w:color w:val="auto"/>
              </w:rPr>
            </w:pPr>
            <w:r>
              <w:rPr>
                <w:rFonts w:ascii="Arial" w:cs="Arial" w:eastAsia="Arial" w:hAnsi="Arial"/>
                <w:sz w:val="10"/>
                <w:szCs w:val="10"/>
                <w:color w:val="auto"/>
              </w:rPr>
              <w:t>7,397,174</w:t>
            </w:r>
          </w:p>
        </w:tc>
        <w:tc>
          <w:tcPr>
            <w:tcW w:w="180" w:type="dxa"/>
            <w:vAlign w:val="bottom"/>
            <w:shd w:val="clear" w:color="auto" w:fill="DEDBD3"/>
          </w:tcPr>
          <w:p>
            <w:pPr>
              <w:jc w:val="right"/>
              <w:spacing w:after="0"/>
              <w:rPr>
                <w:sz w:val="20"/>
                <w:szCs w:val="20"/>
                <w:color w:val="auto"/>
              </w:rPr>
            </w:pPr>
            <w:r>
              <w:rPr>
                <w:rFonts w:ascii="Arial" w:cs="Arial" w:eastAsia="Arial" w:hAnsi="Arial"/>
                <w:sz w:val="10"/>
                <w:szCs w:val="10"/>
                <w:color w:val="auto"/>
              </w:rPr>
              <w:t>$</w:t>
            </w:r>
          </w:p>
        </w:tc>
        <w:tc>
          <w:tcPr>
            <w:tcW w:w="680" w:type="dxa"/>
            <w:vAlign w:val="bottom"/>
            <w:shd w:val="clear" w:color="auto" w:fill="DEDBD3"/>
          </w:tcPr>
          <w:p>
            <w:pPr>
              <w:jc w:val="right"/>
              <w:ind w:right="75"/>
              <w:spacing w:after="0"/>
              <w:rPr>
                <w:sz w:val="20"/>
                <w:szCs w:val="20"/>
                <w:color w:val="auto"/>
              </w:rPr>
            </w:pPr>
            <w:r>
              <w:rPr>
                <w:rFonts w:ascii="Arial" w:cs="Arial" w:eastAsia="Arial" w:hAnsi="Arial"/>
                <w:sz w:val="10"/>
                <w:szCs w:val="10"/>
                <w:color w:val="auto"/>
              </w:rPr>
              <w:t>61.77</w:t>
            </w:r>
          </w:p>
        </w:tc>
        <w:tc>
          <w:tcPr>
            <w:tcW w:w="160" w:type="dxa"/>
            <w:vAlign w:val="bottom"/>
            <w:shd w:val="clear" w:color="auto" w:fill="DEDBD3"/>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DEDBD3"/>
          </w:tcPr>
          <w:p>
            <w:pPr>
              <w:jc w:val="right"/>
              <w:ind w:right="34"/>
              <w:spacing w:after="0"/>
              <w:rPr>
                <w:sz w:val="20"/>
                <w:szCs w:val="20"/>
                <w:color w:val="auto"/>
              </w:rPr>
            </w:pPr>
            <w:r>
              <w:rPr>
                <w:rFonts w:ascii="Arial" w:cs="Arial" w:eastAsia="Arial" w:hAnsi="Arial"/>
                <w:sz w:val="10"/>
                <w:szCs w:val="10"/>
                <w:color w:val="auto"/>
              </w:rPr>
              <w:t>78.17</w:t>
            </w:r>
          </w:p>
        </w:tc>
        <w:tc>
          <w:tcPr>
            <w:tcW w:w="160" w:type="dxa"/>
            <w:vAlign w:val="bottom"/>
            <w:shd w:val="clear" w:color="auto" w:fill="DEDBD3"/>
          </w:tcPr>
          <w:p>
            <w:pPr>
              <w:jc w:val="right"/>
              <w:spacing w:after="0"/>
              <w:rPr>
                <w:sz w:val="20"/>
                <w:szCs w:val="20"/>
                <w:color w:val="auto"/>
              </w:rPr>
            </w:pPr>
            <w:r>
              <w:rPr>
                <w:rFonts w:ascii="Arial" w:cs="Arial" w:eastAsia="Arial" w:hAnsi="Arial"/>
                <w:sz w:val="10"/>
                <w:szCs w:val="10"/>
                <w:color w:val="auto"/>
              </w:rPr>
              <w:t>$</w:t>
            </w:r>
          </w:p>
        </w:tc>
        <w:tc>
          <w:tcPr>
            <w:tcW w:w="900" w:type="dxa"/>
            <w:vAlign w:val="bottom"/>
            <w:shd w:val="clear" w:color="auto" w:fill="DEDBD3"/>
          </w:tcPr>
          <w:p>
            <w:pPr>
              <w:jc w:val="right"/>
              <w:ind w:right="51"/>
              <w:spacing w:after="0"/>
              <w:rPr>
                <w:sz w:val="20"/>
                <w:szCs w:val="20"/>
                <w:color w:val="auto"/>
              </w:rPr>
            </w:pPr>
            <w:r>
              <w:rPr>
                <w:rFonts w:ascii="Arial" w:cs="Arial" w:eastAsia="Arial" w:hAnsi="Arial"/>
                <w:sz w:val="10"/>
                <w:szCs w:val="10"/>
                <w:color w:val="auto"/>
              </w:rPr>
              <w:t>(755,786,000)</w:t>
            </w:r>
          </w:p>
        </w:tc>
        <w:tc>
          <w:tcPr>
            <w:tcW w:w="220" w:type="dxa"/>
            <w:vAlign w:val="bottom"/>
            <w:shd w:val="clear" w:color="auto" w:fill="DEDBD3"/>
          </w:tcPr>
          <w:p>
            <w:pPr>
              <w:jc w:val="right"/>
              <w:spacing w:after="0"/>
              <w:rPr>
                <w:sz w:val="20"/>
                <w:szCs w:val="20"/>
                <w:color w:val="auto"/>
              </w:rPr>
            </w:pPr>
            <w:r>
              <w:rPr>
                <w:rFonts w:ascii="Arial" w:cs="Arial" w:eastAsia="Arial" w:hAnsi="Arial"/>
                <w:sz w:val="10"/>
                <w:szCs w:val="10"/>
                <w:color w:val="auto"/>
              </w:rPr>
              <w:t>$</w:t>
            </w:r>
          </w:p>
        </w:tc>
        <w:tc>
          <w:tcPr>
            <w:tcW w:w="880" w:type="dxa"/>
            <w:vAlign w:val="bottom"/>
            <w:shd w:val="clear" w:color="auto" w:fill="DEDBD3"/>
          </w:tcPr>
          <w:p>
            <w:pPr>
              <w:jc w:val="right"/>
              <w:ind w:right="174"/>
              <w:spacing w:after="0"/>
              <w:rPr>
                <w:sz w:val="20"/>
                <w:szCs w:val="20"/>
                <w:color w:val="auto"/>
              </w:rPr>
            </w:pPr>
            <w:r>
              <w:rPr>
                <w:rFonts w:ascii="Arial" w:cs="Arial" w:eastAsia="Arial" w:hAnsi="Arial"/>
                <w:sz w:val="10"/>
                <w:szCs w:val="10"/>
                <w:color w:val="auto"/>
              </w:rPr>
              <w:t>569,441,000</w:t>
            </w:r>
          </w:p>
        </w:tc>
        <w:tc>
          <w:tcPr>
            <w:tcW w:w="0" w:type="dxa"/>
            <w:vAlign w:val="bottom"/>
          </w:tcPr>
          <w:p>
            <w:pPr>
              <w:spacing w:after="0"/>
              <w:rPr>
                <w:sz w:val="1"/>
                <w:szCs w:val="1"/>
                <w:color w:val="auto"/>
              </w:rPr>
            </w:pPr>
          </w:p>
        </w:tc>
      </w:tr>
      <w:tr>
        <w:trPr>
          <w:trHeight w:val="61"/>
        </w:trPr>
        <w:tc>
          <w:tcPr>
            <w:tcW w:w="1500" w:type="dxa"/>
            <w:vAlign w:val="bottom"/>
            <w:tcBorders>
              <w:right w:val="single" w:sz="8" w:color="DEDBD3"/>
            </w:tcBorders>
            <w:shd w:val="clear" w:color="auto" w:fill="DEDBD3"/>
          </w:tcPr>
          <w:p>
            <w:pPr>
              <w:spacing w:after="0"/>
              <w:rPr>
                <w:sz w:val="5"/>
                <w:szCs w:val="5"/>
                <w:color w:val="auto"/>
              </w:rPr>
            </w:pPr>
          </w:p>
        </w:tc>
        <w:tc>
          <w:tcPr>
            <w:tcW w:w="140" w:type="dxa"/>
            <w:vAlign w:val="bottom"/>
            <w:shd w:val="clear" w:color="auto" w:fill="DEDBD3"/>
          </w:tcPr>
          <w:p>
            <w:pPr>
              <w:spacing w:after="0"/>
              <w:rPr>
                <w:sz w:val="5"/>
                <w:szCs w:val="5"/>
                <w:color w:val="auto"/>
              </w:rPr>
            </w:pPr>
          </w:p>
        </w:tc>
        <w:tc>
          <w:tcPr>
            <w:tcW w:w="720" w:type="dxa"/>
            <w:vAlign w:val="bottom"/>
            <w:shd w:val="clear" w:color="auto" w:fill="DEDBD3"/>
          </w:tcPr>
          <w:p>
            <w:pPr>
              <w:spacing w:after="0"/>
              <w:rPr>
                <w:sz w:val="5"/>
                <w:szCs w:val="5"/>
                <w:color w:val="auto"/>
              </w:rPr>
            </w:pPr>
          </w:p>
        </w:tc>
        <w:tc>
          <w:tcPr>
            <w:tcW w:w="160" w:type="dxa"/>
            <w:vAlign w:val="bottom"/>
            <w:shd w:val="clear" w:color="auto" w:fill="DEDBD3"/>
          </w:tcPr>
          <w:p>
            <w:pPr>
              <w:spacing w:after="0"/>
              <w:rPr>
                <w:sz w:val="5"/>
                <w:szCs w:val="5"/>
                <w:color w:val="auto"/>
              </w:rPr>
            </w:pPr>
          </w:p>
        </w:tc>
        <w:tc>
          <w:tcPr>
            <w:tcW w:w="720" w:type="dxa"/>
            <w:vAlign w:val="bottom"/>
            <w:shd w:val="clear" w:color="auto" w:fill="DEDBD3"/>
          </w:tcPr>
          <w:p>
            <w:pPr>
              <w:spacing w:after="0"/>
              <w:rPr>
                <w:sz w:val="5"/>
                <w:szCs w:val="5"/>
                <w:color w:val="auto"/>
              </w:rPr>
            </w:pPr>
          </w:p>
        </w:tc>
        <w:tc>
          <w:tcPr>
            <w:tcW w:w="160" w:type="dxa"/>
            <w:vAlign w:val="bottom"/>
            <w:shd w:val="clear" w:color="auto" w:fill="DEDBD3"/>
          </w:tcPr>
          <w:p>
            <w:pPr>
              <w:spacing w:after="0"/>
              <w:rPr>
                <w:sz w:val="5"/>
                <w:szCs w:val="5"/>
                <w:color w:val="auto"/>
              </w:rPr>
            </w:pPr>
          </w:p>
        </w:tc>
        <w:tc>
          <w:tcPr>
            <w:tcW w:w="740" w:type="dxa"/>
            <w:vAlign w:val="bottom"/>
            <w:shd w:val="clear" w:color="auto" w:fill="DEDBD3"/>
          </w:tcPr>
          <w:p>
            <w:pPr>
              <w:spacing w:after="0"/>
              <w:rPr>
                <w:sz w:val="5"/>
                <w:szCs w:val="5"/>
                <w:color w:val="auto"/>
              </w:rPr>
            </w:pPr>
          </w:p>
        </w:tc>
        <w:tc>
          <w:tcPr>
            <w:tcW w:w="860" w:type="dxa"/>
            <w:vAlign w:val="bottom"/>
            <w:shd w:val="clear" w:color="auto" w:fill="DEDBD3"/>
          </w:tcPr>
          <w:p>
            <w:pPr>
              <w:spacing w:after="0"/>
              <w:rPr>
                <w:sz w:val="5"/>
                <w:szCs w:val="5"/>
                <w:color w:val="auto"/>
              </w:rPr>
            </w:pPr>
          </w:p>
        </w:tc>
        <w:tc>
          <w:tcPr>
            <w:tcW w:w="180" w:type="dxa"/>
            <w:vAlign w:val="bottom"/>
            <w:shd w:val="clear" w:color="auto" w:fill="DEDBD3"/>
          </w:tcPr>
          <w:p>
            <w:pPr>
              <w:spacing w:after="0"/>
              <w:rPr>
                <w:sz w:val="5"/>
                <w:szCs w:val="5"/>
                <w:color w:val="auto"/>
              </w:rPr>
            </w:pPr>
          </w:p>
        </w:tc>
        <w:tc>
          <w:tcPr>
            <w:tcW w:w="700" w:type="dxa"/>
            <w:vAlign w:val="bottom"/>
            <w:shd w:val="clear" w:color="auto" w:fill="DEDBD3"/>
          </w:tcPr>
          <w:p>
            <w:pPr>
              <w:spacing w:after="0"/>
              <w:rPr>
                <w:sz w:val="5"/>
                <w:szCs w:val="5"/>
                <w:color w:val="auto"/>
              </w:rPr>
            </w:pPr>
          </w:p>
        </w:tc>
        <w:tc>
          <w:tcPr>
            <w:tcW w:w="180" w:type="dxa"/>
            <w:vAlign w:val="bottom"/>
            <w:shd w:val="clear" w:color="auto" w:fill="DEDBD3"/>
          </w:tcPr>
          <w:p>
            <w:pPr>
              <w:spacing w:after="0"/>
              <w:rPr>
                <w:sz w:val="5"/>
                <w:szCs w:val="5"/>
                <w:color w:val="auto"/>
              </w:rPr>
            </w:pPr>
          </w:p>
        </w:tc>
        <w:tc>
          <w:tcPr>
            <w:tcW w:w="720" w:type="dxa"/>
            <w:vAlign w:val="bottom"/>
            <w:shd w:val="clear" w:color="auto" w:fill="DEDBD3"/>
          </w:tcPr>
          <w:p>
            <w:pPr>
              <w:spacing w:after="0"/>
              <w:rPr>
                <w:sz w:val="5"/>
                <w:szCs w:val="5"/>
                <w:color w:val="auto"/>
              </w:rPr>
            </w:pPr>
          </w:p>
        </w:tc>
        <w:tc>
          <w:tcPr>
            <w:tcW w:w="180" w:type="dxa"/>
            <w:vAlign w:val="bottom"/>
            <w:shd w:val="clear" w:color="auto" w:fill="DEDBD3"/>
          </w:tcPr>
          <w:p>
            <w:pPr>
              <w:spacing w:after="0"/>
              <w:rPr>
                <w:sz w:val="5"/>
                <w:szCs w:val="5"/>
                <w:color w:val="auto"/>
              </w:rPr>
            </w:pPr>
          </w:p>
        </w:tc>
        <w:tc>
          <w:tcPr>
            <w:tcW w:w="680" w:type="dxa"/>
            <w:vAlign w:val="bottom"/>
            <w:shd w:val="clear" w:color="auto" w:fill="DEDBD3"/>
          </w:tcPr>
          <w:p>
            <w:pPr>
              <w:spacing w:after="0"/>
              <w:rPr>
                <w:sz w:val="5"/>
                <w:szCs w:val="5"/>
                <w:color w:val="auto"/>
              </w:rPr>
            </w:pPr>
          </w:p>
        </w:tc>
        <w:tc>
          <w:tcPr>
            <w:tcW w:w="160" w:type="dxa"/>
            <w:vAlign w:val="bottom"/>
            <w:shd w:val="clear" w:color="auto" w:fill="DEDBD3"/>
          </w:tcPr>
          <w:p>
            <w:pPr>
              <w:spacing w:after="0"/>
              <w:rPr>
                <w:sz w:val="5"/>
                <w:szCs w:val="5"/>
                <w:color w:val="auto"/>
              </w:rPr>
            </w:pPr>
          </w:p>
        </w:tc>
        <w:tc>
          <w:tcPr>
            <w:tcW w:w="660" w:type="dxa"/>
            <w:vAlign w:val="bottom"/>
            <w:shd w:val="clear" w:color="auto" w:fill="DEDBD3"/>
          </w:tcPr>
          <w:p>
            <w:pPr>
              <w:spacing w:after="0"/>
              <w:rPr>
                <w:sz w:val="5"/>
                <w:szCs w:val="5"/>
                <w:color w:val="auto"/>
              </w:rPr>
            </w:pPr>
          </w:p>
        </w:tc>
        <w:tc>
          <w:tcPr>
            <w:tcW w:w="160" w:type="dxa"/>
            <w:vAlign w:val="bottom"/>
            <w:shd w:val="clear" w:color="auto" w:fill="DEDBD3"/>
          </w:tcPr>
          <w:p>
            <w:pPr>
              <w:spacing w:after="0"/>
              <w:rPr>
                <w:sz w:val="5"/>
                <w:szCs w:val="5"/>
                <w:color w:val="auto"/>
              </w:rPr>
            </w:pPr>
          </w:p>
        </w:tc>
        <w:tc>
          <w:tcPr>
            <w:tcW w:w="900" w:type="dxa"/>
            <w:vAlign w:val="bottom"/>
            <w:shd w:val="clear" w:color="auto" w:fill="DEDBD3"/>
          </w:tcPr>
          <w:p>
            <w:pPr>
              <w:spacing w:after="0"/>
              <w:rPr>
                <w:sz w:val="5"/>
                <w:szCs w:val="5"/>
                <w:color w:val="auto"/>
              </w:rPr>
            </w:pPr>
          </w:p>
        </w:tc>
        <w:tc>
          <w:tcPr>
            <w:tcW w:w="220" w:type="dxa"/>
            <w:vAlign w:val="bottom"/>
            <w:shd w:val="clear" w:color="auto" w:fill="DEDBD3"/>
          </w:tcPr>
          <w:p>
            <w:pPr>
              <w:spacing w:after="0"/>
              <w:rPr>
                <w:sz w:val="5"/>
                <w:szCs w:val="5"/>
                <w:color w:val="auto"/>
              </w:rPr>
            </w:pPr>
          </w:p>
        </w:tc>
        <w:tc>
          <w:tcPr>
            <w:tcW w:w="880" w:type="dxa"/>
            <w:vAlign w:val="bottom"/>
            <w:shd w:val="clear" w:color="auto" w:fill="DEDBD3"/>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500" w:type="dxa"/>
            <w:vAlign w:val="bottom"/>
            <w:tcBorders>
              <w:right w:val="single" w:sz="8" w:color="FDF9F2"/>
            </w:tcBorders>
            <w:shd w:val="clear" w:color="auto" w:fill="FDF9F2"/>
          </w:tcPr>
          <w:p>
            <w:pPr>
              <w:ind w:left="20"/>
              <w:spacing w:after="0"/>
              <w:rPr>
                <w:sz w:val="20"/>
                <w:szCs w:val="20"/>
                <w:color w:val="auto"/>
              </w:rPr>
            </w:pPr>
            <w:r>
              <w:rPr>
                <w:rFonts w:ascii="Arial" w:cs="Arial" w:eastAsia="Arial" w:hAnsi="Arial"/>
                <w:sz w:val="10"/>
                <w:szCs w:val="10"/>
                <w:color w:val="auto"/>
              </w:rPr>
              <w:t>2020</w:t>
            </w:r>
          </w:p>
        </w:tc>
        <w:tc>
          <w:tcPr>
            <w:tcW w:w="140" w:type="dxa"/>
            <w:vAlign w:val="bottom"/>
            <w:shd w:val="clear" w:color="auto" w:fill="FDF9F2"/>
          </w:tcPr>
          <w:p>
            <w:pPr>
              <w:jc w:val="right"/>
              <w:spacing w:after="0"/>
              <w:rPr>
                <w:sz w:val="20"/>
                <w:szCs w:val="20"/>
                <w:color w:val="auto"/>
              </w:rPr>
            </w:pPr>
            <w:r>
              <w:rPr>
                <w:rFonts w:ascii="Arial" w:cs="Arial" w:eastAsia="Arial" w:hAnsi="Arial"/>
                <w:sz w:val="10"/>
                <w:szCs w:val="10"/>
                <w:color w:val="auto"/>
              </w:rPr>
              <w:t>$</w:t>
            </w:r>
          </w:p>
        </w:tc>
        <w:tc>
          <w:tcPr>
            <w:tcW w:w="720" w:type="dxa"/>
            <w:vAlign w:val="bottom"/>
            <w:shd w:val="clear" w:color="auto" w:fill="FDF9F2"/>
          </w:tcPr>
          <w:p>
            <w:pPr>
              <w:jc w:val="right"/>
              <w:ind w:right="74"/>
              <w:spacing w:after="0"/>
              <w:rPr>
                <w:sz w:val="20"/>
                <w:szCs w:val="20"/>
                <w:color w:val="auto"/>
              </w:rPr>
            </w:pPr>
            <w:r>
              <w:rPr>
                <w:rFonts w:ascii="Arial" w:cs="Arial" w:eastAsia="Arial" w:hAnsi="Arial"/>
                <w:sz w:val="10"/>
                <w:szCs w:val="10"/>
                <w:color w:val="auto"/>
              </w:rPr>
              <w:t>24,571,980</w:t>
            </w:r>
          </w:p>
        </w:tc>
        <w:tc>
          <w:tcPr>
            <w:tcW w:w="160" w:type="dxa"/>
            <w:vAlign w:val="bottom"/>
            <w:shd w:val="clear" w:color="auto" w:fill="FDF9F2"/>
          </w:tcPr>
          <w:p>
            <w:pPr>
              <w:spacing w:after="0"/>
              <w:rPr>
                <w:sz w:val="16"/>
                <w:szCs w:val="16"/>
                <w:color w:val="auto"/>
              </w:rPr>
            </w:pPr>
          </w:p>
        </w:tc>
        <w:tc>
          <w:tcPr>
            <w:tcW w:w="720" w:type="dxa"/>
            <w:vAlign w:val="bottom"/>
            <w:shd w:val="clear" w:color="auto" w:fill="FDF9F2"/>
          </w:tcPr>
          <w:p>
            <w:pPr>
              <w:jc w:val="right"/>
              <w:ind w:right="54"/>
              <w:spacing w:after="0"/>
              <w:rPr>
                <w:sz w:val="20"/>
                <w:szCs w:val="20"/>
                <w:color w:val="auto"/>
              </w:rPr>
            </w:pPr>
            <w:r>
              <w:rPr>
                <w:rFonts w:ascii="Arial" w:cs="Arial" w:eastAsia="Arial" w:hAnsi="Arial"/>
                <w:sz w:val="10"/>
                <w:szCs w:val="10"/>
                <w:color w:val="auto"/>
              </w:rPr>
              <w:t>-</w:t>
            </w:r>
          </w:p>
        </w:tc>
        <w:tc>
          <w:tcPr>
            <w:tcW w:w="160" w:type="dxa"/>
            <w:vAlign w:val="bottom"/>
            <w:shd w:val="clear" w:color="auto" w:fill="FDF9F2"/>
          </w:tcPr>
          <w:p>
            <w:pPr>
              <w:jc w:val="right"/>
              <w:spacing w:after="0"/>
              <w:rPr>
                <w:sz w:val="20"/>
                <w:szCs w:val="20"/>
                <w:color w:val="auto"/>
              </w:rPr>
            </w:pPr>
            <w:r>
              <w:rPr>
                <w:rFonts w:ascii="Arial" w:cs="Arial" w:eastAsia="Arial" w:hAnsi="Arial"/>
                <w:sz w:val="10"/>
                <w:szCs w:val="10"/>
                <w:color w:val="auto"/>
              </w:rPr>
              <w:t>$</w:t>
            </w:r>
          </w:p>
        </w:tc>
        <w:tc>
          <w:tcPr>
            <w:tcW w:w="740" w:type="dxa"/>
            <w:vAlign w:val="bottom"/>
            <w:shd w:val="clear" w:color="auto" w:fill="FDF9F2"/>
          </w:tcPr>
          <w:p>
            <w:pPr>
              <w:jc w:val="right"/>
              <w:ind w:right="71"/>
              <w:spacing w:after="0"/>
              <w:rPr>
                <w:sz w:val="20"/>
                <w:szCs w:val="20"/>
                <w:color w:val="auto"/>
              </w:rPr>
            </w:pPr>
            <w:r>
              <w:rPr>
                <w:rFonts w:ascii="Arial" w:cs="Arial" w:eastAsia="Arial" w:hAnsi="Arial"/>
                <w:sz w:val="10"/>
                <w:szCs w:val="10"/>
                <w:color w:val="auto"/>
              </w:rPr>
              <w:t>7,387,812</w:t>
            </w:r>
          </w:p>
        </w:tc>
        <w:tc>
          <w:tcPr>
            <w:tcW w:w="860" w:type="dxa"/>
            <w:vAlign w:val="bottom"/>
            <w:shd w:val="clear" w:color="auto" w:fill="FDF9F2"/>
          </w:tcPr>
          <w:p>
            <w:pPr>
              <w:jc w:val="right"/>
              <w:ind w:right="55"/>
              <w:spacing w:after="0"/>
              <w:rPr>
                <w:sz w:val="20"/>
                <w:szCs w:val="20"/>
                <w:color w:val="auto"/>
              </w:rPr>
            </w:pPr>
            <w:r>
              <w:rPr>
                <w:rFonts w:ascii="Arial" w:cs="Arial" w:eastAsia="Arial" w:hAnsi="Arial"/>
                <w:sz w:val="10"/>
                <w:szCs w:val="10"/>
                <w:color w:val="auto"/>
              </w:rPr>
              <w:t>-</w:t>
            </w:r>
          </w:p>
        </w:tc>
        <w:tc>
          <w:tcPr>
            <w:tcW w:w="180" w:type="dxa"/>
            <w:vAlign w:val="bottom"/>
            <w:shd w:val="clear" w:color="auto" w:fill="FDF9F2"/>
          </w:tcPr>
          <w:p>
            <w:pPr>
              <w:jc w:val="right"/>
              <w:spacing w:after="0"/>
              <w:rPr>
                <w:sz w:val="20"/>
                <w:szCs w:val="20"/>
                <w:color w:val="auto"/>
              </w:rPr>
            </w:pPr>
            <w:r>
              <w:rPr>
                <w:rFonts w:ascii="Arial" w:cs="Arial" w:eastAsia="Arial" w:hAnsi="Arial"/>
                <w:sz w:val="10"/>
                <w:szCs w:val="10"/>
                <w:color w:val="auto"/>
              </w:rPr>
              <w:t>$</w:t>
            </w:r>
          </w:p>
        </w:tc>
        <w:tc>
          <w:tcPr>
            <w:tcW w:w="700" w:type="dxa"/>
            <w:vAlign w:val="bottom"/>
            <w:shd w:val="clear" w:color="auto" w:fill="FDF9F2"/>
          </w:tcPr>
          <w:p>
            <w:pPr>
              <w:jc w:val="right"/>
              <w:ind w:right="56"/>
              <w:spacing w:after="0"/>
              <w:rPr>
                <w:sz w:val="20"/>
                <w:szCs w:val="20"/>
                <w:color w:val="auto"/>
              </w:rPr>
            </w:pPr>
            <w:r>
              <w:rPr>
                <w:rFonts w:ascii="Arial" w:cs="Arial" w:eastAsia="Arial" w:hAnsi="Arial"/>
                <w:sz w:val="10"/>
                <w:szCs w:val="10"/>
                <w:color w:val="auto"/>
              </w:rPr>
              <w:t>5,210,698</w:t>
            </w:r>
          </w:p>
        </w:tc>
        <w:tc>
          <w:tcPr>
            <w:tcW w:w="180" w:type="dxa"/>
            <w:vAlign w:val="bottom"/>
            <w:shd w:val="clear" w:color="auto" w:fill="FDF9F2"/>
          </w:tcPr>
          <w:p>
            <w:pPr>
              <w:jc w:val="right"/>
              <w:spacing w:after="0"/>
              <w:rPr>
                <w:sz w:val="20"/>
                <w:szCs w:val="20"/>
                <w:color w:val="auto"/>
              </w:rPr>
            </w:pPr>
            <w:r>
              <w:rPr>
                <w:rFonts w:ascii="Arial" w:cs="Arial" w:eastAsia="Arial" w:hAnsi="Arial"/>
                <w:sz w:val="10"/>
                <w:szCs w:val="10"/>
                <w:color w:val="auto"/>
              </w:rPr>
              <w:t>$</w:t>
            </w:r>
          </w:p>
        </w:tc>
        <w:tc>
          <w:tcPr>
            <w:tcW w:w="720" w:type="dxa"/>
            <w:vAlign w:val="bottom"/>
            <w:shd w:val="clear" w:color="auto" w:fill="FDF9F2"/>
          </w:tcPr>
          <w:p>
            <w:pPr>
              <w:jc w:val="right"/>
              <w:ind w:right="54"/>
              <w:spacing w:after="0"/>
              <w:rPr>
                <w:sz w:val="20"/>
                <w:szCs w:val="20"/>
                <w:color w:val="auto"/>
              </w:rPr>
            </w:pPr>
            <w:r>
              <w:rPr>
                <w:rFonts w:ascii="Arial" w:cs="Arial" w:eastAsia="Arial" w:hAnsi="Arial"/>
                <w:sz w:val="10"/>
                <w:szCs w:val="10"/>
                <w:color w:val="auto"/>
              </w:rPr>
              <w:t>4,256,704</w:t>
            </w:r>
          </w:p>
        </w:tc>
        <w:tc>
          <w:tcPr>
            <w:tcW w:w="180" w:type="dxa"/>
            <w:vAlign w:val="bottom"/>
            <w:shd w:val="clear" w:color="auto" w:fill="FDF9F2"/>
          </w:tcPr>
          <w:p>
            <w:pPr>
              <w:jc w:val="right"/>
              <w:spacing w:after="0"/>
              <w:rPr>
                <w:sz w:val="20"/>
                <w:szCs w:val="20"/>
                <w:color w:val="auto"/>
              </w:rPr>
            </w:pPr>
            <w:r>
              <w:rPr>
                <w:rFonts w:ascii="Arial" w:cs="Arial" w:eastAsia="Arial" w:hAnsi="Arial"/>
                <w:sz w:val="10"/>
                <w:szCs w:val="10"/>
                <w:color w:val="auto"/>
              </w:rPr>
              <w:t>$</w:t>
            </w:r>
          </w:p>
        </w:tc>
        <w:tc>
          <w:tcPr>
            <w:tcW w:w="680" w:type="dxa"/>
            <w:vAlign w:val="bottom"/>
            <w:shd w:val="clear" w:color="auto" w:fill="FDF9F2"/>
          </w:tcPr>
          <w:p>
            <w:pPr>
              <w:jc w:val="right"/>
              <w:ind w:right="75"/>
              <w:spacing w:after="0"/>
              <w:rPr>
                <w:sz w:val="20"/>
                <w:szCs w:val="20"/>
                <w:color w:val="auto"/>
              </w:rPr>
            </w:pPr>
            <w:r>
              <w:rPr>
                <w:rFonts w:ascii="Arial" w:cs="Arial" w:eastAsia="Arial" w:hAnsi="Arial"/>
                <w:sz w:val="10"/>
                <w:szCs w:val="10"/>
                <w:color w:val="auto"/>
              </w:rPr>
              <w:t>81.96</w:t>
            </w:r>
          </w:p>
        </w:tc>
        <w:tc>
          <w:tcPr>
            <w:tcW w:w="160" w:type="dxa"/>
            <w:vAlign w:val="bottom"/>
            <w:shd w:val="clear" w:color="auto" w:fill="FDF9F2"/>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FDF9F2"/>
          </w:tcPr>
          <w:p>
            <w:pPr>
              <w:jc w:val="right"/>
              <w:ind w:right="34"/>
              <w:spacing w:after="0"/>
              <w:rPr>
                <w:sz w:val="20"/>
                <w:szCs w:val="20"/>
                <w:color w:val="auto"/>
              </w:rPr>
            </w:pPr>
            <w:r>
              <w:rPr>
                <w:rFonts w:ascii="Arial" w:cs="Arial" w:eastAsia="Arial" w:hAnsi="Arial"/>
                <w:sz w:val="10"/>
                <w:szCs w:val="10"/>
                <w:color w:val="auto"/>
              </w:rPr>
              <w:t>89.66</w:t>
            </w:r>
          </w:p>
        </w:tc>
        <w:tc>
          <w:tcPr>
            <w:tcW w:w="160" w:type="dxa"/>
            <w:vAlign w:val="bottom"/>
            <w:shd w:val="clear" w:color="auto" w:fill="FDF9F2"/>
          </w:tcPr>
          <w:p>
            <w:pPr>
              <w:jc w:val="right"/>
              <w:spacing w:after="0"/>
              <w:rPr>
                <w:sz w:val="20"/>
                <w:szCs w:val="20"/>
                <w:color w:val="auto"/>
              </w:rPr>
            </w:pPr>
            <w:r>
              <w:rPr>
                <w:rFonts w:ascii="Arial" w:cs="Arial" w:eastAsia="Arial" w:hAnsi="Arial"/>
                <w:sz w:val="10"/>
                <w:szCs w:val="10"/>
                <w:color w:val="auto"/>
              </w:rPr>
              <w:t>$</w:t>
            </w:r>
          </w:p>
        </w:tc>
        <w:tc>
          <w:tcPr>
            <w:tcW w:w="900" w:type="dxa"/>
            <w:vAlign w:val="bottom"/>
            <w:shd w:val="clear" w:color="auto" w:fill="FDF9F2"/>
          </w:tcPr>
          <w:p>
            <w:pPr>
              <w:jc w:val="right"/>
              <w:ind w:right="51"/>
              <w:spacing w:after="0"/>
              <w:rPr>
                <w:sz w:val="20"/>
                <w:szCs w:val="20"/>
                <w:color w:val="auto"/>
              </w:rPr>
            </w:pPr>
            <w:r>
              <w:rPr>
                <w:rFonts w:ascii="Arial" w:cs="Arial" w:eastAsia="Arial" w:hAnsi="Arial"/>
                <w:sz w:val="10"/>
                <w:szCs w:val="10"/>
                <w:color w:val="auto"/>
              </w:rPr>
              <w:t>(2,067,245,000)</w:t>
            </w:r>
          </w:p>
        </w:tc>
        <w:tc>
          <w:tcPr>
            <w:tcW w:w="220" w:type="dxa"/>
            <w:vAlign w:val="bottom"/>
            <w:shd w:val="clear" w:color="auto" w:fill="FDF9F2"/>
          </w:tcPr>
          <w:p>
            <w:pPr>
              <w:jc w:val="right"/>
              <w:spacing w:after="0"/>
              <w:rPr>
                <w:sz w:val="20"/>
                <w:szCs w:val="20"/>
                <w:color w:val="auto"/>
              </w:rPr>
            </w:pPr>
            <w:r>
              <w:rPr>
                <w:rFonts w:ascii="Arial" w:cs="Arial" w:eastAsia="Arial" w:hAnsi="Arial"/>
                <w:sz w:val="10"/>
                <w:szCs w:val="10"/>
                <w:color w:val="auto"/>
              </w:rPr>
              <w:t>$</w:t>
            </w:r>
          </w:p>
        </w:tc>
        <w:tc>
          <w:tcPr>
            <w:tcW w:w="880" w:type="dxa"/>
            <w:vAlign w:val="bottom"/>
            <w:shd w:val="clear" w:color="auto" w:fill="FDF9F2"/>
          </w:tcPr>
          <w:p>
            <w:pPr>
              <w:jc w:val="right"/>
              <w:ind w:right="134"/>
              <w:spacing w:after="0"/>
              <w:rPr>
                <w:sz w:val="20"/>
                <w:szCs w:val="20"/>
                <w:color w:val="auto"/>
              </w:rPr>
            </w:pPr>
            <w:r>
              <w:rPr>
                <w:rFonts w:ascii="Arial" w:cs="Arial" w:eastAsia="Arial" w:hAnsi="Arial"/>
                <w:sz w:val="10"/>
                <w:szCs w:val="10"/>
                <w:color w:val="auto"/>
              </w:rPr>
              <w:t>(324,305,000)</w:t>
            </w:r>
          </w:p>
        </w:tc>
        <w:tc>
          <w:tcPr>
            <w:tcW w:w="0" w:type="dxa"/>
            <w:vAlign w:val="bottom"/>
          </w:tcPr>
          <w:p>
            <w:pPr>
              <w:spacing w:after="0"/>
              <w:rPr>
                <w:sz w:val="1"/>
                <w:szCs w:val="1"/>
                <w:color w:val="auto"/>
              </w:rPr>
            </w:pPr>
          </w:p>
        </w:tc>
      </w:tr>
      <w:tr>
        <w:trPr>
          <w:trHeight w:val="61"/>
        </w:trPr>
        <w:tc>
          <w:tcPr>
            <w:tcW w:w="1500" w:type="dxa"/>
            <w:vAlign w:val="bottom"/>
            <w:tcBorders>
              <w:right w:val="single" w:sz="8" w:color="FDF9F2"/>
            </w:tcBorders>
            <w:shd w:val="clear" w:color="auto" w:fill="FDF9F2"/>
          </w:tcPr>
          <w:p>
            <w:pPr>
              <w:spacing w:after="0"/>
              <w:rPr>
                <w:sz w:val="5"/>
                <w:szCs w:val="5"/>
                <w:color w:val="auto"/>
              </w:rPr>
            </w:pPr>
          </w:p>
        </w:tc>
        <w:tc>
          <w:tcPr>
            <w:tcW w:w="140" w:type="dxa"/>
            <w:vAlign w:val="bottom"/>
            <w:shd w:val="clear" w:color="auto" w:fill="FDF9F2"/>
          </w:tcPr>
          <w:p>
            <w:pPr>
              <w:spacing w:after="0"/>
              <w:rPr>
                <w:sz w:val="5"/>
                <w:szCs w:val="5"/>
                <w:color w:val="auto"/>
              </w:rPr>
            </w:pPr>
          </w:p>
        </w:tc>
        <w:tc>
          <w:tcPr>
            <w:tcW w:w="720" w:type="dxa"/>
            <w:vAlign w:val="bottom"/>
            <w:shd w:val="clear" w:color="auto" w:fill="FDF9F2"/>
          </w:tcPr>
          <w:p>
            <w:pPr>
              <w:spacing w:after="0"/>
              <w:rPr>
                <w:sz w:val="5"/>
                <w:szCs w:val="5"/>
                <w:color w:val="auto"/>
              </w:rPr>
            </w:pPr>
          </w:p>
        </w:tc>
        <w:tc>
          <w:tcPr>
            <w:tcW w:w="160" w:type="dxa"/>
            <w:vAlign w:val="bottom"/>
            <w:shd w:val="clear" w:color="auto" w:fill="FDF9F2"/>
          </w:tcPr>
          <w:p>
            <w:pPr>
              <w:spacing w:after="0"/>
              <w:rPr>
                <w:sz w:val="5"/>
                <w:szCs w:val="5"/>
                <w:color w:val="auto"/>
              </w:rPr>
            </w:pPr>
          </w:p>
        </w:tc>
        <w:tc>
          <w:tcPr>
            <w:tcW w:w="720" w:type="dxa"/>
            <w:vAlign w:val="bottom"/>
            <w:shd w:val="clear" w:color="auto" w:fill="FDF9F2"/>
          </w:tcPr>
          <w:p>
            <w:pPr>
              <w:spacing w:after="0"/>
              <w:rPr>
                <w:sz w:val="5"/>
                <w:szCs w:val="5"/>
                <w:color w:val="auto"/>
              </w:rPr>
            </w:pPr>
          </w:p>
        </w:tc>
        <w:tc>
          <w:tcPr>
            <w:tcW w:w="160" w:type="dxa"/>
            <w:vAlign w:val="bottom"/>
            <w:shd w:val="clear" w:color="auto" w:fill="FDF9F2"/>
          </w:tcPr>
          <w:p>
            <w:pPr>
              <w:spacing w:after="0"/>
              <w:rPr>
                <w:sz w:val="5"/>
                <w:szCs w:val="5"/>
                <w:color w:val="auto"/>
              </w:rPr>
            </w:pPr>
          </w:p>
        </w:tc>
        <w:tc>
          <w:tcPr>
            <w:tcW w:w="740" w:type="dxa"/>
            <w:vAlign w:val="bottom"/>
            <w:shd w:val="clear" w:color="auto" w:fill="FDF9F2"/>
          </w:tcPr>
          <w:p>
            <w:pPr>
              <w:spacing w:after="0"/>
              <w:rPr>
                <w:sz w:val="5"/>
                <w:szCs w:val="5"/>
                <w:color w:val="auto"/>
              </w:rPr>
            </w:pPr>
          </w:p>
        </w:tc>
        <w:tc>
          <w:tcPr>
            <w:tcW w:w="860" w:type="dxa"/>
            <w:vAlign w:val="bottom"/>
            <w:shd w:val="clear" w:color="auto" w:fill="FDF9F2"/>
          </w:tcPr>
          <w:p>
            <w:pPr>
              <w:spacing w:after="0"/>
              <w:rPr>
                <w:sz w:val="5"/>
                <w:szCs w:val="5"/>
                <w:color w:val="auto"/>
              </w:rPr>
            </w:pPr>
          </w:p>
        </w:tc>
        <w:tc>
          <w:tcPr>
            <w:tcW w:w="180" w:type="dxa"/>
            <w:vAlign w:val="bottom"/>
            <w:shd w:val="clear" w:color="auto" w:fill="FDF9F2"/>
          </w:tcPr>
          <w:p>
            <w:pPr>
              <w:spacing w:after="0"/>
              <w:rPr>
                <w:sz w:val="5"/>
                <w:szCs w:val="5"/>
                <w:color w:val="auto"/>
              </w:rPr>
            </w:pPr>
          </w:p>
        </w:tc>
        <w:tc>
          <w:tcPr>
            <w:tcW w:w="700" w:type="dxa"/>
            <w:vAlign w:val="bottom"/>
            <w:shd w:val="clear" w:color="auto" w:fill="FDF9F2"/>
          </w:tcPr>
          <w:p>
            <w:pPr>
              <w:spacing w:after="0"/>
              <w:rPr>
                <w:sz w:val="5"/>
                <w:szCs w:val="5"/>
                <w:color w:val="auto"/>
              </w:rPr>
            </w:pPr>
          </w:p>
        </w:tc>
        <w:tc>
          <w:tcPr>
            <w:tcW w:w="180" w:type="dxa"/>
            <w:vAlign w:val="bottom"/>
            <w:shd w:val="clear" w:color="auto" w:fill="FDF9F2"/>
          </w:tcPr>
          <w:p>
            <w:pPr>
              <w:spacing w:after="0"/>
              <w:rPr>
                <w:sz w:val="5"/>
                <w:szCs w:val="5"/>
                <w:color w:val="auto"/>
              </w:rPr>
            </w:pPr>
          </w:p>
        </w:tc>
        <w:tc>
          <w:tcPr>
            <w:tcW w:w="720" w:type="dxa"/>
            <w:vAlign w:val="bottom"/>
            <w:shd w:val="clear" w:color="auto" w:fill="FDF9F2"/>
          </w:tcPr>
          <w:p>
            <w:pPr>
              <w:spacing w:after="0"/>
              <w:rPr>
                <w:sz w:val="5"/>
                <w:szCs w:val="5"/>
                <w:color w:val="auto"/>
              </w:rPr>
            </w:pPr>
          </w:p>
        </w:tc>
        <w:tc>
          <w:tcPr>
            <w:tcW w:w="180" w:type="dxa"/>
            <w:vAlign w:val="bottom"/>
            <w:shd w:val="clear" w:color="auto" w:fill="FDF9F2"/>
          </w:tcPr>
          <w:p>
            <w:pPr>
              <w:spacing w:after="0"/>
              <w:rPr>
                <w:sz w:val="5"/>
                <w:szCs w:val="5"/>
                <w:color w:val="auto"/>
              </w:rPr>
            </w:pPr>
          </w:p>
        </w:tc>
        <w:tc>
          <w:tcPr>
            <w:tcW w:w="680" w:type="dxa"/>
            <w:vAlign w:val="bottom"/>
            <w:shd w:val="clear" w:color="auto" w:fill="FDF9F2"/>
          </w:tcPr>
          <w:p>
            <w:pPr>
              <w:spacing w:after="0"/>
              <w:rPr>
                <w:sz w:val="5"/>
                <w:szCs w:val="5"/>
                <w:color w:val="auto"/>
              </w:rPr>
            </w:pPr>
          </w:p>
        </w:tc>
        <w:tc>
          <w:tcPr>
            <w:tcW w:w="160" w:type="dxa"/>
            <w:vAlign w:val="bottom"/>
            <w:shd w:val="clear" w:color="auto" w:fill="FDF9F2"/>
          </w:tcPr>
          <w:p>
            <w:pPr>
              <w:spacing w:after="0"/>
              <w:rPr>
                <w:sz w:val="5"/>
                <w:szCs w:val="5"/>
                <w:color w:val="auto"/>
              </w:rPr>
            </w:pPr>
          </w:p>
        </w:tc>
        <w:tc>
          <w:tcPr>
            <w:tcW w:w="660" w:type="dxa"/>
            <w:vAlign w:val="bottom"/>
            <w:shd w:val="clear" w:color="auto" w:fill="FDF9F2"/>
          </w:tcPr>
          <w:p>
            <w:pPr>
              <w:spacing w:after="0"/>
              <w:rPr>
                <w:sz w:val="5"/>
                <w:szCs w:val="5"/>
                <w:color w:val="auto"/>
              </w:rPr>
            </w:pPr>
          </w:p>
        </w:tc>
        <w:tc>
          <w:tcPr>
            <w:tcW w:w="160" w:type="dxa"/>
            <w:vAlign w:val="bottom"/>
            <w:shd w:val="clear" w:color="auto" w:fill="FDF9F2"/>
          </w:tcPr>
          <w:p>
            <w:pPr>
              <w:spacing w:after="0"/>
              <w:rPr>
                <w:sz w:val="5"/>
                <w:szCs w:val="5"/>
                <w:color w:val="auto"/>
              </w:rPr>
            </w:pPr>
          </w:p>
        </w:tc>
        <w:tc>
          <w:tcPr>
            <w:tcW w:w="900" w:type="dxa"/>
            <w:vAlign w:val="bottom"/>
            <w:shd w:val="clear" w:color="auto" w:fill="FDF9F2"/>
          </w:tcPr>
          <w:p>
            <w:pPr>
              <w:spacing w:after="0"/>
              <w:rPr>
                <w:sz w:val="5"/>
                <w:szCs w:val="5"/>
                <w:color w:val="auto"/>
              </w:rPr>
            </w:pPr>
          </w:p>
        </w:tc>
        <w:tc>
          <w:tcPr>
            <w:tcW w:w="220" w:type="dxa"/>
            <w:vAlign w:val="bottom"/>
            <w:shd w:val="clear" w:color="auto" w:fill="FDF9F2"/>
          </w:tcPr>
          <w:p>
            <w:pPr>
              <w:spacing w:after="0"/>
              <w:rPr>
                <w:sz w:val="5"/>
                <w:szCs w:val="5"/>
                <w:color w:val="auto"/>
              </w:rPr>
            </w:pPr>
          </w:p>
        </w:tc>
        <w:tc>
          <w:tcPr>
            <w:tcW w:w="880" w:type="dxa"/>
            <w:vAlign w:val="bottom"/>
            <w:shd w:val="clear" w:color="auto" w:fill="FDF9F2"/>
          </w:tcPr>
          <w:p>
            <w:pPr>
              <w:spacing w:after="0"/>
              <w:rPr>
                <w:sz w:val="5"/>
                <w:szCs w:val="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20" w:right="80" w:hanging="4"/>
        <w:spacing w:after="0" w:line="235" w:lineRule="auto"/>
        <w:tabs>
          <w:tab w:leader="none" w:pos="502" w:val="left"/>
        </w:tabs>
        <w:numPr>
          <w:ilvl w:val="0"/>
          <w:numId w:val="39"/>
        </w:numPr>
        <w:rPr>
          <w:rFonts w:ascii="Arial" w:cs="Arial" w:eastAsia="Arial" w:hAnsi="Arial"/>
          <w:sz w:val="12"/>
          <w:szCs w:val="12"/>
          <w:color w:val="auto"/>
        </w:rPr>
      </w:pPr>
      <w:r>
        <w:rPr>
          <w:rFonts w:ascii="Arial" w:cs="Arial" w:eastAsia="Arial" w:hAnsi="Arial"/>
          <w:sz w:val="12"/>
          <w:szCs w:val="12"/>
          <w:color w:val="auto"/>
        </w:rPr>
        <w:t>Effective February 1, 2022, Mr. Billings succeeded Mr. Maddox as the Company’s Chief Executive Officer and the Principal Executive Officer. For the year 2022, the amounts set forth in these columns reflect Mr. Maddox’s compensation for the period between January 1, 2022 and January 31, 2022, including severance. Mr. Maddox was the PEO of the Company for fiscal years 2021 and 2020.</w:t>
      </w:r>
    </w:p>
    <w:p>
      <w:pPr>
        <w:spacing w:after="0" w:line="1"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44 //</w:t>
      </w:r>
    </w:p>
    <w:p>
      <w:pPr>
        <w:sectPr>
          <w:pgSz w:w="11900" w:h="16838" w:orient="portrait"/>
          <w:cols w:equalWidth="0" w:num="1">
            <w:col w:w="10940"/>
          </w:cols>
          <w:pgMar w:left="320" w:top="473" w:right="6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0" w:right="780" w:hanging="4"/>
        <w:spacing w:after="0" w:line="239" w:lineRule="auto"/>
        <w:tabs>
          <w:tab w:leader="none" w:pos="502" w:val="left"/>
        </w:tabs>
        <w:numPr>
          <w:ilvl w:val="0"/>
          <w:numId w:val="40"/>
        </w:numPr>
        <w:rPr>
          <w:rFonts w:ascii="Arial" w:cs="Arial" w:eastAsia="Arial" w:hAnsi="Arial"/>
          <w:sz w:val="12"/>
          <w:szCs w:val="12"/>
          <w:color w:val="auto"/>
        </w:rPr>
      </w:pPr>
      <w:r>
        <w:rPr>
          <w:rFonts w:ascii="Arial" w:cs="Arial" w:eastAsia="Arial" w:hAnsi="Arial"/>
          <w:sz w:val="12"/>
          <w:szCs w:val="12"/>
          <w:color w:val="auto"/>
        </w:rPr>
        <w:t>For the year 2022, compensation information for Mr. Maddox includes consideration of the terms set forth in the Maddox Transition Agreement, including forfeitures. See “Summary Compensation Table” section for more detail.</w:t>
      </w:r>
    </w:p>
    <w:p>
      <w:pPr>
        <w:spacing w:after="0" w:line="89" w:lineRule="exact"/>
        <w:rPr>
          <w:rFonts w:ascii="Arial" w:cs="Arial" w:eastAsia="Arial" w:hAnsi="Arial"/>
          <w:sz w:val="12"/>
          <w:szCs w:val="12"/>
          <w:color w:val="auto"/>
        </w:rPr>
      </w:pPr>
    </w:p>
    <w:p>
      <w:pPr>
        <w:ind w:left="320" w:right="460" w:hanging="4"/>
        <w:spacing w:after="0" w:line="239" w:lineRule="auto"/>
        <w:tabs>
          <w:tab w:leader="none" w:pos="502"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amounts set forth in these columns reflect Mr. Billings’ total compensation for the year 2022, including compensation as the Company’s Chief Financial Officer for the period between January 1, 2022 and January 31, 2022.</w:t>
      </w:r>
    </w:p>
    <w:p>
      <w:pPr>
        <w:spacing w:after="0" w:line="89" w:lineRule="exact"/>
        <w:rPr>
          <w:rFonts w:ascii="Arial" w:cs="Arial" w:eastAsia="Arial" w:hAnsi="Arial"/>
          <w:sz w:val="12"/>
          <w:szCs w:val="12"/>
          <w:color w:val="auto"/>
        </w:rPr>
      </w:pPr>
    </w:p>
    <w:p>
      <w:pPr>
        <w:jc w:val="both"/>
        <w:ind w:left="320" w:right="100" w:hanging="4"/>
        <w:spacing w:after="0" w:line="235" w:lineRule="auto"/>
        <w:tabs>
          <w:tab w:leader="none" w:pos="502" w:val="left"/>
        </w:tabs>
        <w:numPr>
          <w:ilvl w:val="0"/>
          <w:numId w:val="40"/>
        </w:numPr>
        <w:rPr>
          <w:rFonts w:ascii="Arial" w:cs="Arial" w:eastAsia="Arial" w:hAnsi="Arial"/>
          <w:sz w:val="12"/>
          <w:szCs w:val="12"/>
          <w:color w:val="auto"/>
        </w:rPr>
      </w:pPr>
      <w:r>
        <w:rPr>
          <w:rFonts w:ascii="Arial" w:cs="Arial" w:eastAsia="Arial" w:hAnsi="Arial"/>
          <w:sz w:val="12"/>
          <w:szCs w:val="12"/>
          <w:color w:val="auto"/>
        </w:rPr>
        <w:t>Effective February 1, 2022, Mr. Billings was named the PEO and was excluded from the list of Non-PEO NEOs. Mr. Billings’ compensation is included in PEO columns. Effective April 18, 2022, Ms. Cameron-Doe was appointed as the Company’s Chief Financial Officer and was named a NEO. For 2022, the Company’s NEOs were Ms. Cameron-Doe, who joined the Company on April 18, 2022, and Ms. Whittemore. For the year 2021 and 2020, the Company’s NEOs were Mr. Billings and Ms. Whittemore.</w:t>
      </w:r>
    </w:p>
    <w:p>
      <w:pPr>
        <w:spacing w:after="0" w:line="46" w:lineRule="exact"/>
        <w:rPr>
          <w:rFonts w:ascii="Arial" w:cs="Arial" w:eastAsia="Arial" w:hAnsi="Arial"/>
          <w:sz w:val="12"/>
          <w:szCs w:val="12"/>
          <w:color w:val="auto"/>
        </w:rPr>
      </w:pPr>
    </w:p>
    <w:p>
      <w:pPr>
        <w:ind w:left="500" w:hanging="184"/>
        <w:spacing w:after="0"/>
        <w:tabs>
          <w:tab w:leader="none" w:pos="5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amounts set forth in these columns reflect the remeasurement of equity awards at the vesting date or if not vested at December 31</w:t>
      </w:r>
      <w:r>
        <w:rPr>
          <w:rFonts w:ascii="Arial" w:cs="Arial" w:eastAsia="Arial" w:hAnsi="Arial"/>
          <w:sz w:val="15"/>
          <w:szCs w:val="15"/>
          <w:color w:val="auto"/>
          <w:vertAlign w:val="superscript"/>
        </w:rPr>
        <w:t>st</w:t>
      </w:r>
      <w:r>
        <w:rPr>
          <w:rFonts w:ascii="Arial" w:cs="Arial" w:eastAsia="Arial" w:hAnsi="Arial"/>
          <w:sz w:val="12"/>
          <w:szCs w:val="12"/>
          <w:color w:val="auto"/>
        </w:rPr>
        <w:t xml:space="preserve"> of each respective year computed in accordance with</w:t>
      </w:r>
    </w:p>
    <w:p>
      <w:pPr>
        <w:ind w:left="320" w:right="20"/>
        <w:spacing w:after="0" w:line="239" w:lineRule="auto"/>
        <w:rPr>
          <w:rFonts w:ascii="Arial" w:cs="Arial" w:eastAsia="Arial" w:hAnsi="Arial"/>
          <w:sz w:val="12"/>
          <w:szCs w:val="12"/>
          <w:color w:val="auto"/>
        </w:rPr>
      </w:pPr>
      <w:r>
        <w:rPr>
          <w:rFonts w:ascii="Arial" w:cs="Arial" w:eastAsia="Arial" w:hAnsi="Arial"/>
          <w:sz w:val="12"/>
          <w:szCs w:val="12"/>
          <w:color w:val="auto"/>
        </w:rPr>
        <w:t>FASB ASC Topic 718. The valuation assumptions used to calculate such fair values did not materially differ from those disclosed at the time of grant other than the stock price of a subsidiary used in the valuation of subsidiary stock options. NEOs do not receive pension benefits.</w:t>
      </w:r>
    </w:p>
    <w:p>
      <w:pPr>
        <w:spacing w:after="0" w:line="89" w:lineRule="exact"/>
        <w:rPr>
          <w:rFonts w:ascii="Arial" w:cs="Arial" w:eastAsia="Arial" w:hAnsi="Arial"/>
          <w:sz w:val="12"/>
          <w:szCs w:val="12"/>
          <w:color w:val="auto"/>
        </w:rPr>
      </w:pPr>
    </w:p>
    <w:p>
      <w:pPr>
        <w:ind w:left="320" w:right="80" w:hanging="4"/>
        <w:spacing w:after="0" w:line="239" w:lineRule="auto"/>
        <w:tabs>
          <w:tab w:leader="none" w:pos="502"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Company TSR and the TSR of the Dow Jones Gambling Index (Ticker: DJUSCA), the Company’s Peer Group, reflected in these columns for each applicable fiscal year is calculated based on a fixed investment of $100, including the reinvestment of dividends, on the applicable measurement point on the same cumulative basis as is used in Item 201(e) of Regulation S-K.</w:t>
      </w:r>
    </w:p>
    <w:p>
      <w:pPr>
        <w:spacing w:after="0" w:line="89" w:lineRule="exact"/>
        <w:rPr>
          <w:rFonts w:ascii="Arial" w:cs="Arial" w:eastAsia="Arial" w:hAnsi="Arial"/>
          <w:sz w:val="12"/>
          <w:szCs w:val="12"/>
          <w:color w:val="auto"/>
        </w:rPr>
      </w:pPr>
    </w:p>
    <w:p>
      <w:pPr>
        <w:ind w:left="320" w:right="20" w:hanging="4"/>
        <w:spacing w:after="0" w:line="226" w:lineRule="auto"/>
        <w:tabs>
          <w:tab w:leader="none" w:pos="502"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“Compensation Actually Paid” to the outgoing PEO reflects the following adjustments made to the “Total Compensation” amounts reported in the Summary Compensation Table, computed in accordance with Item 402(v) of Regulation S-K:</w:t>
      </w:r>
    </w:p>
    <w:p>
      <w:pPr>
        <w:ind w:left="320" w:right="40"/>
        <w:spacing w:after="0" w:line="226" w:lineRule="auto"/>
        <w:rPr>
          <w:rFonts w:ascii="Arial" w:cs="Arial" w:eastAsia="Arial" w:hAnsi="Arial"/>
          <w:sz w:val="12"/>
          <w:szCs w:val="12"/>
          <w:color w:val="auto"/>
        </w:rPr>
      </w:pPr>
      <w:r>
        <w:rPr>
          <w:rFonts w:ascii="Arial" w:cs="Arial" w:eastAsia="Arial" w:hAnsi="Arial"/>
          <w:sz w:val="12"/>
          <w:szCs w:val="12"/>
          <w:color w:val="auto"/>
        </w:rPr>
        <w:t>(i) For the 2022 fiscal year, $(2,111,462) represents a change in fair value of equity awards at the vesting date, and $(6,417,288) represents the reversal of compensation actually paid related to the forfeiture of previously granted equity awards upon separation from the Company;</w:t>
      </w:r>
    </w:p>
    <w:p>
      <w:pPr>
        <w:ind w:left="320" w:right="20"/>
        <w:spacing w:after="0" w:line="226" w:lineRule="auto"/>
        <w:rPr>
          <w:rFonts w:ascii="Arial" w:cs="Arial" w:eastAsia="Arial" w:hAnsi="Arial"/>
          <w:sz w:val="12"/>
          <w:szCs w:val="12"/>
          <w:color w:val="auto"/>
        </w:rPr>
      </w:pPr>
      <w:r>
        <w:rPr>
          <w:rFonts w:ascii="Arial" w:cs="Arial" w:eastAsia="Arial" w:hAnsi="Arial"/>
          <w:sz w:val="12"/>
          <w:szCs w:val="12"/>
          <w:color w:val="auto"/>
        </w:rPr>
        <w:t>(ii) For the 2021 fiscal year, $(4,993,246) represents a change in fair value of equity awards at either the vesting date or December 31, 2021 in the case of unvested restricted stock and unexercised stock options; and</w:t>
      </w:r>
    </w:p>
    <w:p>
      <w:pPr>
        <w:ind w:left="320" w:right="620"/>
        <w:spacing w:after="0" w:line="239" w:lineRule="auto"/>
        <w:rPr>
          <w:rFonts w:ascii="Arial" w:cs="Arial" w:eastAsia="Arial" w:hAnsi="Arial"/>
          <w:sz w:val="12"/>
          <w:szCs w:val="12"/>
          <w:color w:val="auto"/>
        </w:rPr>
      </w:pPr>
      <w:r>
        <w:rPr>
          <w:rFonts w:ascii="Arial" w:cs="Arial" w:eastAsia="Arial" w:hAnsi="Arial"/>
          <w:sz w:val="12"/>
          <w:szCs w:val="12"/>
          <w:color w:val="auto"/>
        </w:rPr>
        <w:t>(iii) For the 2020 fiscal year, $(10,816,043) represents a change in fair value of equity awards at either the vesting date or December 31, 2020 in the case of unvested restricted stock and unexercised stock options, and $(6,368,125) represents the reversal of compensation actually paid related to the cancellation of equity awards granted in 2020.</w:t>
      </w:r>
    </w:p>
    <w:p>
      <w:pPr>
        <w:spacing w:after="0" w:line="89" w:lineRule="exact"/>
        <w:rPr>
          <w:rFonts w:ascii="Arial" w:cs="Arial" w:eastAsia="Arial" w:hAnsi="Arial"/>
          <w:sz w:val="12"/>
          <w:szCs w:val="12"/>
          <w:color w:val="auto"/>
        </w:rPr>
      </w:pPr>
    </w:p>
    <w:p>
      <w:pPr>
        <w:ind w:left="320" w:hanging="4"/>
        <w:spacing w:after="0" w:line="226" w:lineRule="auto"/>
        <w:tabs>
          <w:tab w:leader="none" w:pos="502"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“Compensation Actually Paid” to the incoming PEO reflects the following adjustments made to the “Total Compensation” amounts reported in the Summary Compensation Table, computed in accordance with Item 402(v) of Regulation S-K:</w:t>
      </w:r>
    </w:p>
    <w:p>
      <w:pPr>
        <w:ind w:left="320" w:right="320"/>
        <w:spacing w:after="0" w:line="239" w:lineRule="auto"/>
        <w:rPr>
          <w:rFonts w:ascii="Arial" w:cs="Arial" w:eastAsia="Arial" w:hAnsi="Arial"/>
          <w:sz w:val="12"/>
          <w:szCs w:val="12"/>
          <w:color w:val="auto"/>
        </w:rPr>
      </w:pPr>
      <w:r>
        <w:rPr>
          <w:rFonts w:ascii="Arial" w:cs="Arial" w:eastAsia="Arial" w:hAnsi="Arial"/>
          <w:sz w:val="12"/>
          <w:szCs w:val="12"/>
          <w:color w:val="auto"/>
        </w:rPr>
        <w:t>(i) For the 2022 fiscal year, $(5,584,738) represents a change in fair value of equity awards at either the vesting date or December 31, 2022 in the case of unvested restricted stock awards and unexercised stock options.</w:t>
      </w:r>
    </w:p>
    <w:p>
      <w:pPr>
        <w:spacing w:after="0" w:line="89" w:lineRule="exact"/>
        <w:rPr>
          <w:rFonts w:ascii="Arial" w:cs="Arial" w:eastAsia="Arial" w:hAnsi="Arial"/>
          <w:sz w:val="12"/>
          <w:szCs w:val="12"/>
          <w:color w:val="auto"/>
        </w:rPr>
      </w:pPr>
    </w:p>
    <w:p>
      <w:pPr>
        <w:ind w:left="320" w:right="200" w:hanging="4"/>
        <w:spacing w:after="0" w:line="226" w:lineRule="auto"/>
        <w:tabs>
          <w:tab w:leader="none" w:pos="502"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“Compensation Actually Paid” to the non-PEOs reflects the following adjustments made to the “Total Compensation” amounts reported in the Summary Compensation Table, computed in accordance with Item 402(v) of Regulation S-K:</w:t>
      </w:r>
    </w:p>
    <w:p>
      <w:pPr>
        <w:ind w:left="320" w:right="180"/>
        <w:spacing w:after="0" w:line="226" w:lineRule="auto"/>
        <w:rPr>
          <w:rFonts w:ascii="Arial" w:cs="Arial" w:eastAsia="Arial" w:hAnsi="Arial"/>
          <w:sz w:val="12"/>
          <w:szCs w:val="12"/>
          <w:color w:val="auto"/>
        </w:rPr>
      </w:pPr>
      <w:r>
        <w:rPr>
          <w:rFonts w:ascii="Arial" w:cs="Arial" w:eastAsia="Arial" w:hAnsi="Arial"/>
          <w:sz w:val="12"/>
          <w:szCs w:val="12"/>
          <w:color w:val="auto"/>
        </w:rPr>
        <w:t>(i) For the 2022 fiscal year, $(80,116) represents a change in the fair value of equity awards at either the vesting date or December 31, 2022 in the case of unvested restricted stock awards and unexercised stock options, and $(23,896) represents the reversal of compensation actually paid related to the forfeiture on previously granted performance-based restricted stock that did not vest due to not meeting the performance criteria;</w:t>
      </w:r>
    </w:p>
    <w:p>
      <w:pPr>
        <w:ind w:left="320" w:right="200"/>
        <w:spacing w:after="0" w:line="226" w:lineRule="auto"/>
        <w:rPr>
          <w:rFonts w:ascii="Arial" w:cs="Arial" w:eastAsia="Arial" w:hAnsi="Arial"/>
          <w:sz w:val="12"/>
          <w:szCs w:val="12"/>
          <w:color w:val="auto"/>
        </w:rPr>
      </w:pPr>
      <w:r>
        <w:rPr>
          <w:rFonts w:ascii="Arial" w:cs="Arial" w:eastAsia="Arial" w:hAnsi="Arial"/>
          <w:sz w:val="12"/>
          <w:szCs w:val="12"/>
          <w:color w:val="auto"/>
        </w:rPr>
        <w:t>(ii) For the 2021 fiscal year, $460,784 represents a change in fair value of equity awards at either the vesting date or December 31, 2021 in the case of unvested restricted stock and unexercised stock options; and</w:t>
      </w:r>
    </w:p>
    <w:p>
      <w:pPr>
        <w:ind w:left="320" w:right="100"/>
        <w:spacing w:after="0" w:line="239" w:lineRule="auto"/>
        <w:rPr>
          <w:rFonts w:ascii="Arial" w:cs="Arial" w:eastAsia="Arial" w:hAnsi="Arial"/>
          <w:sz w:val="12"/>
          <w:szCs w:val="12"/>
          <w:color w:val="auto"/>
        </w:rPr>
      </w:pPr>
      <w:r>
        <w:rPr>
          <w:rFonts w:ascii="Arial" w:cs="Arial" w:eastAsia="Arial" w:hAnsi="Arial"/>
          <w:sz w:val="12"/>
          <w:szCs w:val="12"/>
          <w:color w:val="auto"/>
        </w:rPr>
        <w:t>(iii) For the 2020 fiscal year, $(953,994) represents a change in fair value of equity awards at either the vesting date or December 31, 2020 in the case of unvested restricted stock and unexercised stock options.</w:t>
      </w:r>
    </w:p>
    <w:p>
      <w:pPr>
        <w:spacing w:after="0" w:line="89" w:lineRule="exact"/>
        <w:rPr>
          <w:rFonts w:ascii="Arial" w:cs="Arial" w:eastAsia="Arial" w:hAnsi="Arial"/>
          <w:sz w:val="12"/>
          <w:szCs w:val="12"/>
          <w:color w:val="auto"/>
        </w:rPr>
      </w:pPr>
    </w:p>
    <w:p>
      <w:pPr>
        <w:ind w:left="560" w:hanging="244"/>
        <w:spacing w:after="0"/>
        <w:tabs>
          <w:tab w:leader="none" w:pos="5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dollar amounts reported represent the amount of net income reflected in the Company’s audited financial statements for the applicable year.</w:t>
      </w:r>
    </w:p>
    <w:p>
      <w:pPr>
        <w:spacing w:after="0" w:line="96" w:lineRule="exact"/>
        <w:rPr>
          <w:rFonts w:ascii="Arial" w:cs="Arial" w:eastAsia="Arial" w:hAnsi="Arial"/>
          <w:sz w:val="12"/>
          <w:szCs w:val="12"/>
          <w:color w:val="auto"/>
        </w:rPr>
      </w:pPr>
    </w:p>
    <w:p>
      <w:pPr>
        <w:ind w:left="560" w:hanging="244"/>
        <w:spacing w:after="0"/>
        <w:tabs>
          <w:tab w:leader="none" w:pos="5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See “2022 Highlights” for a definition of Adjusted Property EBITDAR.</w:t>
      </w:r>
    </w:p>
    <w:p>
      <w:pPr>
        <w:spacing w:after="0" w:line="145" w:lineRule="exact"/>
        <w:rPr>
          <w:rFonts w:ascii="Arial" w:cs="Arial" w:eastAsia="Arial" w:hAnsi="Arial"/>
          <w:sz w:val="12"/>
          <w:szCs w:val="12"/>
          <w:color w:val="auto"/>
        </w:rPr>
      </w:pPr>
    </w:p>
    <w:p>
      <w:pPr>
        <w:ind w:left="5680" w:hanging="164"/>
        <w:spacing w:after="0"/>
        <w:tabs>
          <w:tab w:leader="none" w:pos="5680" w:val="left"/>
        </w:tabs>
        <w:numPr>
          <w:ilvl w:val="1"/>
          <w:numId w:val="40"/>
        </w:numPr>
        <w:rPr>
          <w:rFonts w:ascii="Arial" w:cs="Arial" w:eastAsia="Arial" w:hAnsi="Arial"/>
          <w:sz w:val="14"/>
          <w:szCs w:val="14"/>
          <w:color w:val="auto"/>
        </w:rPr>
      </w:pPr>
      <w:r>
        <w:rPr>
          <w:rFonts w:ascii="Arial" w:cs="Arial" w:eastAsia="Arial" w:hAnsi="Arial"/>
          <w:sz w:val="14"/>
          <w:szCs w:val="14"/>
          <w:color w:val="auto"/>
        </w:rPr>
        <w:t>45 //</w:t>
      </w:r>
    </w:p>
    <w:p>
      <w:pPr>
        <w:sectPr>
          <w:pgSz w:w="11900" w:h="16838" w:orient="portrait"/>
          <w:cols w:equalWidth="0" w:num="1">
            <w:col w:w="10900"/>
          </w:cols>
          <w:pgMar w:left="320" w:top="473" w:right="67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3714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8015" cy="371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Relationship between executive compensation and performance</w:t>
      </w:r>
    </w:p>
    <w:p>
      <w:pPr>
        <w:spacing w:after="0" w:line="33" w:lineRule="exact"/>
        <w:rPr>
          <w:sz w:val="20"/>
          <w:szCs w:val="20"/>
          <w:color w:val="auto"/>
        </w:rPr>
      </w:pPr>
    </w:p>
    <w:p>
      <w:pPr>
        <w:ind w:left="320" w:right="460"/>
        <w:spacing w:after="0" w:line="256" w:lineRule="auto"/>
        <w:rPr>
          <w:sz w:val="20"/>
          <w:szCs w:val="20"/>
          <w:color w:val="auto"/>
        </w:rPr>
      </w:pPr>
      <w:r>
        <w:rPr>
          <w:rFonts w:ascii="Arial" w:cs="Arial" w:eastAsia="Arial" w:hAnsi="Arial"/>
          <w:sz w:val="17"/>
          <w:szCs w:val="17"/>
          <w:color w:val="auto"/>
        </w:rPr>
        <w:t>The following chart outlines the relationship among the Company’s key performance metrics and the aggregate “total compensation actually paid” to all NEOs for each applicable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132080</wp:posOffset>
            </wp:positionV>
            <wp:extent cx="5410835" cy="36925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10835" cy="3692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Pay vs. Performance tabular list</w:t>
      </w:r>
    </w:p>
    <w:p>
      <w:pPr>
        <w:spacing w:after="0" w:line="33" w:lineRule="exact"/>
        <w:rPr>
          <w:sz w:val="20"/>
          <w:szCs w:val="20"/>
          <w:color w:val="auto"/>
        </w:rPr>
      </w:pPr>
    </w:p>
    <w:p>
      <w:pPr>
        <w:ind w:left="320"/>
        <w:spacing w:after="0" w:line="247" w:lineRule="auto"/>
        <w:rPr>
          <w:sz w:val="20"/>
          <w:szCs w:val="20"/>
          <w:color w:val="auto"/>
        </w:rPr>
      </w:pPr>
      <w:r>
        <w:rPr>
          <w:rFonts w:ascii="Arial" w:cs="Arial" w:eastAsia="Arial" w:hAnsi="Arial"/>
          <w:sz w:val="17"/>
          <w:szCs w:val="17"/>
          <w:color w:val="auto"/>
        </w:rPr>
        <w:t>The table below list our most important performance measures used to link compensation actually paid for our NEOs to company performance, over the fiscal year ending December 31, 2022. The performance measures included in this table are not ranked by relative importance.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137795</wp:posOffset>
            </wp:positionV>
            <wp:extent cx="6740525" cy="1403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40525" cy="140335"/>
                    </a:xfrm>
                    <a:prstGeom prst="rect">
                      <a:avLst/>
                    </a:prstGeom>
                    <a:noFill/>
                  </pic:spPr>
                </pic:pic>
              </a:graphicData>
            </a:graphic>
          </wp:anchor>
        </w:drawing>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0"/>
          <w:szCs w:val="10"/>
          <w:b w:val="1"/>
          <w:bCs w:val="1"/>
          <w:color w:val="auto"/>
        </w:rPr>
        <w:t>PERFORMANCE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-62865</wp:posOffset>
            </wp:positionV>
            <wp:extent cx="6740525" cy="272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40525" cy="272415"/>
                    </a:xfrm>
                    <a:prstGeom prst="rect">
                      <a:avLst/>
                    </a:prstGeom>
                    <a:noFill/>
                  </pic:spPr>
                </pic:pic>
              </a:graphicData>
            </a:graphic>
          </wp:anchor>
        </w:drawing>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(1) Adjusted Property EBITDAR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27305</wp:posOffset>
            </wp:positionV>
            <wp:extent cx="6740525" cy="165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40525" cy="165100"/>
                    </a:xfrm>
                    <a:prstGeom prst="rect">
                      <a:avLst/>
                    </a:prstGeom>
                    <a:noFill/>
                  </pic:spPr>
                </pic:pic>
              </a:graphicData>
            </a:graphic>
          </wp:anchor>
        </w:drawing>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(2) Market Share of Gross Gaming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27305</wp:posOffset>
            </wp:positionV>
            <wp:extent cx="6740525" cy="165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40525" cy="165100"/>
                    </a:xfrm>
                    <a:prstGeom prst="rect">
                      <a:avLst/>
                    </a:prstGeom>
                    <a:noFill/>
                  </pic:spPr>
                </pic:pic>
              </a:graphicData>
            </a:graphic>
          </wp:anchor>
        </w:drawing>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(3) Achievement of Forbes Five-Star awards</w:t>
      </w:r>
    </w:p>
    <w:p>
      <w:pPr>
        <w:spacing w:after="0" w:line="5"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color w:val="auto"/>
        </w:rPr>
        <w:t>2023 PROXY STATEMENT</w:t>
      </w:r>
      <w:r>
        <w:rPr>
          <w:sz w:val="20"/>
          <w:szCs w:val="20"/>
          <w:color w:val="auto"/>
        </w:rPr>
        <w:tab/>
      </w:r>
      <w:r>
        <w:rPr>
          <w:rFonts w:ascii="Arial" w:cs="Arial" w:eastAsia="Arial" w:hAnsi="Arial"/>
          <w:sz w:val="23"/>
          <w:szCs w:val="23"/>
          <w:color w:val="auto"/>
          <w:vertAlign w:val="subscript"/>
        </w:rPr>
        <w:t>// 46 //</w:t>
      </w:r>
    </w:p>
    <w:p>
      <w:pPr>
        <w:sectPr>
          <w:pgSz w:w="11900" w:h="16838" w:orient="portrait"/>
          <w:cols w:equalWidth="0" w:num="1">
            <w:col w:w="10840"/>
          </w:cols>
          <w:pgMar w:left="320" w:top="473" w:right="7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auto"/>
        </w:rPr>
        <w:t>2022 Grants of plan-based awards table</w:t>
      </w:r>
    </w:p>
    <w:p>
      <w:pPr>
        <w:spacing w:after="0" w:line="47" w:lineRule="exact"/>
        <w:rPr>
          <w:sz w:val="20"/>
          <w:szCs w:val="20"/>
          <w:color w:val="auto"/>
        </w:rPr>
      </w:pPr>
    </w:p>
    <w:p>
      <w:pPr>
        <w:ind w:left="320" w:right="120"/>
        <w:spacing w:after="0" w:line="256" w:lineRule="auto"/>
        <w:rPr>
          <w:sz w:val="20"/>
          <w:szCs w:val="20"/>
          <w:color w:val="auto"/>
        </w:rPr>
      </w:pPr>
      <w:r>
        <w:rPr>
          <w:rFonts w:ascii="Arial" w:cs="Arial" w:eastAsia="Arial" w:hAnsi="Arial"/>
          <w:sz w:val="17"/>
          <w:szCs w:val="17"/>
          <w:color w:val="auto"/>
        </w:rPr>
        <w:t>The Omnibus Plan rewards management for creation of superior return to shareholders, measured by the operating performance of our resorts. The amounts shown in the table below reflect potential payments and/or values of the awards, as required under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2621280</wp:posOffset>
            </wp:positionH>
            <wp:positionV relativeFrom="paragraph">
              <wp:posOffset>115570</wp:posOffset>
            </wp:positionV>
            <wp:extent cx="4320540" cy="31305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20540" cy="3130550"/>
                    </a:xfrm>
                    <a:prstGeom prst="rect">
                      <a:avLst/>
                    </a:prstGeom>
                    <a:noFill/>
                  </pic:spPr>
                </pic:pic>
              </a:graphicData>
            </a:graphic>
          </wp:anchor>
        </w:drawing>
      </w:r>
    </w:p>
    <w:p>
      <w:pPr>
        <w:spacing w:after="0" w:line="162" w:lineRule="exact"/>
        <w:rPr>
          <w:sz w:val="20"/>
          <w:szCs w:val="20"/>
          <w:color w:val="auto"/>
        </w:rPr>
      </w:pPr>
    </w:p>
    <w:tbl>
      <w:tblPr>
        <w:tblLayout w:type="fixed"/>
        <w:tblInd w:w="320" w:type="dxa"/>
        <w:tblCellMar>
          <w:top w:w="0" w:type="dxa"/>
          <w:left w:w="0" w:type="dxa"/>
          <w:bottom w:w="0" w:type="dxa"/>
          <w:right w:w="0" w:type="dxa"/>
        </w:tblCellMar>
      </w:tblPr>
      <w:tr>
        <w:trPr>
          <w:trHeight w:val="140"/>
        </w:trPr>
        <w:tc>
          <w:tcPr>
            <w:tcW w:w="3810" w:type="dxa"/>
            <w:vAlign w:val="bottom"/>
            <w:shd w:val="clear" w:color="auto" w:fill="DEDBD3"/>
          </w:tcPr>
          <w:p>
            <w:pPr>
              <w:spacing w:after="0"/>
              <w:rPr>
                <w:sz w:val="12"/>
                <w:szCs w:val="12"/>
                <w:color w:val="auto"/>
              </w:rPr>
            </w:pPr>
          </w:p>
        </w:tc>
        <w:tc>
          <w:tcPr>
            <w:tcW w:w="70" w:type="dxa"/>
            <w:vAlign w:val="bottom"/>
            <w:shd w:val="clear" w:color="auto" w:fill="DEDBD3"/>
          </w:tcPr>
          <w:p>
            <w:pPr>
              <w:spacing w:after="0"/>
              <w:rPr>
                <w:sz w:val="12"/>
                <w:szCs w:val="12"/>
                <w:color w:val="auto"/>
              </w:rPr>
            </w:pPr>
          </w:p>
        </w:tc>
        <w:tc>
          <w:tcPr>
            <w:tcW w:w="700" w:type="dxa"/>
            <w:vAlign w:val="bottom"/>
            <w:shd w:val="clear" w:color="auto" w:fill="DEDBD3"/>
          </w:tcPr>
          <w:p>
            <w:pPr>
              <w:spacing w:after="0"/>
              <w:rPr>
                <w:sz w:val="12"/>
                <w:szCs w:val="12"/>
                <w:color w:val="auto"/>
              </w:rPr>
            </w:pPr>
          </w:p>
        </w:tc>
        <w:tc>
          <w:tcPr>
            <w:tcW w:w="2280" w:type="dxa"/>
            <w:vAlign w:val="bottom"/>
            <w:gridSpan w:val="3"/>
            <w:vMerge w:val="restart"/>
            <w:shd w:val="clear" w:color="auto" w:fill="DEDBD3"/>
          </w:tcPr>
          <w:p>
            <w:pPr>
              <w:jc w:val="center"/>
              <w:spacing w:after="0"/>
              <w:rPr>
                <w:sz w:val="20"/>
                <w:szCs w:val="20"/>
                <w:color w:val="auto"/>
              </w:rPr>
            </w:pPr>
            <w:r>
              <w:rPr>
                <w:rFonts w:ascii="Arial" w:cs="Arial" w:eastAsia="Arial" w:hAnsi="Arial"/>
                <w:sz w:val="10"/>
                <w:szCs w:val="10"/>
                <w:color w:val="auto"/>
              </w:rPr>
              <w:t>ESTIMATED FUTURE PAYOUTS</w:t>
            </w:r>
          </w:p>
        </w:tc>
        <w:tc>
          <w:tcPr>
            <w:tcW w:w="700" w:type="dxa"/>
            <w:vAlign w:val="bottom"/>
            <w:shd w:val="clear" w:color="auto" w:fill="DEDBD3"/>
          </w:tcPr>
          <w:p>
            <w:pPr>
              <w:jc w:val="center"/>
              <w:spacing w:after="0"/>
              <w:rPr>
                <w:sz w:val="20"/>
                <w:szCs w:val="20"/>
                <w:color w:val="auto"/>
              </w:rPr>
            </w:pPr>
            <w:r>
              <w:rPr>
                <w:rFonts w:ascii="Arial" w:cs="Arial" w:eastAsia="Arial" w:hAnsi="Arial"/>
                <w:sz w:val="10"/>
                <w:szCs w:val="10"/>
                <w:color w:val="auto"/>
              </w:rPr>
              <w:t>ALL OTHER</w:t>
            </w:r>
          </w:p>
        </w:tc>
        <w:tc>
          <w:tcPr>
            <w:tcW w:w="780" w:type="dxa"/>
            <w:vAlign w:val="bottom"/>
            <w:shd w:val="clear" w:color="auto" w:fill="DEDBD3"/>
          </w:tcPr>
          <w:p>
            <w:pPr>
              <w:jc w:val="center"/>
              <w:spacing w:after="0"/>
              <w:rPr>
                <w:sz w:val="20"/>
                <w:szCs w:val="20"/>
                <w:color w:val="auto"/>
              </w:rPr>
            </w:pPr>
            <w:r>
              <w:rPr>
                <w:rFonts w:ascii="Arial" w:cs="Arial" w:eastAsia="Arial" w:hAnsi="Arial"/>
                <w:sz w:val="10"/>
                <w:szCs w:val="10"/>
                <w:color w:val="auto"/>
              </w:rPr>
              <w:t>ALL OTHER</w:t>
            </w:r>
          </w:p>
        </w:tc>
        <w:tc>
          <w:tcPr>
            <w:tcW w:w="640" w:type="dxa"/>
            <w:vAlign w:val="bottom"/>
            <w:shd w:val="clear" w:color="auto" w:fill="DEDBD3"/>
          </w:tcPr>
          <w:p>
            <w:pPr>
              <w:jc w:val="center"/>
              <w:spacing w:after="0"/>
              <w:rPr>
                <w:sz w:val="20"/>
                <w:szCs w:val="20"/>
                <w:color w:val="auto"/>
              </w:rPr>
            </w:pPr>
            <w:r>
              <w:rPr>
                <w:rFonts w:ascii="Arial" w:cs="Arial" w:eastAsia="Arial" w:hAnsi="Arial"/>
                <w:sz w:val="10"/>
                <w:szCs w:val="10"/>
                <w:color w:val="auto"/>
              </w:rPr>
              <w:t>EXERCISE</w:t>
            </w:r>
          </w:p>
        </w:tc>
        <w:tc>
          <w:tcPr>
            <w:tcW w:w="760" w:type="dxa"/>
            <w:vAlign w:val="bottom"/>
            <w:shd w:val="clear" w:color="auto" w:fill="DEDBD3"/>
          </w:tcPr>
          <w:p>
            <w:pPr>
              <w:jc w:val="center"/>
              <w:spacing w:after="0"/>
              <w:rPr>
                <w:sz w:val="20"/>
                <w:szCs w:val="20"/>
                <w:color w:val="auto"/>
              </w:rPr>
            </w:pPr>
            <w:r>
              <w:rPr>
                <w:rFonts w:ascii="Arial" w:cs="Arial" w:eastAsia="Arial" w:hAnsi="Arial"/>
                <w:sz w:val="10"/>
                <w:szCs w:val="10"/>
                <w:color w:val="auto"/>
              </w:rPr>
              <w:t>CLOSING</w:t>
            </w:r>
          </w:p>
        </w:tc>
        <w:tc>
          <w:tcPr>
            <w:tcW w:w="140" w:type="dxa"/>
            <w:vAlign w:val="bottom"/>
            <w:shd w:val="clear" w:color="auto" w:fill="DEDBD3"/>
          </w:tcPr>
          <w:p>
            <w:pPr>
              <w:spacing w:after="0"/>
              <w:rPr>
                <w:sz w:val="12"/>
                <w:szCs w:val="12"/>
                <w:color w:val="auto"/>
              </w:rPr>
            </w:pPr>
          </w:p>
        </w:tc>
        <w:tc>
          <w:tcPr>
            <w:tcW w:w="740" w:type="dxa"/>
            <w:vAlign w:val="bottom"/>
            <w:shd w:val="clear" w:color="auto" w:fill="DEDBD3"/>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3810" w:type="dxa"/>
            <w:vAlign w:val="bottom"/>
            <w:shd w:val="clear" w:color="auto" w:fill="DEDBD3"/>
          </w:tcPr>
          <w:p>
            <w:pPr>
              <w:spacing w:after="0"/>
              <w:rPr>
                <w:sz w:val="5"/>
                <w:szCs w:val="5"/>
                <w:color w:val="auto"/>
              </w:rPr>
            </w:pPr>
          </w:p>
        </w:tc>
        <w:tc>
          <w:tcPr>
            <w:tcW w:w="70" w:type="dxa"/>
            <w:vAlign w:val="bottom"/>
            <w:shd w:val="clear" w:color="auto" w:fill="DEDBD3"/>
          </w:tcPr>
          <w:p>
            <w:pPr>
              <w:spacing w:after="0"/>
              <w:rPr>
                <w:sz w:val="5"/>
                <w:szCs w:val="5"/>
                <w:color w:val="auto"/>
              </w:rPr>
            </w:pPr>
          </w:p>
        </w:tc>
        <w:tc>
          <w:tcPr>
            <w:tcW w:w="700" w:type="dxa"/>
            <w:vAlign w:val="bottom"/>
            <w:shd w:val="clear" w:color="auto" w:fill="DEDBD3"/>
          </w:tcPr>
          <w:p>
            <w:pPr>
              <w:spacing w:after="0"/>
              <w:rPr>
                <w:sz w:val="5"/>
                <w:szCs w:val="5"/>
                <w:color w:val="auto"/>
              </w:rPr>
            </w:pPr>
          </w:p>
        </w:tc>
        <w:tc>
          <w:tcPr>
            <w:tcW w:w="2280" w:type="dxa"/>
            <w:vAlign w:val="bottom"/>
            <w:gridSpan w:val="3"/>
            <w:vMerge w:val="continue"/>
            <w:shd w:val="clear" w:color="auto" w:fill="DEDBD3"/>
          </w:tcPr>
          <w:p>
            <w:pPr>
              <w:spacing w:after="0"/>
              <w:rPr>
                <w:sz w:val="5"/>
                <w:szCs w:val="5"/>
                <w:color w:val="auto"/>
              </w:rPr>
            </w:pPr>
          </w:p>
        </w:tc>
        <w:tc>
          <w:tcPr>
            <w:tcW w:w="70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STOCK</w:t>
            </w:r>
          </w:p>
        </w:tc>
        <w:tc>
          <w:tcPr>
            <w:tcW w:w="78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OPTION</w:t>
            </w:r>
          </w:p>
        </w:tc>
        <w:tc>
          <w:tcPr>
            <w:tcW w:w="64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PRICE OF</w:t>
            </w:r>
          </w:p>
        </w:tc>
        <w:tc>
          <w:tcPr>
            <w:tcW w:w="76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PRICE ON</w:t>
            </w:r>
          </w:p>
        </w:tc>
        <w:tc>
          <w:tcPr>
            <w:tcW w:w="880" w:type="dxa"/>
            <w:vAlign w:val="bottom"/>
            <w:gridSpan w:val="2"/>
            <w:vMerge w:val="restart"/>
            <w:shd w:val="clear" w:color="auto" w:fill="DEDBD3"/>
          </w:tcPr>
          <w:p>
            <w:pPr>
              <w:jc w:val="center"/>
              <w:spacing w:after="0"/>
              <w:rPr>
                <w:sz w:val="20"/>
                <w:szCs w:val="20"/>
                <w:color w:val="auto"/>
              </w:rPr>
            </w:pPr>
            <w:r>
              <w:rPr>
                <w:rFonts w:ascii="Arial" w:cs="Arial" w:eastAsia="Arial" w:hAnsi="Arial"/>
                <w:sz w:val="10"/>
                <w:szCs w:val="10"/>
                <w:color w:val="auto"/>
              </w:rPr>
              <w:t>GRANT DATE</w:t>
            </w:r>
          </w:p>
        </w:tc>
        <w:tc>
          <w:tcPr>
            <w:tcW w:w="0" w:type="dxa"/>
            <w:vAlign w:val="bottom"/>
          </w:tcPr>
          <w:p>
            <w:pPr>
              <w:spacing w:after="0"/>
              <w:rPr>
                <w:sz w:val="1"/>
                <w:szCs w:val="1"/>
                <w:color w:val="auto"/>
              </w:rPr>
            </w:pPr>
          </w:p>
        </w:tc>
      </w:tr>
      <w:tr>
        <w:trPr>
          <w:trHeight w:val="52"/>
        </w:trPr>
        <w:tc>
          <w:tcPr>
            <w:tcW w:w="3810" w:type="dxa"/>
            <w:vAlign w:val="bottom"/>
            <w:shd w:val="clear" w:color="auto" w:fill="DEDBD3"/>
          </w:tcPr>
          <w:p>
            <w:pPr>
              <w:spacing w:after="0"/>
              <w:rPr>
                <w:sz w:val="4"/>
                <w:szCs w:val="4"/>
                <w:color w:val="auto"/>
              </w:rPr>
            </w:pPr>
          </w:p>
        </w:tc>
        <w:tc>
          <w:tcPr>
            <w:tcW w:w="70" w:type="dxa"/>
            <w:vAlign w:val="bottom"/>
            <w:shd w:val="clear" w:color="auto" w:fill="DEDBD3"/>
          </w:tcPr>
          <w:p>
            <w:pPr>
              <w:spacing w:after="0"/>
              <w:rPr>
                <w:sz w:val="4"/>
                <w:szCs w:val="4"/>
                <w:color w:val="auto"/>
              </w:rPr>
            </w:pPr>
          </w:p>
        </w:tc>
        <w:tc>
          <w:tcPr>
            <w:tcW w:w="700" w:type="dxa"/>
            <w:vAlign w:val="bottom"/>
            <w:shd w:val="clear" w:color="auto" w:fill="DEDBD3"/>
          </w:tcPr>
          <w:p>
            <w:pPr>
              <w:spacing w:after="0"/>
              <w:rPr>
                <w:sz w:val="4"/>
                <w:szCs w:val="4"/>
                <w:color w:val="auto"/>
              </w:rPr>
            </w:pPr>
          </w:p>
        </w:tc>
        <w:tc>
          <w:tcPr>
            <w:tcW w:w="2280" w:type="dxa"/>
            <w:vAlign w:val="bottom"/>
            <w:gridSpan w:val="3"/>
            <w:vMerge w:val="restart"/>
            <w:shd w:val="clear" w:color="auto" w:fill="DEDBD3"/>
          </w:tcPr>
          <w:p>
            <w:pPr>
              <w:jc w:val="center"/>
              <w:spacing w:after="0"/>
              <w:rPr>
                <w:sz w:val="20"/>
                <w:szCs w:val="20"/>
                <w:color w:val="auto"/>
              </w:rPr>
            </w:pPr>
            <w:r>
              <w:rPr>
                <w:rFonts w:ascii="Arial" w:cs="Arial" w:eastAsia="Arial" w:hAnsi="Arial"/>
                <w:sz w:val="10"/>
                <w:szCs w:val="10"/>
                <w:color w:val="auto"/>
              </w:rPr>
              <w:t>UNDER NON-EQUITY INCENTIVE PLAN</w:t>
            </w:r>
          </w:p>
        </w:tc>
        <w:tc>
          <w:tcPr>
            <w:tcW w:w="700" w:type="dxa"/>
            <w:vAlign w:val="bottom"/>
            <w:vMerge w:val="continue"/>
            <w:shd w:val="clear" w:color="auto" w:fill="DEDBD3"/>
          </w:tcPr>
          <w:p>
            <w:pPr>
              <w:spacing w:after="0"/>
              <w:rPr>
                <w:sz w:val="4"/>
                <w:szCs w:val="4"/>
                <w:color w:val="auto"/>
              </w:rPr>
            </w:pPr>
          </w:p>
        </w:tc>
        <w:tc>
          <w:tcPr>
            <w:tcW w:w="780" w:type="dxa"/>
            <w:vAlign w:val="bottom"/>
            <w:vMerge w:val="continue"/>
            <w:shd w:val="clear" w:color="auto" w:fill="DEDBD3"/>
          </w:tcPr>
          <w:p>
            <w:pPr>
              <w:spacing w:after="0"/>
              <w:rPr>
                <w:sz w:val="4"/>
                <w:szCs w:val="4"/>
                <w:color w:val="auto"/>
              </w:rPr>
            </w:pPr>
          </w:p>
        </w:tc>
        <w:tc>
          <w:tcPr>
            <w:tcW w:w="640" w:type="dxa"/>
            <w:vAlign w:val="bottom"/>
            <w:vMerge w:val="continue"/>
            <w:shd w:val="clear" w:color="auto" w:fill="DEDBD3"/>
          </w:tcPr>
          <w:p>
            <w:pPr>
              <w:spacing w:after="0"/>
              <w:rPr>
                <w:sz w:val="4"/>
                <w:szCs w:val="4"/>
                <w:color w:val="auto"/>
              </w:rPr>
            </w:pPr>
          </w:p>
        </w:tc>
        <w:tc>
          <w:tcPr>
            <w:tcW w:w="760" w:type="dxa"/>
            <w:vAlign w:val="bottom"/>
            <w:vMerge w:val="continue"/>
            <w:shd w:val="clear" w:color="auto" w:fill="DEDBD3"/>
          </w:tcPr>
          <w:p>
            <w:pPr>
              <w:spacing w:after="0"/>
              <w:rPr>
                <w:sz w:val="4"/>
                <w:szCs w:val="4"/>
                <w:color w:val="auto"/>
              </w:rPr>
            </w:pPr>
          </w:p>
        </w:tc>
        <w:tc>
          <w:tcPr>
            <w:tcW w:w="880" w:type="dxa"/>
            <w:vAlign w:val="bottom"/>
            <w:gridSpan w:val="2"/>
            <w:vMerge w:val="continue"/>
            <w:shd w:val="clear" w:color="auto" w:fill="DEDBD3"/>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810" w:type="dxa"/>
            <w:vAlign w:val="bottom"/>
            <w:shd w:val="clear" w:color="auto" w:fill="DEDBD3"/>
          </w:tcPr>
          <w:p>
            <w:pPr>
              <w:spacing w:after="0"/>
              <w:rPr>
                <w:sz w:val="5"/>
                <w:szCs w:val="5"/>
                <w:color w:val="auto"/>
              </w:rPr>
            </w:pPr>
          </w:p>
        </w:tc>
        <w:tc>
          <w:tcPr>
            <w:tcW w:w="70" w:type="dxa"/>
            <w:vAlign w:val="bottom"/>
            <w:shd w:val="clear" w:color="auto" w:fill="DEDBD3"/>
          </w:tcPr>
          <w:p>
            <w:pPr>
              <w:spacing w:after="0"/>
              <w:rPr>
                <w:sz w:val="5"/>
                <w:szCs w:val="5"/>
                <w:color w:val="auto"/>
              </w:rPr>
            </w:pPr>
          </w:p>
        </w:tc>
        <w:tc>
          <w:tcPr>
            <w:tcW w:w="700" w:type="dxa"/>
            <w:vAlign w:val="bottom"/>
            <w:shd w:val="clear" w:color="auto" w:fill="DEDBD3"/>
          </w:tcPr>
          <w:p>
            <w:pPr>
              <w:spacing w:after="0"/>
              <w:rPr>
                <w:sz w:val="5"/>
                <w:szCs w:val="5"/>
                <w:color w:val="auto"/>
              </w:rPr>
            </w:pPr>
          </w:p>
        </w:tc>
        <w:tc>
          <w:tcPr>
            <w:tcW w:w="2280" w:type="dxa"/>
            <w:vAlign w:val="bottom"/>
            <w:gridSpan w:val="3"/>
            <w:vMerge w:val="continue"/>
            <w:shd w:val="clear" w:color="auto" w:fill="DEDBD3"/>
          </w:tcPr>
          <w:p>
            <w:pPr>
              <w:spacing w:after="0"/>
              <w:rPr>
                <w:sz w:val="5"/>
                <w:szCs w:val="5"/>
                <w:color w:val="auto"/>
              </w:rPr>
            </w:pPr>
          </w:p>
        </w:tc>
        <w:tc>
          <w:tcPr>
            <w:tcW w:w="70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AWARDS:</w:t>
            </w:r>
          </w:p>
        </w:tc>
        <w:tc>
          <w:tcPr>
            <w:tcW w:w="78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AWARDS:</w:t>
            </w:r>
          </w:p>
        </w:tc>
        <w:tc>
          <w:tcPr>
            <w:tcW w:w="64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OPTION</w:t>
            </w:r>
          </w:p>
        </w:tc>
        <w:tc>
          <w:tcPr>
            <w:tcW w:w="76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GRANT DATE</w:t>
            </w:r>
          </w:p>
        </w:tc>
        <w:tc>
          <w:tcPr>
            <w:tcW w:w="880" w:type="dxa"/>
            <w:vAlign w:val="bottom"/>
            <w:gridSpan w:val="2"/>
            <w:vMerge w:val="restart"/>
            <w:shd w:val="clear" w:color="auto" w:fill="DEDBD3"/>
          </w:tcPr>
          <w:p>
            <w:pPr>
              <w:jc w:val="center"/>
              <w:spacing w:after="0"/>
              <w:rPr>
                <w:sz w:val="20"/>
                <w:szCs w:val="20"/>
                <w:color w:val="auto"/>
              </w:rPr>
            </w:pPr>
            <w:r>
              <w:rPr>
                <w:rFonts w:ascii="Arial" w:cs="Arial" w:eastAsia="Arial" w:hAnsi="Arial"/>
                <w:sz w:val="10"/>
                <w:szCs w:val="10"/>
                <w:color w:val="auto"/>
              </w:rPr>
              <w:t>FAIR VALUE</w:t>
            </w:r>
          </w:p>
        </w:tc>
        <w:tc>
          <w:tcPr>
            <w:tcW w:w="0" w:type="dxa"/>
            <w:vAlign w:val="bottom"/>
          </w:tcPr>
          <w:p>
            <w:pPr>
              <w:spacing w:after="0"/>
              <w:rPr>
                <w:sz w:val="1"/>
                <w:szCs w:val="1"/>
                <w:color w:val="auto"/>
              </w:rPr>
            </w:pPr>
          </w:p>
        </w:tc>
      </w:tr>
      <w:tr>
        <w:trPr>
          <w:trHeight w:val="52"/>
        </w:trPr>
        <w:tc>
          <w:tcPr>
            <w:tcW w:w="3810" w:type="dxa"/>
            <w:vAlign w:val="bottom"/>
            <w:vMerge w:val="restart"/>
            <w:shd w:val="clear" w:color="auto" w:fill="DEDBD3"/>
          </w:tcPr>
          <w:p>
            <w:pPr>
              <w:ind w:left="60"/>
              <w:spacing w:after="0"/>
              <w:rPr>
                <w:sz w:val="20"/>
                <w:szCs w:val="20"/>
                <w:color w:val="auto"/>
              </w:rPr>
            </w:pPr>
            <w:r>
              <w:rPr>
                <w:rFonts w:ascii="Arial" w:cs="Arial" w:eastAsia="Arial" w:hAnsi="Arial"/>
                <w:sz w:val="10"/>
                <w:szCs w:val="10"/>
                <w:b w:val="1"/>
                <w:bCs w:val="1"/>
                <w:color w:val="auto"/>
              </w:rPr>
              <w:t>NAMED EXECUTIVE</w:t>
            </w:r>
          </w:p>
        </w:tc>
        <w:tc>
          <w:tcPr>
            <w:tcW w:w="70" w:type="dxa"/>
            <w:vAlign w:val="bottom"/>
            <w:shd w:val="clear" w:color="auto" w:fill="DEDBD3"/>
          </w:tcPr>
          <w:p>
            <w:pPr>
              <w:spacing w:after="0"/>
              <w:rPr>
                <w:sz w:val="4"/>
                <w:szCs w:val="4"/>
                <w:color w:val="auto"/>
              </w:rPr>
            </w:pPr>
          </w:p>
        </w:tc>
        <w:tc>
          <w:tcPr>
            <w:tcW w:w="700" w:type="dxa"/>
            <w:vAlign w:val="bottom"/>
            <w:shd w:val="clear" w:color="auto" w:fill="DEDBD3"/>
          </w:tcPr>
          <w:p>
            <w:pPr>
              <w:spacing w:after="0"/>
              <w:rPr>
                <w:sz w:val="4"/>
                <w:szCs w:val="4"/>
                <w:color w:val="auto"/>
              </w:rPr>
            </w:pPr>
          </w:p>
        </w:tc>
        <w:tc>
          <w:tcPr>
            <w:tcW w:w="760" w:type="dxa"/>
            <w:vAlign w:val="bottom"/>
            <w:shd w:val="clear" w:color="auto" w:fill="DEDBD3"/>
          </w:tcPr>
          <w:p>
            <w:pPr>
              <w:spacing w:after="0"/>
              <w:rPr>
                <w:sz w:val="4"/>
                <w:szCs w:val="4"/>
                <w:color w:val="auto"/>
              </w:rPr>
            </w:pPr>
          </w:p>
        </w:tc>
        <w:tc>
          <w:tcPr>
            <w:tcW w:w="78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AWARDS ($) (1)</w:t>
            </w:r>
          </w:p>
        </w:tc>
        <w:tc>
          <w:tcPr>
            <w:tcW w:w="740" w:type="dxa"/>
            <w:vAlign w:val="bottom"/>
            <w:shd w:val="clear" w:color="auto" w:fill="DEDBD3"/>
          </w:tcPr>
          <w:p>
            <w:pPr>
              <w:spacing w:after="0"/>
              <w:rPr>
                <w:sz w:val="4"/>
                <w:szCs w:val="4"/>
                <w:color w:val="auto"/>
              </w:rPr>
            </w:pPr>
          </w:p>
        </w:tc>
        <w:tc>
          <w:tcPr>
            <w:tcW w:w="700" w:type="dxa"/>
            <w:vAlign w:val="bottom"/>
            <w:vMerge w:val="continue"/>
            <w:shd w:val="clear" w:color="auto" w:fill="DEDBD3"/>
          </w:tcPr>
          <w:p>
            <w:pPr>
              <w:spacing w:after="0"/>
              <w:rPr>
                <w:sz w:val="4"/>
                <w:szCs w:val="4"/>
                <w:color w:val="auto"/>
              </w:rPr>
            </w:pPr>
          </w:p>
        </w:tc>
        <w:tc>
          <w:tcPr>
            <w:tcW w:w="780" w:type="dxa"/>
            <w:vAlign w:val="bottom"/>
            <w:vMerge w:val="continue"/>
            <w:shd w:val="clear" w:color="auto" w:fill="DEDBD3"/>
          </w:tcPr>
          <w:p>
            <w:pPr>
              <w:spacing w:after="0"/>
              <w:rPr>
                <w:sz w:val="4"/>
                <w:szCs w:val="4"/>
                <w:color w:val="auto"/>
              </w:rPr>
            </w:pPr>
          </w:p>
        </w:tc>
        <w:tc>
          <w:tcPr>
            <w:tcW w:w="640" w:type="dxa"/>
            <w:vAlign w:val="bottom"/>
            <w:vMerge w:val="continue"/>
            <w:shd w:val="clear" w:color="auto" w:fill="DEDBD3"/>
          </w:tcPr>
          <w:p>
            <w:pPr>
              <w:spacing w:after="0"/>
              <w:rPr>
                <w:sz w:val="4"/>
                <w:szCs w:val="4"/>
                <w:color w:val="auto"/>
              </w:rPr>
            </w:pPr>
          </w:p>
        </w:tc>
        <w:tc>
          <w:tcPr>
            <w:tcW w:w="760" w:type="dxa"/>
            <w:vAlign w:val="bottom"/>
            <w:vMerge w:val="continue"/>
            <w:shd w:val="clear" w:color="auto" w:fill="DEDBD3"/>
          </w:tcPr>
          <w:p>
            <w:pPr>
              <w:spacing w:after="0"/>
              <w:rPr>
                <w:sz w:val="4"/>
                <w:szCs w:val="4"/>
                <w:color w:val="auto"/>
              </w:rPr>
            </w:pPr>
          </w:p>
        </w:tc>
        <w:tc>
          <w:tcPr>
            <w:tcW w:w="880" w:type="dxa"/>
            <w:vAlign w:val="bottom"/>
            <w:gridSpan w:val="2"/>
            <w:vMerge w:val="continue"/>
            <w:shd w:val="clear" w:color="auto" w:fill="DEDBD3"/>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810" w:type="dxa"/>
            <w:vAlign w:val="bottom"/>
            <w:vMerge w:val="continue"/>
            <w:shd w:val="clear" w:color="auto" w:fill="DEDBD3"/>
          </w:tcPr>
          <w:p>
            <w:pPr>
              <w:spacing w:after="0"/>
              <w:rPr>
                <w:sz w:val="6"/>
                <w:szCs w:val="6"/>
                <w:color w:val="auto"/>
              </w:rPr>
            </w:pPr>
          </w:p>
        </w:tc>
        <w:tc>
          <w:tcPr>
            <w:tcW w:w="70" w:type="dxa"/>
            <w:vAlign w:val="bottom"/>
            <w:shd w:val="clear" w:color="auto" w:fill="DEDBD3"/>
          </w:tcPr>
          <w:p>
            <w:pPr>
              <w:spacing w:after="0"/>
              <w:rPr>
                <w:sz w:val="6"/>
                <w:szCs w:val="6"/>
                <w:color w:val="auto"/>
              </w:rPr>
            </w:pPr>
          </w:p>
        </w:tc>
        <w:tc>
          <w:tcPr>
            <w:tcW w:w="700" w:type="dxa"/>
            <w:vAlign w:val="bottom"/>
            <w:vMerge w:val="restart"/>
            <w:shd w:val="clear" w:color="auto" w:fill="DEDBD3"/>
          </w:tcPr>
          <w:p>
            <w:pPr>
              <w:spacing w:after="0"/>
              <w:rPr>
                <w:sz w:val="20"/>
                <w:szCs w:val="20"/>
                <w:color w:val="auto"/>
              </w:rPr>
            </w:pPr>
            <w:r>
              <w:rPr>
                <w:rFonts w:ascii="Arial" w:cs="Arial" w:eastAsia="Arial" w:hAnsi="Arial"/>
                <w:sz w:val="10"/>
                <w:szCs w:val="10"/>
                <w:color w:val="auto"/>
              </w:rPr>
              <w:t>GRANT DATE</w:t>
            </w:r>
          </w:p>
        </w:tc>
        <w:tc>
          <w:tcPr>
            <w:tcW w:w="760" w:type="dxa"/>
            <w:vAlign w:val="bottom"/>
            <w:shd w:val="clear" w:color="auto" w:fill="DEDBD3"/>
          </w:tcPr>
          <w:p>
            <w:pPr>
              <w:spacing w:after="0"/>
              <w:rPr>
                <w:sz w:val="6"/>
                <w:szCs w:val="6"/>
                <w:color w:val="auto"/>
              </w:rPr>
            </w:pPr>
          </w:p>
        </w:tc>
        <w:tc>
          <w:tcPr>
            <w:tcW w:w="780" w:type="dxa"/>
            <w:vAlign w:val="bottom"/>
            <w:vMerge w:val="continue"/>
            <w:shd w:val="clear" w:color="auto" w:fill="DEDBD3"/>
          </w:tcPr>
          <w:p>
            <w:pPr>
              <w:spacing w:after="0"/>
              <w:rPr>
                <w:sz w:val="6"/>
                <w:szCs w:val="6"/>
                <w:color w:val="auto"/>
              </w:rPr>
            </w:pPr>
          </w:p>
        </w:tc>
        <w:tc>
          <w:tcPr>
            <w:tcW w:w="740" w:type="dxa"/>
            <w:vAlign w:val="bottom"/>
            <w:shd w:val="clear" w:color="auto" w:fill="DEDBD3"/>
          </w:tcPr>
          <w:p>
            <w:pPr>
              <w:spacing w:after="0"/>
              <w:rPr>
                <w:sz w:val="6"/>
                <w:szCs w:val="6"/>
                <w:color w:val="auto"/>
              </w:rPr>
            </w:pPr>
          </w:p>
        </w:tc>
        <w:tc>
          <w:tcPr>
            <w:tcW w:w="70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NUMBER OF</w:t>
            </w:r>
          </w:p>
        </w:tc>
        <w:tc>
          <w:tcPr>
            <w:tcW w:w="78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NUMBER OF</w:t>
            </w:r>
          </w:p>
        </w:tc>
        <w:tc>
          <w:tcPr>
            <w:tcW w:w="64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AWARDS</w:t>
            </w:r>
          </w:p>
        </w:tc>
        <w:tc>
          <w:tcPr>
            <w:tcW w:w="76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($/SH)</w:t>
            </w:r>
          </w:p>
        </w:tc>
        <w:tc>
          <w:tcPr>
            <w:tcW w:w="140" w:type="dxa"/>
            <w:vAlign w:val="bottom"/>
            <w:shd w:val="clear" w:color="auto" w:fill="DEDBD3"/>
          </w:tcPr>
          <w:p>
            <w:pPr>
              <w:spacing w:after="0"/>
              <w:rPr>
                <w:sz w:val="6"/>
                <w:szCs w:val="6"/>
                <w:color w:val="auto"/>
              </w:rPr>
            </w:pPr>
          </w:p>
        </w:tc>
        <w:tc>
          <w:tcPr>
            <w:tcW w:w="740" w:type="dxa"/>
            <w:vAlign w:val="bottom"/>
            <w:vMerge w:val="restart"/>
            <w:shd w:val="clear" w:color="auto" w:fill="DEDBD3"/>
          </w:tcPr>
          <w:p>
            <w:pPr>
              <w:jc w:val="center"/>
              <w:ind w:right="113"/>
              <w:spacing w:after="0"/>
              <w:rPr>
                <w:sz w:val="20"/>
                <w:szCs w:val="20"/>
                <w:color w:val="auto"/>
              </w:rPr>
            </w:pPr>
            <w:r>
              <w:rPr>
                <w:rFonts w:ascii="Arial" w:cs="Arial" w:eastAsia="Arial" w:hAnsi="Arial"/>
                <w:sz w:val="10"/>
                <w:szCs w:val="10"/>
                <w:color w:val="auto"/>
              </w:rPr>
              <w:t>OF STOCK</w:t>
            </w:r>
          </w:p>
        </w:tc>
        <w:tc>
          <w:tcPr>
            <w:tcW w:w="0" w:type="dxa"/>
            <w:vAlign w:val="bottom"/>
          </w:tcPr>
          <w:p>
            <w:pPr>
              <w:spacing w:after="0"/>
              <w:rPr>
                <w:sz w:val="1"/>
                <w:szCs w:val="1"/>
                <w:color w:val="auto"/>
              </w:rPr>
            </w:pPr>
          </w:p>
        </w:tc>
      </w:tr>
      <w:tr>
        <w:trPr>
          <w:trHeight w:val="54"/>
        </w:trPr>
        <w:tc>
          <w:tcPr>
            <w:tcW w:w="3810" w:type="dxa"/>
            <w:vAlign w:val="bottom"/>
            <w:vMerge w:val="restart"/>
            <w:shd w:val="clear" w:color="auto" w:fill="DEDBD3"/>
          </w:tcPr>
          <w:p>
            <w:pPr>
              <w:ind w:left="60"/>
              <w:spacing w:after="0"/>
              <w:rPr>
                <w:sz w:val="20"/>
                <w:szCs w:val="20"/>
                <w:color w:val="auto"/>
              </w:rPr>
            </w:pPr>
            <w:r>
              <w:rPr>
                <w:rFonts w:ascii="Arial" w:cs="Arial" w:eastAsia="Arial" w:hAnsi="Arial"/>
                <w:sz w:val="10"/>
                <w:szCs w:val="10"/>
                <w:b w:val="1"/>
                <w:bCs w:val="1"/>
                <w:color w:val="auto"/>
              </w:rPr>
              <w:t>OFFICER</w:t>
            </w:r>
          </w:p>
        </w:tc>
        <w:tc>
          <w:tcPr>
            <w:tcW w:w="70" w:type="dxa"/>
            <w:vAlign w:val="bottom"/>
            <w:shd w:val="clear" w:color="auto" w:fill="DEDBD3"/>
          </w:tcPr>
          <w:p>
            <w:pPr>
              <w:spacing w:after="0"/>
              <w:rPr>
                <w:sz w:val="4"/>
                <w:szCs w:val="4"/>
                <w:color w:val="auto"/>
              </w:rPr>
            </w:pPr>
          </w:p>
        </w:tc>
        <w:tc>
          <w:tcPr>
            <w:tcW w:w="700" w:type="dxa"/>
            <w:vAlign w:val="bottom"/>
            <w:vMerge w:val="continue"/>
            <w:shd w:val="clear" w:color="auto" w:fill="DEDBD3"/>
          </w:tcPr>
          <w:p>
            <w:pPr>
              <w:spacing w:after="0"/>
              <w:rPr>
                <w:sz w:val="4"/>
                <w:szCs w:val="4"/>
                <w:color w:val="auto"/>
              </w:rPr>
            </w:pPr>
          </w:p>
        </w:tc>
        <w:tc>
          <w:tcPr>
            <w:tcW w:w="760" w:type="dxa"/>
            <w:vAlign w:val="bottom"/>
            <w:shd w:val="clear" w:color="auto" w:fill="DEDBD3"/>
          </w:tcPr>
          <w:p>
            <w:pPr>
              <w:spacing w:after="0"/>
              <w:rPr>
                <w:sz w:val="4"/>
                <w:szCs w:val="4"/>
                <w:color w:val="auto"/>
              </w:rPr>
            </w:pPr>
          </w:p>
        </w:tc>
        <w:tc>
          <w:tcPr>
            <w:tcW w:w="780" w:type="dxa"/>
            <w:vAlign w:val="bottom"/>
            <w:shd w:val="clear" w:color="auto" w:fill="DEDBD3"/>
          </w:tcPr>
          <w:p>
            <w:pPr>
              <w:spacing w:after="0"/>
              <w:rPr>
                <w:sz w:val="4"/>
                <w:szCs w:val="4"/>
                <w:color w:val="auto"/>
              </w:rPr>
            </w:pPr>
          </w:p>
        </w:tc>
        <w:tc>
          <w:tcPr>
            <w:tcW w:w="740" w:type="dxa"/>
            <w:vAlign w:val="bottom"/>
            <w:shd w:val="clear" w:color="auto" w:fill="DEDBD3"/>
          </w:tcPr>
          <w:p>
            <w:pPr>
              <w:spacing w:after="0"/>
              <w:rPr>
                <w:sz w:val="4"/>
                <w:szCs w:val="4"/>
                <w:color w:val="auto"/>
              </w:rPr>
            </w:pPr>
          </w:p>
        </w:tc>
        <w:tc>
          <w:tcPr>
            <w:tcW w:w="700" w:type="dxa"/>
            <w:vAlign w:val="bottom"/>
            <w:vMerge w:val="continue"/>
            <w:shd w:val="clear" w:color="auto" w:fill="DEDBD3"/>
          </w:tcPr>
          <w:p>
            <w:pPr>
              <w:spacing w:after="0"/>
              <w:rPr>
                <w:sz w:val="4"/>
                <w:szCs w:val="4"/>
                <w:color w:val="auto"/>
              </w:rPr>
            </w:pPr>
          </w:p>
        </w:tc>
        <w:tc>
          <w:tcPr>
            <w:tcW w:w="780" w:type="dxa"/>
            <w:vAlign w:val="bottom"/>
            <w:vMerge w:val="continue"/>
            <w:shd w:val="clear" w:color="auto" w:fill="DEDBD3"/>
          </w:tcPr>
          <w:p>
            <w:pPr>
              <w:spacing w:after="0"/>
              <w:rPr>
                <w:sz w:val="4"/>
                <w:szCs w:val="4"/>
                <w:color w:val="auto"/>
              </w:rPr>
            </w:pPr>
          </w:p>
        </w:tc>
        <w:tc>
          <w:tcPr>
            <w:tcW w:w="640" w:type="dxa"/>
            <w:vAlign w:val="bottom"/>
            <w:vMerge w:val="continue"/>
            <w:shd w:val="clear" w:color="auto" w:fill="DEDBD3"/>
          </w:tcPr>
          <w:p>
            <w:pPr>
              <w:spacing w:after="0"/>
              <w:rPr>
                <w:sz w:val="4"/>
                <w:szCs w:val="4"/>
                <w:color w:val="auto"/>
              </w:rPr>
            </w:pPr>
          </w:p>
        </w:tc>
        <w:tc>
          <w:tcPr>
            <w:tcW w:w="760" w:type="dxa"/>
            <w:vAlign w:val="bottom"/>
            <w:vMerge w:val="continue"/>
            <w:shd w:val="clear" w:color="auto" w:fill="DEDBD3"/>
          </w:tcPr>
          <w:p>
            <w:pPr>
              <w:spacing w:after="0"/>
              <w:rPr>
                <w:sz w:val="4"/>
                <w:szCs w:val="4"/>
                <w:color w:val="auto"/>
              </w:rPr>
            </w:pPr>
          </w:p>
        </w:tc>
        <w:tc>
          <w:tcPr>
            <w:tcW w:w="140" w:type="dxa"/>
            <w:vAlign w:val="bottom"/>
            <w:shd w:val="clear" w:color="auto" w:fill="DEDBD3"/>
          </w:tcPr>
          <w:p>
            <w:pPr>
              <w:spacing w:after="0"/>
              <w:rPr>
                <w:sz w:val="4"/>
                <w:szCs w:val="4"/>
                <w:color w:val="auto"/>
              </w:rPr>
            </w:pPr>
          </w:p>
        </w:tc>
        <w:tc>
          <w:tcPr>
            <w:tcW w:w="740" w:type="dxa"/>
            <w:vAlign w:val="bottom"/>
            <w:vMerge w:val="continue"/>
            <w:shd w:val="clear" w:color="auto" w:fill="DEDBD3"/>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3810" w:type="dxa"/>
            <w:vAlign w:val="bottom"/>
            <w:vMerge w:val="continue"/>
            <w:shd w:val="clear" w:color="auto" w:fill="DEDBD3"/>
          </w:tcPr>
          <w:p>
            <w:pPr>
              <w:spacing w:after="0"/>
              <w:rPr>
                <w:sz w:val="8"/>
                <w:szCs w:val="8"/>
                <w:color w:val="auto"/>
              </w:rPr>
            </w:pPr>
          </w:p>
        </w:tc>
        <w:tc>
          <w:tcPr>
            <w:tcW w:w="70" w:type="dxa"/>
            <w:vAlign w:val="bottom"/>
            <w:shd w:val="clear" w:color="auto" w:fill="DEDBD3"/>
          </w:tcPr>
          <w:p>
            <w:pPr>
              <w:spacing w:after="0"/>
              <w:rPr>
                <w:sz w:val="8"/>
                <w:szCs w:val="8"/>
                <w:color w:val="auto"/>
              </w:rPr>
            </w:pPr>
          </w:p>
        </w:tc>
        <w:tc>
          <w:tcPr>
            <w:tcW w:w="700" w:type="dxa"/>
            <w:vAlign w:val="bottom"/>
            <w:shd w:val="clear" w:color="auto" w:fill="DEDBD3"/>
          </w:tcPr>
          <w:p>
            <w:pPr>
              <w:spacing w:after="0"/>
              <w:rPr>
                <w:sz w:val="8"/>
                <w:szCs w:val="8"/>
                <w:color w:val="auto"/>
              </w:rPr>
            </w:pPr>
          </w:p>
        </w:tc>
        <w:tc>
          <w:tcPr>
            <w:tcW w:w="760" w:type="dxa"/>
            <w:vAlign w:val="bottom"/>
            <w:vMerge w:val="restart"/>
            <w:shd w:val="clear" w:color="auto" w:fill="DEDBD3"/>
          </w:tcPr>
          <w:p>
            <w:pPr>
              <w:jc w:val="right"/>
              <w:spacing w:after="0"/>
              <w:rPr>
                <w:sz w:val="20"/>
                <w:szCs w:val="20"/>
                <w:color w:val="auto"/>
              </w:rPr>
            </w:pPr>
            <w:r>
              <w:rPr>
                <w:rFonts w:ascii="Arial" w:cs="Arial" w:eastAsia="Arial" w:hAnsi="Arial"/>
                <w:sz w:val="10"/>
                <w:szCs w:val="10"/>
                <w:color w:val="auto"/>
              </w:rPr>
              <w:t>THRESHOLD</w:t>
            </w:r>
          </w:p>
        </w:tc>
        <w:tc>
          <w:tcPr>
            <w:tcW w:w="78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TARGET</w:t>
            </w:r>
          </w:p>
        </w:tc>
        <w:tc>
          <w:tcPr>
            <w:tcW w:w="740" w:type="dxa"/>
            <w:vAlign w:val="bottom"/>
            <w:vMerge w:val="restart"/>
            <w:shd w:val="clear" w:color="auto" w:fill="DEDBD3"/>
          </w:tcPr>
          <w:p>
            <w:pPr>
              <w:jc w:val="right"/>
              <w:ind w:right="53"/>
              <w:spacing w:after="0"/>
              <w:rPr>
                <w:sz w:val="20"/>
                <w:szCs w:val="20"/>
                <w:color w:val="auto"/>
              </w:rPr>
            </w:pPr>
            <w:r>
              <w:rPr>
                <w:rFonts w:ascii="Arial" w:cs="Arial" w:eastAsia="Arial" w:hAnsi="Arial"/>
                <w:sz w:val="10"/>
                <w:szCs w:val="10"/>
                <w:color w:val="auto"/>
              </w:rPr>
              <w:t>MAXIMUM</w:t>
            </w:r>
          </w:p>
        </w:tc>
        <w:tc>
          <w:tcPr>
            <w:tcW w:w="700" w:type="dxa"/>
            <w:vAlign w:val="bottom"/>
            <w:shd w:val="clear" w:color="auto" w:fill="DEDBD3"/>
          </w:tcPr>
          <w:p>
            <w:pPr>
              <w:jc w:val="center"/>
              <w:spacing w:after="0" w:line="101" w:lineRule="exact"/>
              <w:rPr>
                <w:sz w:val="20"/>
                <w:szCs w:val="20"/>
                <w:color w:val="auto"/>
              </w:rPr>
            </w:pPr>
            <w:r>
              <w:rPr>
                <w:rFonts w:ascii="Arial" w:cs="Arial" w:eastAsia="Arial" w:hAnsi="Arial"/>
                <w:sz w:val="10"/>
                <w:szCs w:val="10"/>
                <w:color w:val="auto"/>
              </w:rPr>
              <w:t>SHARES OF</w:t>
            </w:r>
          </w:p>
        </w:tc>
        <w:tc>
          <w:tcPr>
            <w:tcW w:w="780" w:type="dxa"/>
            <w:vAlign w:val="bottom"/>
            <w:shd w:val="clear" w:color="auto" w:fill="DEDBD3"/>
          </w:tcPr>
          <w:p>
            <w:pPr>
              <w:jc w:val="center"/>
              <w:spacing w:after="0" w:line="101" w:lineRule="exact"/>
              <w:rPr>
                <w:sz w:val="20"/>
                <w:szCs w:val="20"/>
                <w:color w:val="auto"/>
              </w:rPr>
            </w:pPr>
            <w:r>
              <w:rPr>
                <w:rFonts w:ascii="Arial" w:cs="Arial" w:eastAsia="Arial" w:hAnsi="Arial"/>
                <w:sz w:val="10"/>
                <w:szCs w:val="10"/>
                <w:color w:val="auto"/>
              </w:rPr>
              <w:t>SECURITIES</w:t>
            </w:r>
          </w:p>
        </w:tc>
        <w:tc>
          <w:tcPr>
            <w:tcW w:w="640" w:type="dxa"/>
            <w:vAlign w:val="bottom"/>
            <w:shd w:val="clear" w:color="auto" w:fill="DEDBD3"/>
          </w:tcPr>
          <w:p>
            <w:pPr>
              <w:jc w:val="center"/>
              <w:spacing w:after="0" w:line="101" w:lineRule="exact"/>
              <w:rPr>
                <w:sz w:val="20"/>
                <w:szCs w:val="20"/>
                <w:color w:val="auto"/>
              </w:rPr>
            </w:pPr>
            <w:r>
              <w:rPr>
                <w:rFonts w:ascii="Arial" w:cs="Arial" w:eastAsia="Arial" w:hAnsi="Arial"/>
                <w:sz w:val="10"/>
                <w:szCs w:val="10"/>
                <w:color w:val="auto"/>
              </w:rPr>
              <w:t>($/SH)</w:t>
            </w:r>
          </w:p>
        </w:tc>
        <w:tc>
          <w:tcPr>
            <w:tcW w:w="760" w:type="dxa"/>
            <w:vAlign w:val="bottom"/>
            <w:shd w:val="clear" w:color="auto" w:fill="DEDBD3"/>
          </w:tcPr>
          <w:p>
            <w:pPr>
              <w:spacing w:after="0"/>
              <w:rPr>
                <w:sz w:val="8"/>
                <w:szCs w:val="8"/>
                <w:color w:val="auto"/>
              </w:rPr>
            </w:pPr>
          </w:p>
        </w:tc>
        <w:tc>
          <w:tcPr>
            <w:tcW w:w="880" w:type="dxa"/>
            <w:vAlign w:val="bottom"/>
            <w:gridSpan w:val="2"/>
            <w:shd w:val="clear" w:color="auto" w:fill="DEDBD3"/>
          </w:tcPr>
          <w:p>
            <w:pPr>
              <w:jc w:val="center"/>
              <w:spacing w:after="0" w:line="101" w:lineRule="exact"/>
              <w:rPr>
                <w:sz w:val="20"/>
                <w:szCs w:val="20"/>
                <w:color w:val="auto"/>
              </w:rPr>
            </w:pPr>
            <w:r>
              <w:rPr>
                <w:rFonts w:ascii="Arial" w:cs="Arial" w:eastAsia="Arial" w:hAnsi="Arial"/>
                <w:sz w:val="10"/>
                <w:szCs w:val="10"/>
                <w:color w:val="auto"/>
              </w:rPr>
              <w:t>AND OPTION</w:t>
            </w:r>
          </w:p>
        </w:tc>
        <w:tc>
          <w:tcPr>
            <w:tcW w:w="0" w:type="dxa"/>
            <w:vAlign w:val="bottom"/>
          </w:tcPr>
          <w:p>
            <w:pPr>
              <w:spacing w:after="0"/>
              <w:rPr>
                <w:sz w:val="1"/>
                <w:szCs w:val="1"/>
                <w:color w:val="auto"/>
              </w:rPr>
            </w:pPr>
          </w:p>
        </w:tc>
      </w:tr>
      <w:tr>
        <w:trPr>
          <w:trHeight w:val="65"/>
        </w:trPr>
        <w:tc>
          <w:tcPr>
            <w:tcW w:w="3810" w:type="dxa"/>
            <w:vAlign w:val="bottom"/>
            <w:shd w:val="clear" w:color="auto" w:fill="DEDBD3"/>
          </w:tcPr>
          <w:p>
            <w:pPr>
              <w:spacing w:after="0"/>
              <w:rPr>
                <w:sz w:val="5"/>
                <w:szCs w:val="5"/>
                <w:color w:val="auto"/>
              </w:rPr>
            </w:pPr>
          </w:p>
        </w:tc>
        <w:tc>
          <w:tcPr>
            <w:tcW w:w="70" w:type="dxa"/>
            <w:vAlign w:val="bottom"/>
            <w:shd w:val="clear" w:color="auto" w:fill="DEDBD3"/>
          </w:tcPr>
          <w:p>
            <w:pPr>
              <w:spacing w:after="0"/>
              <w:rPr>
                <w:sz w:val="5"/>
                <w:szCs w:val="5"/>
                <w:color w:val="auto"/>
              </w:rPr>
            </w:pPr>
          </w:p>
        </w:tc>
        <w:tc>
          <w:tcPr>
            <w:tcW w:w="700" w:type="dxa"/>
            <w:vAlign w:val="bottom"/>
            <w:shd w:val="clear" w:color="auto" w:fill="DEDBD3"/>
          </w:tcPr>
          <w:p>
            <w:pPr>
              <w:spacing w:after="0"/>
              <w:rPr>
                <w:sz w:val="5"/>
                <w:szCs w:val="5"/>
                <w:color w:val="auto"/>
              </w:rPr>
            </w:pPr>
          </w:p>
        </w:tc>
        <w:tc>
          <w:tcPr>
            <w:tcW w:w="760" w:type="dxa"/>
            <w:vAlign w:val="bottom"/>
            <w:vMerge w:val="continue"/>
            <w:shd w:val="clear" w:color="auto" w:fill="DEDBD3"/>
          </w:tcPr>
          <w:p>
            <w:pPr>
              <w:spacing w:after="0"/>
              <w:rPr>
                <w:sz w:val="5"/>
                <w:szCs w:val="5"/>
                <w:color w:val="auto"/>
              </w:rPr>
            </w:pPr>
          </w:p>
        </w:tc>
        <w:tc>
          <w:tcPr>
            <w:tcW w:w="780" w:type="dxa"/>
            <w:vAlign w:val="bottom"/>
            <w:vMerge w:val="continue"/>
            <w:shd w:val="clear" w:color="auto" w:fill="DEDBD3"/>
          </w:tcPr>
          <w:p>
            <w:pPr>
              <w:spacing w:after="0"/>
              <w:rPr>
                <w:sz w:val="5"/>
                <w:szCs w:val="5"/>
                <w:color w:val="auto"/>
              </w:rPr>
            </w:pPr>
          </w:p>
        </w:tc>
        <w:tc>
          <w:tcPr>
            <w:tcW w:w="740" w:type="dxa"/>
            <w:vAlign w:val="bottom"/>
            <w:vMerge w:val="continue"/>
            <w:shd w:val="clear" w:color="auto" w:fill="DEDBD3"/>
          </w:tcPr>
          <w:p>
            <w:pPr>
              <w:spacing w:after="0"/>
              <w:rPr>
                <w:sz w:val="5"/>
                <w:szCs w:val="5"/>
                <w:color w:val="auto"/>
              </w:rPr>
            </w:pPr>
          </w:p>
        </w:tc>
        <w:tc>
          <w:tcPr>
            <w:tcW w:w="70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STOCK OR</w:t>
            </w:r>
          </w:p>
        </w:tc>
        <w:tc>
          <w:tcPr>
            <w:tcW w:w="78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UNDERLYING</w:t>
            </w:r>
          </w:p>
        </w:tc>
        <w:tc>
          <w:tcPr>
            <w:tcW w:w="640" w:type="dxa"/>
            <w:vAlign w:val="bottom"/>
            <w:shd w:val="clear" w:color="auto" w:fill="DEDBD3"/>
          </w:tcPr>
          <w:p>
            <w:pPr>
              <w:spacing w:after="0"/>
              <w:rPr>
                <w:sz w:val="5"/>
                <w:szCs w:val="5"/>
                <w:color w:val="auto"/>
              </w:rPr>
            </w:pPr>
          </w:p>
        </w:tc>
        <w:tc>
          <w:tcPr>
            <w:tcW w:w="760" w:type="dxa"/>
            <w:vAlign w:val="bottom"/>
            <w:shd w:val="clear" w:color="auto" w:fill="DEDBD3"/>
          </w:tcPr>
          <w:p>
            <w:pPr>
              <w:spacing w:after="0"/>
              <w:rPr>
                <w:sz w:val="5"/>
                <w:szCs w:val="5"/>
                <w:color w:val="auto"/>
              </w:rPr>
            </w:pPr>
          </w:p>
        </w:tc>
        <w:tc>
          <w:tcPr>
            <w:tcW w:w="880" w:type="dxa"/>
            <w:vAlign w:val="bottom"/>
            <w:gridSpan w:val="2"/>
            <w:vMerge w:val="restart"/>
            <w:shd w:val="clear" w:color="auto" w:fill="DEDBD3"/>
          </w:tcPr>
          <w:p>
            <w:pPr>
              <w:jc w:val="center"/>
              <w:spacing w:after="0"/>
              <w:rPr>
                <w:sz w:val="20"/>
                <w:szCs w:val="20"/>
                <w:color w:val="auto"/>
              </w:rPr>
            </w:pPr>
            <w:r>
              <w:rPr>
                <w:rFonts w:ascii="Arial" w:cs="Arial" w:eastAsia="Arial" w:hAnsi="Arial"/>
                <w:sz w:val="10"/>
                <w:szCs w:val="10"/>
                <w:color w:val="auto"/>
              </w:rPr>
              <w:t>AWARDS ($) (2)</w:t>
            </w:r>
          </w:p>
        </w:tc>
        <w:tc>
          <w:tcPr>
            <w:tcW w:w="0" w:type="dxa"/>
            <w:vAlign w:val="bottom"/>
          </w:tcPr>
          <w:p>
            <w:pPr>
              <w:spacing w:after="0"/>
              <w:rPr>
                <w:sz w:val="1"/>
                <w:szCs w:val="1"/>
                <w:color w:val="auto"/>
              </w:rPr>
            </w:pPr>
          </w:p>
        </w:tc>
      </w:tr>
      <w:tr>
        <w:trPr>
          <w:trHeight w:val="52"/>
        </w:trPr>
        <w:tc>
          <w:tcPr>
            <w:tcW w:w="3810" w:type="dxa"/>
            <w:vAlign w:val="bottom"/>
            <w:shd w:val="clear" w:color="auto" w:fill="DEDBD3"/>
          </w:tcPr>
          <w:p>
            <w:pPr>
              <w:spacing w:after="0"/>
              <w:rPr>
                <w:sz w:val="4"/>
                <w:szCs w:val="4"/>
                <w:color w:val="auto"/>
              </w:rPr>
            </w:pPr>
          </w:p>
        </w:tc>
        <w:tc>
          <w:tcPr>
            <w:tcW w:w="70" w:type="dxa"/>
            <w:vAlign w:val="bottom"/>
            <w:shd w:val="clear" w:color="auto" w:fill="DEDBD3"/>
          </w:tcPr>
          <w:p>
            <w:pPr>
              <w:spacing w:after="0"/>
              <w:rPr>
                <w:sz w:val="4"/>
                <w:szCs w:val="4"/>
                <w:color w:val="auto"/>
              </w:rPr>
            </w:pPr>
          </w:p>
        </w:tc>
        <w:tc>
          <w:tcPr>
            <w:tcW w:w="700" w:type="dxa"/>
            <w:vAlign w:val="bottom"/>
            <w:shd w:val="clear" w:color="auto" w:fill="DEDBD3"/>
          </w:tcPr>
          <w:p>
            <w:pPr>
              <w:spacing w:after="0"/>
              <w:rPr>
                <w:sz w:val="4"/>
                <w:szCs w:val="4"/>
                <w:color w:val="auto"/>
              </w:rPr>
            </w:pPr>
          </w:p>
        </w:tc>
        <w:tc>
          <w:tcPr>
            <w:tcW w:w="760" w:type="dxa"/>
            <w:vAlign w:val="bottom"/>
            <w:vMerge w:val="restart"/>
            <w:shd w:val="clear" w:color="auto" w:fill="DEDBD3"/>
          </w:tcPr>
          <w:p>
            <w:pPr>
              <w:jc w:val="right"/>
              <w:ind w:right="236"/>
              <w:spacing w:after="0"/>
              <w:rPr>
                <w:sz w:val="20"/>
                <w:szCs w:val="20"/>
                <w:color w:val="auto"/>
              </w:rPr>
            </w:pPr>
            <w:r>
              <w:rPr>
                <w:rFonts w:ascii="Arial" w:cs="Arial" w:eastAsia="Arial" w:hAnsi="Arial"/>
                <w:sz w:val="10"/>
                <w:szCs w:val="10"/>
                <w:color w:val="auto"/>
              </w:rPr>
              <w:t>($)</w:t>
            </w:r>
          </w:p>
        </w:tc>
        <w:tc>
          <w:tcPr>
            <w:tcW w:w="780" w:type="dxa"/>
            <w:vAlign w:val="bottom"/>
            <w:vMerge w:val="restart"/>
            <w:shd w:val="clear" w:color="auto" w:fill="DEDBD3"/>
          </w:tcPr>
          <w:p>
            <w:pPr>
              <w:jc w:val="right"/>
              <w:ind w:right="254"/>
              <w:spacing w:after="0"/>
              <w:rPr>
                <w:sz w:val="20"/>
                <w:szCs w:val="20"/>
                <w:color w:val="auto"/>
              </w:rPr>
            </w:pPr>
            <w:r>
              <w:rPr>
                <w:rFonts w:ascii="Arial" w:cs="Arial" w:eastAsia="Arial" w:hAnsi="Arial"/>
                <w:sz w:val="10"/>
                <w:szCs w:val="10"/>
                <w:color w:val="auto"/>
              </w:rPr>
              <w:t>($)</w:t>
            </w:r>
          </w:p>
        </w:tc>
        <w:tc>
          <w:tcPr>
            <w:tcW w:w="740" w:type="dxa"/>
            <w:vAlign w:val="bottom"/>
            <w:vMerge w:val="restart"/>
            <w:shd w:val="clear" w:color="auto" w:fill="DEDBD3"/>
          </w:tcPr>
          <w:p>
            <w:pPr>
              <w:jc w:val="right"/>
              <w:ind w:right="233"/>
              <w:spacing w:after="0"/>
              <w:rPr>
                <w:sz w:val="20"/>
                <w:szCs w:val="20"/>
                <w:color w:val="auto"/>
              </w:rPr>
            </w:pPr>
            <w:r>
              <w:rPr>
                <w:rFonts w:ascii="Arial" w:cs="Arial" w:eastAsia="Arial" w:hAnsi="Arial"/>
                <w:sz w:val="10"/>
                <w:szCs w:val="10"/>
                <w:color w:val="auto"/>
              </w:rPr>
              <w:t>($)</w:t>
            </w:r>
          </w:p>
        </w:tc>
        <w:tc>
          <w:tcPr>
            <w:tcW w:w="700" w:type="dxa"/>
            <w:vAlign w:val="bottom"/>
            <w:vMerge w:val="continue"/>
            <w:shd w:val="clear" w:color="auto" w:fill="DEDBD3"/>
          </w:tcPr>
          <w:p>
            <w:pPr>
              <w:spacing w:after="0"/>
              <w:rPr>
                <w:sz w:val="4"/>
                <w:szCs w:val="4"/>
                <w:color w:val="auto"/>
              </w:rPr>
            </w:pPr>
          </w:p>
        </w:tc>
        <w:tc>
          <w:tcPr>
            <w:tcW w:w="780" w:type="dxa"/>
            <w:vAlign w:val="bottom"/>
            <w:vMerge w:val="continue"/>
            <w:shd w:val="clear" w:color="auto" w:fill="DEDBD3"/>
          </w:tcPr>
          <w:p>
            <w:pPr>
              <w:spacing w:after="0"/>
              <w:rPr>
                <w:sz w:val="4"/>
                <w:szCs w:val="4"/>
                <w:color w:val="auto"/>
              </w:rPr>
            </w:pPr>
          </w:p>
        </w:tc>
        <w:tc>
          <w:tcPr>
            <w:tcW w:w="640" w:type="dxa"/>
            <w:vAlign w:val="bottom"/>
            <w:shd w:val="clear" w:color="auto" w:fill="DEDBD3"/>
          </w:tcPr>
          <w:p>
            <w:pPr>
              <w:spacing w:after="0"/>
              <w:rPr>
                <w:sz w:val="4"/>
                <w:szCs w:val="4"/>
                <w:color w:val="auto"/>
              </w:rPr>
            </w:pPr>
          </w:p>
        </w:tc>
        <w:tc>
          <w:tcPr>
            <w:tcW w:w="760" w:type="dxa"/>
            <w:vAlign w:val="bottom"/>
            <w:shd w:val="clear" w:color="auto" w:fill="DEDBD3"/>
          </w:tcPr>
          <w:p>
            <w:pPr>
              <w:spacing w:after="0"/>
              <w:rPr>
                <w:sz w:val="4"/>
                <w:szCs w:val="4"/>
                <w:color w:val="auto"/>
              </w:rPr>
            </w:pPr>
          </w:p>
        </w:tc>
        <w:tc>
          <w:tcPr>
            <w:tcW w:w="880" w:type="dxa"/>
            <w:vAlign w:val="bottom"/>
            <w:gridSpan w:val="2"/>
            <w:vMerge w:val="continue"/>
            <w:shd w:val="clear" w:color="auto" w:fill="DEDBD3"/>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810" w:type="dxa"/>
            <w:vAlign w:val="bottom"/>
            <w:shd w:val="clear" w:color="auto" w:fill="DEDBD3"/>
          </w:tcPr>
          <w:p>
            <w:pPr>
              <w:spacing w:after="0"/>
              <w:rPr>
                <w:sz w:val="6"/>
                <w:szCs w:val="6"/>
                <w:color w:val="auto"/>
              </w:rPr>
            </w:pPr>
          </w:p>
        </w:tc>
        <w:tc>
          <w:tcPr>
            <w:tcW w:w="70" w:type="dxa"/>
            <w:vAlign w:val="bottom"/>
            <w:shd w:val="clear" w:color="auto" w:fill="DEDBD3"/>
          </w:tcPr>
          <w:p>
            <w:pPr>
              <w:spacing w:after="0"/>
              <w:rPr>
                <w:sz w:val="6"/>
                <w:szCs w:val="6"/>
                <w:color w:val="auto"/>
              </w:rPr>
            </w:pPr>
          </w:p>
        </w:tc>
        <w:tc>
          <w:tcPr>
            <w:tcW w:w="700" w:type="dxa"/>
            <w:vAlign w:val="bottom"/>
            <w:shd w:val="clear" w:color="auto" w:fill="DEDBD3"/>
          </w:tcPr>
          <w:p>
            <w:pPr>
              <w:spacing w:after="0"/>
              <w:rPr>
                <w:sz w:val="6"/>
                <w:szCs w:val="6"/>
                <w:color w:val="auto"/>
              </w:rPr>
            </w:pPr>
          </w:p>
        </w:tc>
        <w:tc>
          <w:tcPr>
            <w:tcW w:w="760" w:type="dxa"/>
            <w:vAlign w:val="bottom"/>
            <w:vMerge w:val="continue"/>
            <w:shd w:val="clear" w:color="auto" w:fill="DEDBD3"/>
          </w:tcPr>
          <w:p>
            <w:pPr>
              <w:spacing w:after="0"/>
              <w:rPr>
                <w:sz w:val="6"/>
                <w:szCs w:val="6"/>
                <w:color w:val="auto"/>
              </w:rPr>
            </w:pPr>
          </w:p>
        </w:tc>
        <w:tc>
          <w:tcPr>
            <w:tcW w:w="780" w:type="dxa"/>
            <w:vAlign w:val="bottom"/>
            <w:vMerge w:val="continue"/>
            <w:shd w:val="clear" w:color="auto" w:fill="DEDBD3"/>
          </w:tcPr>
          <w:p>
            <w:pPr>
              <w:spacing w:after="0"/>
              <w:rPr>
                <w:sz w:val="6"/>
                <w:szCs w:val="6"/>
                <w:color w:val="auto"/>
              </w:rPr>
            </w:pPr>
          </w:p>
        </w:tc>
        <w:tc>
          <w:tcPr>
            <w:tcW w:w="740" w:type="dxa"/>
            <w:vAlign w:val="bottom"/>
            <w:vMerge w:val="continue"/>
            <w:shd w:val="clear" w:color="auto" w:fill="DEDBD3"/>
          </w:tcPr>
          <w:p>
            <w:pPr>
              <w:spacing w:after="0"/>
              <w:rPr>
                <w:sz w:val="6"/>
                <w:szCs w:val="6"/>
                <w:color w:val="auto"/>
              </w:rPr>
            </w:pPr>
          </w:p>
        </w:tc>
        <w:tc>
          <w:tcPr>
            <w:tcW w:w="70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UNITS (#)</w:t>
            </w:r>
          </w:p>
        </w:tc>
        <w:tc>
          <w:tcPr>
            <w:tcW w:w="78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OPTIONS (#)</w:t>
            </w:r>
          </w:p>
        </w:tc>
        <w:tc>
          <w:tcPr>
            <w:tcW w:w="640" w:type="dxa"/>
            <w:vAlign w:val="bottom"/>
            <w:shd w:val="clear" w:color="auto" w:fill="DEDBD3"/>
          </w:tcPr>
          <w:p>
            <w:pPr>
              <w:spacing w:after="0"/>
              <w:rPr>
                <w:sz w:val="6"/>
                <w:szCs w:val="6"/>
                <w:color w:val="auto"/>
              </w:rPr>
            </w:pPr>
          </w:p>
        </w:tc>
        <w:tc>
          <w:tcPr>
            <w:tcW w:w="760" w:type="dxa"/>
            <w:vAlign w:val="bottom"/>
            <w:shd w:val="clear" w:color="auto" w:fill="DEDBD3"/>
          </w:tcPr>
          <w:p>
            <w:pPr>
              <w:spacing w:after="0"/>
              <w:rPr>
                <w:sz w:val="6"/>
                <w:szCs w:val="6"/>
                <w:color w:val="auto"/>
              </w:rPr>
            </w:pPr>
          </w:p>
        </w:tc>
        <w:tc>
          <w:tcPr>
            <w:tcW w:w="140" w:type="dxa"/>
            <w:vAlign w:val="bottom"/>
            <w:shd w:val="clear" w:color="auto" w:fill="DEDBD3"/>
          </w:tcPr>
          <w:p>
            <w:pPr>
              <w:spacing w:after="0"/>
              <w:rPr>
                <w:sz w:val="6"/>
                <w:szCs w:val="6"/>
                <w:color w:val="auto"/>
              </w:rPr>
            </w:pPr>
          </w:p>
        </w:tc>
        <w:tc>
          <w:tcPr>
            <w:tcW w:w="740" w:type="dxa"/>
            <w:vAlign w:val="bottom"/>
            <w:shd w:val="clear" w:color="auto" w:fill="DEDBD3"/>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3810" w:type="dxa"/>
            <w:vAlign w:val="bottom"/>
            <w:shd w:val="clear" w:color="auto" w:fill="DEDBD3"/>
          </w:tcPr>
          <w:p>
            <w:pPr>
              <w:spacing w:after="0"/>
              <w:rPr>
                <w:sz w:val="5"/>
                <w:szCs w:val="5"/>
                <w:color w:val="auto"/>
              </w:rPr>
            </w:pPr>
          </w:p>
        </w:tc>
        <w:tc>
          <w:tcPr>
            <w:tcW w:w="70" w:type="dxa"/>
            <w:vAlign w:val="bottom"/>
            <w:shd w:val="clear" w:color="auto" w:fill="DEDBD3"/>
          </w:tcPr>
          <w:p>
            <w:pPr>
              <w:spacing w:after="0"/>
              <w:rPr>
                <w:sz w:val="5"/>
                <w:szCs w:val="5"/>
                <w:color w:val="auto"/>
              </w:rPr>
            </w:pPr>
          </w:p>
        </w:tc>
        <w:tc>
          <w:tcPr>
            <w:tcW w:w="700" w:type="dxa"/>
            <w:vAlign w:val="bottom"/>
            <w:shd w:val="clear" w:color="auto" w:fill="DEDBD3"/>
          </w:tcPr>
          <w:p>
            <w:pPr>
              <w:spacing w:after="0"/>
              <w:rPr>
                <w:sz w:val="5"/>
                <w:szCs w:val="5"/>
                <w:color w:val="auto"/>
              </w:rPr>
            </w:pPr>
          </w:p>
        </w:tc>
        <w:tc>
          <w:tcPr>
            <w:tcW w:w="760" w:type="dxa"/>
            <w:vAlign w:val="bottom"/>
            <w:shd w:val="clear" w:color="auto" w:fill="DEDBD3"/>
          </w:tcPr>
          <w:p>
            <w:pPr>
              <w:spacing w:after="0"/>
              <w:rPr>
                <w:sz w:val="5"/>
                <w:szCs w:val="5"/>
                <w:color w:val="auto"/>
              </w:rPr>
            </w:pPr>
          </w:p>
        </w:tc>
        <w:tc>
          <w:tcPr>
            <w:tcW w:w="780" w:type="dxa"/>
            <w:vAlign w:val="bottom"/>
            <w:shd w:val="clear" w:color="auto" w:fill="DEDBD3"/>
          </w:tcPr>
          <w:p>
            <w:pPr>
              <w:spacing w:after="0"/>
              <w:rPr>
                <w:sz w:val="5"/>
                <w:szCs w:val="5"/>
                <w:color w:val="auto"/>
              </w:rPr>
            </w:pPr>
          </w:p>
        </w:tc>
        <w:tc>
          <w:tcPr>
            <w:tcW w:w="740" w:type="dxa"/>
            <w:vAlign w:val="bottom"/>
            <w:shd w:val="clear" w:color="auto" w:fill="DEDBD3"/>
          </w:tcPr>
          <w:p>
            <w:pPr>
              <w:spacing w:after="0"/>
              <w:rPr>
                <w:sz w:val="5"/>
                <w:szCs w:val="5"/>
                <w:color w:val="auto"/>
              </w:rPr>
            </w:pPr>
          </w:p>
        </w:tc>
        <w:tc>
          <w:tcPr>
            <w:tcW w:w="700" w:type="dxa"/>
            <w:vAlign w:val="bottom"/>
            <w:vMerge w:val="continue"/>
            <w:shd w:val="clear" w:color="auto" w:fill="DEDBD3"/>
          </w:tcPr>
          <w:p>
            <w:pPr>
              <w:spacing w:after="0"/>
              <w:rPr>
                <w:sz w:val="5"/>
                <w:szCs w:val="5"/>
                <w:color w:val="auto"/>
              </w:rPr>
            </w:pPr>
          </w:p>
        </w:tc>
        <w:tc>
          <w:tcPr>
            <w:tcW w:w="780" w:type="dxa"/>
            <w:vAlign w:val="bottom"/>
            <w:vMerge w:val="continue"/>
            <w:shd w:val="clear" w:color="auto" w:fill="DEDBD3"/>
          </w:tcPr>
          <w:p>
            <w:pPr>
              <w:spacing w:after="0"/>
              <w:rPr>
                <w:sz w:val="5"/>
                <w:szCs w:val="5"/>
                <w:color w:val="auto"/>
              </w:rPr>
            </w:pPr>
          </w:p>
        </w:tc>
        <w:tc>
          <w:tcPr>
            <w:tcW w:w="640" w:type="dxa"/>
            <w:vAlign w:val="bottom"/>
            <w:shd w:val="clear" w:color="auto" w:fill="DEDBD3"/>
          </w:tcPr>
          <w:p>
            <w:pPr>
              <w:spacing w:after="0"/>
              <w:rPr>
                <w:sz w:val="5"/>
                <w:szCs w:val="5"/>
                <w:color w:val="auto"/>
              </w:rPr>
            </w:pPr>
          </w:p>
        </w:tc>
        <w:tc>
          <w:tcPr>
            <w:tcW w:w="760" w:type="dxa"/>
            <w:vAlign w:val="bottom"/>
            <w:shd w:val="clear" w:color="auto" w:fill="DEDBD3"/>
          </w:tcPr>
          <w:p>
            <w:pPr>
              <w:spacing w:after="0"/>
              <w:rPr>
                <w:sz w:val="5"/>
                <w:szCs w:val="5"/>
                <w:color w:val="auto"/>
              </w:rPr>
            </w:pPr>
          </w:p>
        </w:tc>
        <w:tc>
          <w:tcPr>
            <w:tcW w:w="140" w:type="dxa"/>
            <w:vAlign w:val="bottom"/>
            <w:shd w:val="clear" w:color="auto" w:fill="DEDBD3"/>
          </w:tcPr>
          <w:p>
            <w:pPr>
              <w:spacing w:after="0"/>
              <w:rPr>
                <w:sz w:val="5"/>
                <w:szCs w:val="5"/>
                <w:color w:val="auto"/>
              </w:rPr>
            </w:pPr>
          </w:p>
        </w:tc>
        <w:tc>
          <w:tcPr>
            <w:tcW w:w="740" w:type="dxa"/>
            <w:vAlign w:val="bottom"/>
            <w:shd w:val="clear" w:color="auto" w:fill="DEDBD3"/>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3810" w:type="dxa"/>
            <w:vAlign w:val="bottom"/>
            <w:shd w:val="clear" w:color="auto" w:fill="FDF9F2"/>
          </w:tcPr>
          <w:p>
            <w:pPr>
              <w:spacing w:after="0"/>
              <w:rPr>
                <w:sz w:val="21"/>
                <w:szCs w:val="21"/>
                <w:color w:val="auto"/>
              </w:rPr>
            </w:pPr>
          </w:p>
        </w:tc>
        <w:tc>
          <w:tcPr>
            <w:tcW w:w="70" w:type="dxa"/>
            <w:vAlign w:val="bottom"/>
            <w:shd w:val="clear" w:color="auto" w:fill="FDF9F2"/>
          </w:tcPr>
          <w:p>
            <w:pPr>
              <w:spacing w:after="0"/>
              <w:rPr>
                <w:sz w:val="21"/>
                <w:szCs w:val="21"/>
                <w:color w:val="auto"/>
              </w:rPr>
            </w:pPr>
          </w:p>
        </w:tc>
        <w:tc>
          <w:tcPr>
            <w:tcW w:w="1460" w:type="dxa"/>
            <w:vAlign w:val="bottom"/>
            <w:gridSpan w:val="2"/>
            <w:shd w:val="clear" w:color="auto" w:fill="FDF9F2"/>
          </w:tcPr>
          <w:p>
            <w:pPr>
              <w:jc w:val="right"/>
              <w:spacing w:after="0"/>
              <w:rPr>
                <w:sz w:val="20"/>
                <w:szCs w:val="20"/>
                <w:color w:val="auto"/>
              </w:rPr>
            </w:pPr>
            <w:r>
              <w:rPr>
                <w:rFonts w:ascii="Arial" w:cs="Arial" w:eastAsia="Arial" w:hAnsi="Arial"/>
                <w:sz w:val="14"/>
                <w:szCs w:val="14"/>
                <w:color w:val="auto"/>
              </w:rPr>
              <w:t>N/A $2,880,000</w:t>
            </w:r>
          </w:p>
        </w:tc>
        <w:tc>
          <w:tcPr>
            <w:tcW w:w="78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$3,600,000</w:t>
            </w:r>
          </w:p>
        </w:tc>
        <w:tc>
          <w:tcPr>
            <w:tcW w:w="740" w:type="dxa"/>
            <w:vAlign w:val="bottom"/>
            <w:shd w:val="clear" w:color="auto" w:fill="FDF9F2"/>
          </w:tcPr>
          <w:p>
            <w:pPr>
              <w:jc w:val="right"/>
              <w:spacing w:after="0"/>
              <w:rPr>
                <w:sz w:val="20"/>
                <w:szCs w:val="20"/>
                <w:color w:val="auto"/>
              </w:rPr>
            </w:pPr>
            <w:r>
              <w:rPr>
                <w:rFonts w:ascii="Arial" w:cs="Arial" w:eastAsia="Arial" w:hAnsi="Arial"/>
                <w:sz w:val="14"/>
                <w:szCs w:val="14"/>
                <w:color w:val="auto"/>
                <w:w w:val="99"/>
              </w:rPr>
              <w:t>$4,320,000</w:t>
            </w:r>
          </w:p>
        </w:tc>
        <w:tc>
          <w:tcPr>
            <w:tcW w:w="700" w:type="dxa"/>
            <w:vAlign w:val="bottom"/>
            <w:shd w:val="clear" w:color="auto" w:fill="FDF9F2"/>
          </w:tcPr>
          <w:p>
            <w:pPr>
              <w:jc w:val="center"/>
              <w:spacing w:after="0"/>
              <w:rPr>
                <w:sz w:val="20"/>
                <w:szCs w:val="20"/>
                <w:color w:val="auto"/>
              </w:rPr>
            </w:pPr>
            <w:r>
              <w:rPr>
                <w:rFonts w:ascii="Arial" w:cs="Arial" w:eastAsia="Arial" w:hAnsi="Arial"/>
                <w:sz w:val="14"/>
                <w:szCs w:val="14"/>
                <w:color w:val="auto"/>
              </w:rPr>
              <w:t>-</w:t>
            </w:r>
          </w:p>
        </w:tc>
        <w:tc>
          <w:tcPr>
            <w:tcW w:w="780" w:type="dxa"/>
            <w:vAlign w:val="bottom"/>
            <w:shd w:val="clear" w:color="auto" w:fill="FDF9F2"/>
          </w:tcPr>
          <w:p>
            <w:pPr>
              <w:jc w:val="center"/>
              <w:spacing w:after="0"/>
              <w:rPr>
                <w:sz w:val="20"/>
                <w:szCs w:val="20"/>
                <w:color w:val="auto"/>
              </w:rPr>
            </w:pPr>
            <w:r>
              <w:rPr>
                <w:rFonts w:ascii="Arial" w:cs="Arial" w:eastAsia="Arial" w:hAnsi="Arial"/>
                <w:sz w:val="14"/>
                <w:szCs w:val="14"/>
                <w:color w:val="auto"/>
              </w:rPr>
              <w:t>-</w:t>
            </w:r>
          </w:p>
        </w:tc>
        <w:tc>
          <w:tcPr>
            <w:tcW w:w="640" w:type="dxa"/>
            <w:vAlign w:val="bottom"/>
            <w:shd w:val="clear" w:color="auto" w:fill="FDF9F2"/>
          </w:tcPr>
          <w:p>
            <w:pPr>
              <w:jc w:val="center"/>
              <w:spacing w:after="0"/>
              <w:rPr>
                <w:sz w:val="20"/>
                <w:szCs w:val="20"/>
                <w:color w:val="auto"/>
              </w:rPr>
            </w:pPr>
            <w:r>
              <w:rPr>
                <w:rFonts w:ascii="Arial" w:cs="Arial" w:eastAsia="Arial" w:hAnsi="Arial"/>
                <w:sz w:val="14"/>
                <w:szCs w:val="14"/>
                <w:color w:val="auto"/>
              </w:rPr>
              <w:t>-</w:t>
            </w:r>
          </w:p>
        </w:tc>
        <w:tc>
          <w:tcPr>
            <w:tcW w:w="760" w:type="dxa"/>
            <w:vAlign w:val="bottom"/>
            <w:shd w:val="clear" w:color="auto" w:fill="FDF9F2"/>
          </w:tcPr>
          <w:p>
            <w:pPr>
              <w:jc w:val="right"/>
              <w:ind w:right="255"/>
              <w:spacing w:after="0"/>
              <w:rPr>
                <w:sz w:val="20"/>
                <w:szCs w:val="20"/>
                <w:color w:val="auto"/>
              </w:rPr>
            </w:pPr>
            <w:r>
              <w:rPr>
                <w:rFonts w:ascii="Arial" w:cs="Arial" w:eastAsia="Arial" w:hAnsi="Arial"/>
                <w:sz w:val="14"/>
                <w:szCs w:val="14"/>
                <w:color w:val="auto"/>
              </w:rPr>
              <w:t>-</w:t>
            </w:r>
          </w:p>
        </w:tc>
        <w:tc>
          <w:tcPr>
            <w:tcW w:w="140" w:type="dxa"/>
            <w:vAlign w:val="bottom"/>
            <w:shd w:val="clear" w:color="auto" w:fill="FDF9F2"/>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FDF9F2"/>
          </w:tcPr>
          <w:p>
            <w:pPr>
              <w:jc w:val="right"/>
              <w:ind w:right="5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1"/>
        </w:trPr>
        <w:tc>
          <w:tcPr>
            <w:tcW w:w="3810" w:type="dxa"/>
            <w:vAlign w:val="bottom"/>
            <w:vMerge w:val="restart"/>
            <w:shd w:val="clear" w:color="auto" w:fill="FDF9F2"/>
          </w:tcPr>
          <w:p>
            <w:pPr>
              <w:ind w:left="60"/>
              <w:spacing w:after="0"/>
              <w:rPr>
                <w:sz w:val="20"/>
                <w:szCs w:val="20"/>
                <w:color w:val="auto"/>
              </w:rPr>
            </w:pPr>
            <w:r>
              <w:rPr>
                <w:rFonts w:ascii="Arial" w:cs="Arial" w:eastAsia="Arial" w:hAnsi="Arial"/>
                <w:sz w:val="12"/>
                <w:szCs w:val="12"/>
                <w:b w:val="1"/>
                <w:bCs w:val="1"/>
                <w:color w:val="auto"/>
              </w:rPr>
              <w:t>Craig S. Billings</w:t>
            </w:r>
          </w:p>
        </w:tc>
        <w:tc>
          <w:tcPr>
            <w:tcW w:w="770" w:type="dxa"/>
            <w:vAlign w:val="bottom"/>
            <w:gridSpan w:val="2"/>
            <w:shd w:val="clear" w:color="auto" w:fill="FDF9F2"/>
          </w:tcPr>
          <w:p>
            <w:pPr>
              <w:ind w:left="70"/>
              <w:spacing w:after="0"/>
              <w:rPr>
                <w:sz w:val="20"/>
                <w:szCs w:val="20"/>
                <w:color w:val="auto"/>
              </w:rPr>
            </w:pPr>
            <w:r>
              <w:rPr>
                <w:rFonts w:ascii="Arial" w:cs="Arial" w:eastAsia="Arial" w:hAnsi="Arial"/>
                <w:sz w:val="14"/>
                <w:szCs w:val="14"/>
                <w:color w:val="auto"/>
                <w:w w:val="96"/>
              </w:rPr>
              <w:t>01/12/2022</w:t>
            </w:r>
          </w:p>
        </w:tc>
        <w:tc>
          <w:tcPr>
            <w:tcW w:w="760" w:type="dxa"/>
            <w:vAlign w:val="bottom"/>
            <w:shd w:val="clear" w:color="auto" w:fill="FDF9F2"/>
          </w:tcPr>
          <w:p>
            <w:pPr>
              <w:jc w:val="right"/>
              <w:ind w:right="236"/>
              <w:spacing w:after="0"/>
              <w:rPr>
                <w:sz w:val="20"/>
                <w:szCs w:val="20"/>
                <w:color w:val="auto"/>
              </w:rPr>
            </w:pPr>
            <w:r>
              <w:rPr>
                <w:rFonts w:ascii="Arial" w:cs="Arial" w:eastAsia="Arial" w:hAnsi="Arial"/>
                <w:sz w:val="14"/>
                <w:szCs w:val="14"/>
                <w:color w:val="auto"/>
              </w:rPr>
              <w:t>-</w:t>
            </w:r>
          </w:p>
        </w:tc>
        <w:tc>
          <w:tcPr>
            <w:tcW w:w="780" w:type="dxa"/>
            <w:vAlign w:val="bottom"/>
            <w:shd w:val="clear" w:color="auto" w:fill="FDF9F2"/>
          </w:tcPr>
          <w:p>
            <w:pPr>
              <w:jc w:val="right"/>
              <w:ind w:right="254"/>
              <w:spacing w:after="0"/>
              <w:rPr>
                <w:sz w:val="20"/>
                <w:szCs w:val="20"/>
                <w:color w:val="auto"/>
              </w:rPr>
            </w:pPr>
            <w:r>
              <w:rPr>
                <w:rFonts w:ascii="Arial" w:cs="Arial" w:eastAsia="Arial" w:hAnsi="Arial"/>
                <w:sz w:val="14"/>
                <w:szCs w:val="14"/>
                <w:color w:val="auto"/>
              </w:rPr>
              <w:t>-</w:t>
            </w:r>
          </w:p>
        </w:tc>
        <w:tc>
          <w:tcPr>
            <w:tcW w:w="740" w:type="dxa"/>
            <w:vAlign w:val="bottom"/>
            <w:shd w:val="clear" w:color="auto" w:fill="FDF9F2"/>
          </w:tcPr>
          <w:p>
            <w:pPr>
              <w:jc w:val="right"/>
              <w:ind w:right="253"/>
              <w:spacing w:after="0"/>
              <w:rPr>
                <w:sz w:val="20"/>
                <w:szCs w:val="20"/>
                <w:color w:val="auto"/>
              </w:rPr>
            </w:pPr>
            <w:r>
              <w:rPr>
                <w:rFonts w:ascii="Arial" w:cs="Arial" w:eastAsia="Arial" w:hAnsi="Arial"/>
                <w:sz w:val="14"/>
                <w:szCs w:val="14"/>
                <w:color w:val="auto"/>
              </w:rPr>
              <w:t>-</w:t>
            </w:r>
          </w:p>
        </w:tc>
        <w:tc>
          <w:tcPr>
            <w:tcW w:w="70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5"/>
              </w:rPr>
              <w:t>52,448</w:t>
            </w:r>
            <w:r>
              <w:rPr>
                <w:rFonts w:ascii="Arial" w:cs="Arial" w:eastAsia="Arial" w:hAnsi="Arial"/>
                <w:sz w:val="17"/>
                <w:szCs w:val="17"/>
                <w:color w:val="auto"/>
                <w:w w:val="95"/>
                <w:vertAlign w:val="superscript"/>
              </w:rPr>
              <w:t>(3)</w:t>
            </w:r>
          </w:p>
        </w:tc>
        <w:tc>
          <w:tcPr>
            <w:tcW w:w="780" w:type="dxa"/>
            <w:vAlign w:val="bottom"/>
            <w:shd w:val="clear" w:color="auto" w:fill="FDF9F2"/>
          </w:tcPr>
          <w:p>
            <w:pPr>
              <w:jc w:val="center"/>
              <w:spacing w:after="0"/>
              <w:rPr>
                <w:sz w:val="20"/>
                <w:szCs w:val="20"/>
                <w:color w:val="auto"/>
              </w:rPr>
            </w:pPr>
            <w:r>
              <w:rPr>
                <w:rFonts w:ascii="Arial" w:cs="Arial" w:eastAsia="Arial" w:hAnsi="Arial"/>
                <w:sz w:val="14"/>
                <w:szCs w:val="14"/>
                <w:color w:val="auto"/>
              </w:rPr>
              <w:t>-</w:t>
            </w:r>
          </w:p>
        </w:tc>
        <w:tc>
          <w:tcPr>
            <w:tcW w:w="640" w:type="dxa"/>
            <w:vAlign w:val="bottom"/>
            <w:shd w:val="clear" w:color="auto" w:fill="FDF9F2"/>
          </w:tcPr>
          <w:p>
            <w:pPr>
              <w:jc w:val="center"/>
              <w:spacing w:after="0"/>
              <w:rPr>
                <w:sz w:val="20"/>
                <w:szCs w:val="20"/>
                <w:color w:val="auto"/>
              </w:rPr>
            </w:pPr>
            <w:r>
              <w:rPr>
                <w:rFonts w:ascii="Arial" w:cs="Arial" w:eastAsia="Arial" w:hAnsi="Arial"/>
                <w:sz w:val="14"/>
                <w:szCs w:val="14"/>
                <w:color w:val="auto"/>
              </w:rPr>
              <w:t>-</w:t>
            </w:r>
          </w:p>
        </w:tc>
        <w:tc>
          <w:tcPr>
            <w:tcW w:w="76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8"/>
              </w:rPr>
              <w:t>$ 85.80</w:t>
            </w:r>
          </w:p>
        </w:tc>
        <w:tc>
          <w:tcPr>
            <w:tcW w:w="880" w:type="dxa"/>
            <w:vAlign w:val="bottom"/>
            <w:gridSpan w:val="2"/>
            <w:shd w:val="clear" w:color="auto" w:fill="FDF9F2"/>
          </w:tcPr>
          <w:p>
            <w:pPr>
              <w:jc w:val="right"/>
              <w:ind w:right="53"/>
              <w:spacing w:after="0"/>
              <w:rPr>
                <w:sz w:val="20"/>
                <w:szCs w:val="20"/>
                <w:color w:val="auto"/>
              </w:rPr>
            </w:pPr>
            <w:r>
              <w:rPr>
                <w:rFonts w:ascii="Arial" w:cs="Arial" w:eastAsia="Arial" w:hAnsi="Arial"/>
                <w:sz w:val="14"/>
                <w:szCs w:val="14"/>
                <w:color w:val="auto"/>
              </w:rPr>
              <w:t>$4,500,038</w:t>
            </w:r>
          </w:p>
        </w:tc>
        <w:tc>
          <w:tcPr>
            <w:tcW w:w="0" w:type="dxa"/>
            <w:vAlign w:val="bottom"/>
          </w:tcPr>
          <w:p>
            <w:pPr>
              <w:spacing w:after="0"/>
              <w:rPr>
                <w:sz w:val="1"/>
                <w:szCs w:val="1"/>
                <w:color w:val="auto"/>
              </w:rPr>
            </w:pPr>
          </w:p>
        </w:tc>
      </w:tr>
      <w:tr>
        <w:trPr>
          <w:trHeight w:val="78"/>
        </w:trPr>
        <w:tc>
          <w:tcPr>
            <w:tcW w:w="3810" w:type="dxa"/>
            <w:vAlign w:val="bottom"/>
            <w:vMerge w:val="continue"/>
            <w:shd w:val="clear" w:color="auto" w:fill="FDF9F2"/>
          </w:tcPr>
          <w:p>
            <w:pPr>
              <w:spacing w:after="0"/>
              <w:rPr>
                <w:sz w:val="6"/>
                <w:szCs w:val="6"/>
                <w:color w:val="auto"/>
              </w:rPr>
            </w:pPr>
          </w:p>
        </w:tc>
        <w:tc>
          <w:tcPr>
            <w:tcW w:w="70" w:type="dxa"/>
            <w:vAlign w:val="bottom"/>
            <w:shd w:val="clear" w:color="auto" w:fill="FDF9F2"/>
          </w:tcPr>
          <w:p>
            <w:pPr>
              <w:spacing w:after="0"/>
              <w:rPr>
                <w:sz w:val="6"/>
                <w:szCs w:val="6"/>
                <w:color w:val="auto"/>
              </w:rPr>
            </w:pPr>
          </w:p>
        </w:tc>
        <w:tc>
          <w:tcPr>
            <w:tcW w:w="700" w:type="dxa"/>
            <w:vAlign w:val="bottom"/>
            <w:vMerge w:val="restart"/>
            <w:shd w:val="clear" w:color="auto" w:fill="FDF9F2"/>
          </w:tcPr>
          <w:p>
            <w:pPr>
              <w:spacing w:after="0"/>
              <w:rPr>
                <w:sz w:val="20"/>
                <w:szCs w:val="20"/>
                <w:color w:val="auto"/>
              </w:rPr>
            </w:pPr>
            <w:r>
              <w:rPr>
                <w:rFonts w:ascii="Arial" w:cs="Arial" w:eastAsia="Arial" w:hAnsi="Arial"/>
                <w:sz w:val="14"/>
                <w:szCs w:val="14"/>
                <w:color w:val="auto"/>
                <w:w w:val="96"/>
              </w:rPr>
              <w:t>01/12/2022</w:t>
            </w:r>
          </w:p>
        </w:tc>
        <w:tc>
          <w:tcPr>
            <w:tcW w:w="760" w:type="dxa"/>
            <w:vAlign w:val="bottom"/>
            <w:vMerge w:val="restart"/>
            <w:shd w:val="clear" w:color="auto" w:fill="FDF9F2"/>
          </w:tcPr>
          <w:p>
            <w:pPr>
              <w:jc w:val="right"/>
              <w:ind w:right="236"/>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FDF9F2"/>
          </w:tcPr>
          <w:p>
            <w:pPr>
              <w:jc w:val="right"/>
              <w:ind w:right="254"/>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FDF9F2"/>
          </w:tcPr>
          <w:p>
            <w:pPr>
              <w:jc w:val="right"/>
              <w:ind w:right="253"/>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FDF9F2"/>
          </w:tcPr>
          <w:p>
            <w:pPr>
              <w:jc w:val="center"/>
              <w:spacing w:after="0"/>
              <w:rPr>
                <w:sz w:val="20"/>
                <w:szCs w:val="20"/>
                <w:color w:val="auto"/>
              </w:rPr>
            </w:pPr>
            <w:r>
              <w:rPr>
                <w:rFonts w:ascii="Arial" w:cs="Arial" w:eastAsia="Arial" w:hAnsi="Arial"/>
                <w:sz w:val="14"/>
                <w:szCs w:val="14"/>
                <w:color w:val="auto"/>
                <w:w w:val="95"/>
              </w:rPr>
              <w:t>26,224</w:t>
            </w:r>
            <w:r>
              <w:rPr>
                <w:rFonts w:ascii="Arial" w:cs="Arial" w:eastAsia="Arial" w:hAnsi="Arial"/>
                <w:sz w:val="17"/>
                <w:szCs w:val="17"/>
                <w:color w:val="auto"/>
                <w:w w:val="95"/>
                <w:vertAlign w:val="superscript"/>
              </w:rPr>
              <w:t>(4)</w:t>
            </w:r>
          </w:p>
        </w:tc>
        <w:tc>
          <w:tcPr>
            <w:tcW w:w="780" w:type="dxa"/>
            <w:vAlign w:val="bottom"/>
            <w:vMerge w:val="restart"/>
            <w:shd w:val="clear" w:color="auto" w:fill="FDF9F2"/>
          </w:tcPr>
          <w:p>
            <w:pPr>
              <w:jc w:val="center"/>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FDF9F2"/>
          </w:tcPr>
          <w:p>
            <w:pPr>
              <w:jc w:val="center"/>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FDF9F2"/>
          </w:tcPr>
          <w:p>
            <w:pPr>
              <w:jc w:val="center"/>
              <w:spacing w:after="0"/>
              <w:rPr>
                <w:sz w:val="20"/>
                <w:szCs w:val="20"/>
                <w:color w:val="auto"/>
              </w:rPr>
            </w:pPr>
            <w:r>
              <w:rPr>
                <w:rFonts w:ascii="Arial" w:cs="Arial" w:eastAsia="Arial" w:hAnsi="Arial"/>
                <w:sz w:val="14"/>
                <w:szCs w:val="14"/>
                <w:color w:val="auto"/>
                <w:w w:val="98"/>
              </w:rPr>
              <w:t>$ 85.80</w:t>
            </w:r>
          </w:p>
        </w:tc>
        <w:tc>
          <w:tcPr>
            <w:tcW w:w="880" w:type="dxa"/>
            <w:vAlign w:val="bottom"/>
            <w:gridSpan w:val="2"/>
            <w:vMerge w:val="restart"/>
            <w:shd w:val="clear" w:color="auto" w:fill="FDF9F2"/>
          </w:tcPr>
          <w:p>
            <w:pPr>
              <w:jc w:val="right"/>
              <w:ind w:right="53"/>
              <w:spacing w:after="0"/>
              <w:rPr>
                <w:sz w:val="20"/>
                <w:szCs w:val="20"/>
                <w:color w:val="auto"/>
              </w:rPr>
            </w:pPr>
            <w:r>
              <w:rPr>
                <w:rFonts w:ascii="Arial" w:cs="Arial" w:eastAsia="Arial" w:hAnsi="Arial"/>
                <w:sz w:val="14"/>
                <w:szCs w:val="14"/>
                <w:color w:val="auto"/>
              </w:rPr>
              <w:t>$2,250,019</w:t>
            </w:r>
          </w:p>
        </w:tc>
        <w:tc>
          <w:tcPr>
            <w:tcW w:w="0" w:type="dxa"/>
            <w:vAlign w:val="bottom"/>
          </w:tcPr>
          <w:p>
            <w:pPr>
              <w:spacing w:after="0"/>
              <w:rPr>
                <w:sz w:val="1"/>
                <w:szCs w:val="1"/>
                <w:color w:val="auto"/>
              </w:rPr>
            </w:pPr>
          </w:p>
        </w:tc>
      </w:tr>
      <w:tr>
        <w:trPr>
          <w:trHeight w:val="235"/>
        </w:trPr>
        <w:tc>
          <w:tcPr>
            <w:tcW w:w="3810" w:type="dxa"/>
            <w:vAlign w:val="bottom"/>
            <w:shd w:val="clear" w:color="auto" w:fill="FDF9F2"/>
          </w:tcPr>
          <w:p>
            <w:pPr>
              <w:spacing w:after="0"/>
              <w:rPr>
                <w:sz w:val="20"/>
                <w:szCs w:val="20"/>
                <w:color w:val="auto"/>
              </w:rPr>
            </w:pPr>
          </w:p>
        </w:tc>
        <w:tc>
          <w:tcPr>
            <w:tcW w:w="70" w:type="dxa"/>
            <w:vAlign w:val="bottom"/>
            <w:shd w:val="clear" w:color="auto" w:fill="FDF9F2"/>
          </w:tcPr>
          <w:p>
            <w:pPr>
              <w:spacing w:after="0"/>
              <w:rPr>
                <w:sz w:val="20"/>
                <w:szCs w:val="20"/>
                <w:color w:val="auto"/>
              </w:rPr>
            </w:pPr>
          </w:p>
        </w:tc>
        <w:tc>
          <w:tcPr>
            <w:tcW w:w="700" w:type="dxa"/>
            <w:vAlign w:val="bottom"/>
            <w:vMerge w:val="continue"/>
            <w:shd w:val="clear" w:color="auto" w:fill="FDF9F2"/>
          </w:tcPr>
          <w:p>
            <w:pPr>
              <w:spacing w:after="0"/>
              <w:rPr>
                <w:sz w:val="20"/>
                <w:szCs w:val="20"/>
                <w:color w:val="auto"/>
              </w:rPr>
            </w:pPr>
          </w:p>
        </w:tc>
        <w:tc>
          <w:tcPr>
            <w:tcW w:w="760" w:type="dxa"/>
            <w:vAlign w:val="bottom"/>
            <w:vMerge w:val="continue"/>
            <w:shd w:val="clear" w:color="auto" w:fill="FDF9F2"/>
          </w:tcPr>
          <w:p>
            <w:pPr>
              <w:spacing w:after="0"/>
              <w:rPr>
                <w:sz w:val="20"/>
                <w:szCs w:val="20"/>
                <w:color w:val="auto"/>
              </w:rPr>
            </w:pPr>
          </w:p>
        </w:tc>
        <w:tc>
          <w:tcPr>
            <w:tcW w:w="780" w:type="dxa"/>
            <w:vAlign w:val="bottom"/>
            <w:vMerge w:val="continue"/>
            <w:shd w:val="clear" w:color="auto" w:fill="FDF9F2"/>
          </w:tcPr>
          <w:p>
            <w:pPr>
              <w:spacing w:after="0"/>
              <w:rPr>
                <w:sz w:val="20"/>
                <w:szCs w:val="20"/>
                <w:color w:val="auto"/>
              </w:rPr>
            </w:pPr>
          </w:p>
        </w:tc>
        <w:tc>
          <w:tcPr>
            <w:tcW w:w="740" w:type="dxa"/>
            <w:vAlign w:val="bottom"/>
            <w:vMerge w:val="continue"/>
            <w:shd w:val="clear" w:color="auto" w:fill="FDF9F2"/>
          </w:tcPr>
          <w:p>
            <w:pPr>
              <w:spacing w:after="0"/>
              <w:rPr>
                <w:sz w:val="20"/>
                <w:szCs w:val="20"/>
                <w:color w:val="auto"/>
              </w:rPr>
            </w:pPr>
          </w:p>
        </w:tc>
        <w:tc>
          <w:tcPr>
            <w:tcW w:w="700" w:type="dxa"/>
            <w:vAlign w:val="bottom"/>
            <w:vMerge w:val="continue"/>
            <w:shd w:val="clear" w:color="auto" w:fill="FDF9F2"/>
          </w:tcPr>
          <w:p>
            <w:pPr>
              <w:spacing w:after="0"/>
              <w:rPr>
                <w:sz w:val="20"/>
                <w:szCs w:val="20"/>
                <w:color w:val="auto"/>
              </w:rPr>
            </w:pPr>
          </w:p>
        </w:tc>
        <w:tc>
          <w:tcPr>
            <w:tcW w:w="780" w:type="dxa"/>
            <w:vAlign w:val="bottom"/>
            <w:vMerge w:val="continue"/>
            <w:shd w:val="clear" w:color="auto" w:fill="FDF9F2"/>
          </w:tcPr>
          <w:p>
            <w:pPr>
              <w:spacing w:after="0"/>
              <w:rPr>
                <w:sz w:val="20"/>
                <w:szCs w:val="20"/>
                <w:color w:val="auto"/>
              </w:rPr>
            </w:pPr>
          </w:p>
        </w:tc>
        <w:tc>
          <w:tcPr>
            <w:tcW w:w="640" w:type="dxa"/>
            <w:vAlign w:val="bottom"/>
            <w:vMerge w:val="continue"/>
            <w:shd w:val="clear" w:color="auto" w:fill="FDF9F2"/>
          </w:tcPr>
          <w:p>
            <w:pPr>
              <w:spacing w:after="0"/>
              <w:rPr>
                <w:sz w:val="20"/>
                <w:szCs w:val="20"/>
                <w:color w:val="auto"/>
              </w:rPr>
            </w:pPr>
          </w:p>
        </w:tc>
        <w:tc>
          <w:tcPr>
            <w:tcW w:w="760" w:type="dxa"/>
            <w:vAlign w:val="bottom"/>
            <w:vMerge w:val="continue"/>
            <w:shd w:val="clear" w:color="auto" w:fill="FDF9F2"/>
          </w:tcPr>
          <w:p>
            <w:pPr>
              <w:spacing w:after="0"/>
              <w:rPr>
                <w:sz w:val="20"/>
                <w:szCs w:val="20"/>
                <w:color w:val="auto"/>
              </w:rPr>
            </w:pPr>
          </w:p>
        </w:tc>
        <w:tc>
          <w:tcPr>
            <w:tcW w:w="880" w:type="dxa"/>
            <w:vAlign w:val="bottom"/>
            <w:gridSpan w:val="2"/>
            <w:vMerge w:val="continue"/>
            <w:shd w:val="clear" w:color="auto" w:fill="FDF9F2"/>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3810" w:type="dxa"/>
            <w:vAlign w:val="bottom"/>
            <w:shd w:val="clear" w:color="auto" w:fill="FDF9F2"/>
          </w:tcPr>
          <w:p>
            <w:pPr>
              <w:spacing w:after="0"/>
              <w:rPr>
                <w:sz w:val="24"/>
                <w:szCs w:val="24"/>
                <w:color w:val="auto"/>
              </w:rPr>
            </w:pPr>
          </w:p>
        </w:tc>
        <w:tc>
          <w:tcPr>
            <w:tcW w:w="70" w:type="dxa"/>
            <w:vAlign w:val="bottom"/>
            <w:shd w:val="clear" w:color="auto" w:fill="FDF9F2"/>
          </w:tcPr>
          <w:p>
            <w:pPr>
              <w:spacing w:after="0"/>
              <w:rPr>
                <w:sz w:val="24"/>
                <w:szCs w:val="24"/>
                <w:color w:val="auto"/>
              </w:rPr>
            </w:pPr>
          </w:p>
        </w:tc>
        <w:tc>
          <w:tcPr>
            <w:tcW w:w="700" w:type="dxa"/>
            <w:vAlign w:val="bottom"/>
            <w:shd w:val="clear" w:color="auto" w:fill="FDF9F2"/>
          </w:tcPr>
          <w:p>
            <w:pPr>
              <w:spacing w:after="0"/>
              <w:rPr>
                <w:sz w:val="20"/>
                <w:szCs w:val="20"/>
                <w:color w:val="auto"/>
              </w:rPr>
            </w:pPr>
            <w:r>
              <w:rPr>
                <w:rFonts w:ascii="Arial" w:cs="Arial" w:eastAsia="Arial" w:hAnsi="Arial"/>
                <w:sz w:val="14"/>
                <w:szCs w:val="14"/>
                <w:color w:val="auto"/>
                <w:w w:val="96"/>
              </w:rPr>
              <w:t>05/11/2022</w:t>
            </w:r>
          </w:p>
        </w:tc>
        <w:tc>
          <w:tcPr>
            <w:tcW w:w="760" w:type="dxa"/>
            <w:vAlign w:val="bottom"/>
            <w:shd w:val="clear" w:color="auto" w:fill="FDF9F2"/>
          </w:tcPr>
          <w:p>
            <w:pPr>
              <w:jc w:val="right"/>
              <w:ind w:right="236"/>
              <w:spacing w:after="0"/>
              <w:rPr>
                <w:sz w:val="20"/>
                <w:szCs w:val="20"/>
                <w:color w:val="auto"/>
              </w:rPr>
            </w:pPr>
            <w:r>
              <w:rPr>
                <w:rFonts w:ascii="Arial" w:cs="Arial" w:eastAsia="Arial" w:hAnsi="Arial"/>
                <w:sz w:val="14"/>
                <w:szCs w:val="14"/>
                <w:color w:val="auto"/>
              </w:rPr>
              <w:t>-</w:t>
            </w:r>
          </w:p>
        </w:tc>
        <w:tc>
          <w:tcPr>
            <w:tcW w:w="780" w:type="dxa"/>
            <w:vAlign w:val="bottom"/>
            <w:shd w:val="clear" w:color="auto" w:fill="FDF9F2"/>
          </w:tcPr>
          <w:p>
            <w:pPr>
              <w:jc w:val="right"/>
              <w:ind w:right="254"/>
              <w:spacing w:after="0"/>
              <w:rPr>
                <w:sz w:val="20"/>
                <w:szCs w:val="20"/>
                <w:color w:val="auto"/>
              </w:rPr>
            </w:pPr>
            <w:r>
              <w:rPr>
                <w:rFonts w:ascii="Arial" w:cs="Arial" w:eastAsia="Arial" w:hAnsi="Arial"/>
                <w:sz w:val="14"/>
                <w:szCs w:val="14"/>
                <w:color w:val="auto"/>
              </w:rPr>
              <w:t>-</w:t>
            </w:r>
          </w:p>
        </w:tc>
        <w:tc>
          <w:tcPr>
            <w:tcW w:w="740" w:type="dxa"/>
            <w:vAlign w:val="bottom"/>
            <w:shd w:val="clear" w:color="auto" w:fill="FDF9F2"/>
          </w:tcPr>
          <w:p>
            <w:pPr>
              <w:jc w:val="right"/>
              <w:ind w:right="253"/>
              <w:spacing w:after="0"/>
              <w:rPr>
                <w:sz w:val="20"/>
                <w:szCs w:val="20"/>
                <w:color w:val="auto"/>
              </w:rPr>
            </w:pPr>
            <w:r>
              <w:rPr>
                <w:rFonts w:ascii="Arial" w:cs="Arial" w:eastAsia="Arial" w:hAnsi="Arial"/>
                <w:sz w:val="14"/>
                <w:szCs w:val="14"/>
                <w:color w:val="auto"/>
              </w:rPr>
              <w:t>-</w:t>
            </w:r>
          </w:p>
        </w:tc>
        <w:tc>
          <w:tcPr>
            <w:tcW w:w="700" w:type="dxa"/>
            <w:vAlign w:val="bottom"/>
            <w:shd w:val="clear" w:color="auto" w:fill="FDF9F2"/>
          </w:tcPr>
          <w:p>
            <w:pPr>
              <w:jc w:val="center"/>
              <w:spacing w:after="0"/>
              <w:rPr>
                <w:sz w:val="20"/>
                <w:szCs w:val="20"/>
                <w:color w:val="auto"/>
              </w:rPr>
            </w:pPr>
            <w:r>
              <w:rPr>
                <w:rFonts w:ascii="Arial" w:cs="Arial" w:eastAsia="Arial" w:hAnsi="Arial"/>
                <w:sz w:val="14"/>
                <w:szCs w:val="14"/>
                <w:color w:val="auto"/>
              </w:rPr>
              <w:t>-</w:t>
            </w:r>
          </w:p>
        </w:tc>
        <w:tc>
          <w:tcPr>
            <w:tcW w:w="78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5"/>
              </w:rPr>
              <w:t>21,803</w:t>
            </w:r>
            <w:r>
              <w:rPr>
                <w:rFonts w:ascii="Arial" w:cs="Arial" w:eastAsia="Arial" w:hAnsi="Arial"/>
                <w:sz w:val="17"/>
                <w:szCs w:val="17"/>
                <w:color w:val="auto"/>
                <w:w w:val="95"/>
                <w:vertAlign w:val="superscript"/>
              </w:rPr>
              <w:t>(6)</w:t>
            </w:r>
          </w:p>
        </w:tc>
        <w:tc>
          <w:tcPr>
            <w:tcW w:w="64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7"/>
              </w:rPr>
              <w:t>$18.56</w:t>
            </w:r>
          </w:p>
        </w:tc>
        <w:tc>
          <w:tcPr>
            <w:tcW w:w="76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8"/>
              </w:rPr>
              <w:t>$ 58.85</w:t>
            </w:r>
          </w:p>
        </w:tc>
        <w:tc>
          <w:tcPr>
            <w:tcW w:w="140" w:type="dxa"/>
            <w:vAlign w:val="bottom"/>
            <w:shd w:val="clear" w:color="auto" w:fill="FDF9F2"/>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FDF9F2"/>
          </w:tcPr>
          <w:p>
            <w:pPr>
              <w:jc w:val="right"/>
              <w:ind w:right="53"/>
              <w:spacing w:after="0"/>
              <w:rPr>
                <w:sz w:val="20"/>
                <w:szCs w:val="20"/>
                <w:color w:val="auto"/>
              </w:rPr>
            </w:pPr>
            <w:r>
              <w:rPr>
                <w:rFonts w:ascii="Arial" w:cs="Arial" w:eastAsia="Arial" w:hAnsi="Arial"/>
                <w:sz w:val="14"/>
                <w:szCs w:val="14"/>
                <w:color w:val="auto"/>
              </w:rPr>
              <w:t>404,664</w:t>
            </w:r>
          </w:p>
        </w:tc>
        <w:tc>
          <w:tcPr>
            <w:tcW w:w="0" w:type="dxa"/>
            <w:vAlign w:val="bottom"/>
          </w:tcPr>
          <w:p>
            <w:pPr>
              <w:spacing w:after="0"/>
              <w:rPr>
                <w:sz w:val="1"/>
                <w:szCs w:val="1"/>
                <w:color w:val="auto"/>
              </w:rPr>
            </w:pPr>
          </w:p>
        </w:tc>
      </w:tr>
      <w:tr>
        <w:trPr>
          <w:trHeight w:val="256"/>
        </w:trPr>
        <w:tc>
          <w:tcPr>
            <w:tcW w:w="3810" w:type="dxa"/>
            <w:vAlign w:val="bottom"/>
            <w:shd w:val="clear" w:color="auto" w:fill="DEDBD3"/>
          </w:tcPr>
          <w:p>
            <w:pPr>
              <w:spacing w:after="0"/>
              <w:rPr>
                <w:sz w:val="22"/>
                <w:szCs w:val="22"/>
                <w:color w:val="auto"/>
              </w:rPr>
            </w:pPr>
          </w:p>
        </w:tc>
        <w:tc>
          <w:tcPr>
            <w:tcW w:w="70" w:type="dxa"/>
            <w:vAlign w:val="bottom"/>
            <w:shd w:val="clear" w:color="auto" w:fill="DEDBD3"/>
          </w:tcPr>
          <w:p>
            <w:pPr>
              <w:spacing w:after="0"/>
              <w:rPr>
                <w:sz w:val="22"/>
                <w:szCs w:val="22"/>
                <w:color w:val="auto"/>
              </w:rPr>
            </w:pPr>
          </w:p>
        </w:tc>
        <w:tc>
          <w:tcPr>
            <w:tcW w:w="1460" w:type="dxa"/>
            <w:vAlign w:val="bottom"/>
            <w:gridSpan w:val="2"/>
            <w:shd w:val="clear" w:color="auto" w:fill="DEDBD3"/>
          </w:tcPr>
          <w:p>
            <w:pPr>
              <w:jc w:val="right"/>
              <w:spacing w:after="0"/>
              <w:rPr>
                <w:sz w:val="20"/>
                <w:szCs w:val="20"/>
                <w:color w:val="auto"/>
              </w:rPr>
            </w:pPr>
            <w:r>
              <w:rPr>
                <w:rFonts w:ascii="Arial" w:cs="Arial" w:eastAsia="Arial" w:hAnsi="Arial"/>
                <w:sz w:val="14"/>
                <w:szCs w:val="14"/>
                <w:color w:val="auto"/>
              </w:rPr>
              <w:t>N/A $1,440,000</w:t>
            </w:r>
          </w:p>
        </w:tc>
        <w:tc>
          <w:tcPr>
            <w:tcW w:w="78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9"/>
              </w:rPr>
              <w:t>$1,800,000</w:t>
            </w:r>
          </w:p>
        </w:tc>
        <w:tc>
          <w:tcPr>
            <w:tcW w:w="740" w:type="dxa"/>
            <w:vAlign w:val="bottom"/>
            <w:shd w:val="clear" w:color="auto" w:fill="DEDBD3"/>
          </w:tcPr>
          <w:p>
            <w:pPr>
              <w:jc w:val="right"/>
              <w:spacing w:after="0"/>
              <w:rPr>
                <w:sz w:val="20"/>
                <w:szCs w:val="20"/>
                <w:color w:val="auto"/>
              </w:rPr>
            </w:pPr>
            <w:r>
              <w:rPr>
                <w:rFonts w:ascii="Arial" w:cs="Arial" w:eastAsia="Arial" w:hAnsi="Arial"/>
                <w:sz w:val="14"/>
                <w:szCs w:val="14"/>
                <w:color w:val="auto"/>
                <w:w w:val="99"/>
              </w:rPr>
              <w:t>$2,160,000</w:t>
            </w:r>
          </w:p>
        </w:tc>
        <w:tc>
          <w:tcPr>
            <w:tcW w:w="700" w:type="dxa"/>
            <w:vAlign w:val="bottom"/>
            <w:shd w:val="clear" w:color="auto" w:fill="DEDBD3"/>
          </w:tcPr>
          <w:p>
            <w:pPr>
              <w:jc w:val="center"/>
              <w:spacing w:after="0"/>
              <w:rPr>
                <w:sz w:val="20"/>
                <w:szCs w:val="20"/>
                <w:color w:val="auto"/>
              </w:rPr>
            </w:pPr>
            <w:r>
              <w:rPr>
                <w:rFonts w:ascii="Arial" w:cs="Arial" w:eastAsia="Arial" w:hAnsi="Arial"/>
                <w:sz w:val="14"/>
                <w:szCs w:val="14"/>
                <w:color w:val="auto"/>
              </w:rPr>
              <w:t>-</w:t>
            </w:r>
          </w:p>
        </w:tc>
        <w:tc>
          <w:tcPr>
            <w:tcW w:w="780" w:type="dxa"/>
            <w:vAlign w:val="bottom"/>
            <w:shd w:val="clear" w:color="auto" w:fill="DEDBD3"/>
          </w:tcPr>
          <w:p>
            <w:pPr>
              <w:jc w:val="center"/>
              <w:spacing w:after="0"/>
              <w:rPr>
                <w:sz w:val="20"/>
                <w:szCs w:val="20"/>
                <w:color w:val="auto"/>
              </w:rPr>
            </w:pPr>
            <w:r>
              <w:rPr>
                <w:rFonts w:ascii="Arial" w:cs="Arial" w:eastAsia="Arial" w:hAnsi="Arial"/>
                <w:sz w:val="14"/>
                <w:szCs w:val="14"/>
                <w:color w:val="auto"/>
              </w:rPr>
              <w:t>-</w:t>
            </w:r>
          </w:p>
        </w:tc>
        <w:tc>
          <w:tcPr>
            <w:tcW w:w="640" w:type="dxa"/>
            <w:vAlign w:val="bottom"/>
            <w:shd w:val="clear" w:color="auto" w:fill="DEDBD3"/>
          </w:tcPr>
          <w:p>
            <w:pPr>
              <w:jc w:val="center"/>
              <w:spacing w:after="0"/>
              <w:rPr>
                <w:sz w:val="20"/>
                <w:szCs w:val="20"/>
                <w:color w:val="auto"/>
              </w:rPr>
            </w:pPr>
            <w:r>
              <w:rPr>
                <w:rFonts w:ascii="Arial" w:cs="Arial" w:eastAsia="Arial" w:hAnsi="Arial"/>
                <w:sz w:val="14"/>
                <w:szCs w:val="14"/>
                <w:color w:val="auto"/>
              </w:rPr>
              <w:t>-</w:t>
            </w:r>
          </w:p>
        </w:tc>
        <w:tc>
          <w:tcPr>
            <w:tcW w:w="760" w:type="dxa"/>
            <w:vAlign w:val="bottom"/>
            <w:shd w:val="clear" w:color="auto" w:fill="DEDBD3"/>
          </w:tcPr>
          <w:p>
            <w:pPr>
              <w:jc w:val="right"/>
              <w:ind w:right="255"/>
              <w:spacing w:after="0"/>
              <w:rPr>
                <w:sz w:val="20"/>
                <w:szCs w:val="20"/>
                <w:color w:val="auto"/>
              </w:rPr>
            </w:pPr>
            <w:r>
              <w:rPr>
                <w:rFonts w:ascii="Arial" w:cs="Arial" w:eastAsia="Arial" w:hAnsi="Arial"/>
                <w:sz w:val="14"/>
                <w:szCs w:val="14"/>
                <w:color w:val="auto"/>
              </w:rPr>
              <w:t>-</w:t>
            </w:r>
          </w:p>
        </w:tc>
        <w:tc>
          <w:tcPr>
            <w:tcW w:w="140" w:type="dxa"/>
            <w:vAlign w:val="bottom"/>
            <w:shd w:val="clear" w:color="auto" w:fill="DEDBD3"/>
          </w:tcPr>
          <w:p>
            <w:pPr>
              <w:spacing w:after="0"/>
              <w:rPr>
                <w:sz w:val="22"/>
                <w:szCs w:val="22"/>
                <w:color w:val="auto"/>
              </w:rPr>
            </w:pPr>
          </w:p>
        </w:tc>
        <w:tc>
          <w:tcPr>
            <w:tcW w:w="740" w:type="dxa"/>
            <w:vAlign w:val="bottom"/>
            <w:shd w:val="clear" w:color="auto" w:fill="DEDBD3"/>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3810" w:type="dxa"/>
            <w:vAlign w:val="bottom"/>
            <w:shd w:val="clear" w:color="auto" w:fill="DEDBD3"/>
          </w:tcPr>
          <w:p>
            <w:pPr>
              <w:spacing w:after="0"/>
              <w:rPr>
                <w:sz w:val="24"/>
                <w:szCs w:val="24"/>
                <w:color w:val="auto"/>
              </w:rPr>
            </w:pPr>
          </w:p>
        </w:tc>
        <w:tc>
          <w:tcPr>
            <w:tcW w:w="770" w:type="dxa"/>
            <w:vAlign w:val="bottom"/>
            <w:gridSpan w:val="2"/>
            <w:shd w:val="clear" w:color="auto" w:fill="DEDBD3"/>
          </w:tcPr>
          <w:p>
            <w:pPr>
              <w:ind w:left="70"/>
              <w:spacing w:after="0"/>
              <w:rPr>
                <w:sz w:val="20"/>
                <w:szCs w:val="20"/>
                <w:color w:val="auto"/>
              </w:rPr>
            </w:pPr>
            <w:r>
              <w:rPr>
                <w:rFonts w:ascii="Arial" w:cs="Arial" w:eastAsia="Arial" w:hAnsi="Arial"/>
                <w:sz w:val="14"/>
                <w:szCs w:val="14"/>
                <w:color w:val="auto"/>
                <w:w w:val="96"/>
              </w:rPr>
              <w:t>04/18/2022</w:t>
            </w:r>
          </w:p>
        </w:tc>
        <w:tc>
          <w:tcPr>
            <w:tcW w:w="760" w:type="dxa"/>
            <w:vAlign w:val="bottom"/>
            <w:shd w:val="clear" w:color="auto" w:fill="DEDBD3"/>
          </w:tcPr>
          <w:p>
            <w:pPr>
              <w:jc w:val="right"/>
              <w:ind w:right="236"/>
              <w:spacing w:after="0"/>
              <w:rPr>
                <w:sz w:val="20"/>
                <w:szCs w:val="20"/>
                <w:color w:val="auto"/>
              </w:rPr>
            </w:pPr>
            <w:r>
              <w:rPr>
                <w:rFonts w:ascii="Arial" w:cs="Arial" w:eastAsia="Arial" w:hAnsi="Arial"/>
                <w:sz w:val="14"/>
                <w:szCs w:val="14"/>
                <w:color w:val="auto"/>
              </w:rPr>
              <w:t>-</w:t>
            </w:r>
          </w:p>
        </w:tc>
        <w:tc>
          <w:tcPr>
            <w:tcW w:w="780" w:type="dxa"/>
            <w:vAlign w:val="bottom"/>
            <w:shd w:val="clear" w:color="auto" w:fill="DEDBD3"/>
          </w:tcPr>
          <w:p>
            <w:pPr>
              <w:jc w:val="right"/>
              <w:ind w:right="254"/>
              <w:spacing w:after="0"/>
              <w:rPr>
                <w:sz w:val="20"/>
                <w:szCs w:val="20"/>
                <w:color w:val="auto"/>
              </w:rPr>
            </w:pPr>
            <w:r>
              <w:rPr>
                <w:rFonts w:ascii="Arial" w:cs="Arial" w:eastAsia="Arial" w:hAnsi="Arial"/>
                <w:sz w:val="14"/>
                <w:szCs w:val="14"/>
                <w:color w:val="auto"/>
              </w:rPr>
              <w:t>-</w:t>
            </w:r>
          </w:p>
        </w:tc>
        <w:tc>
          <w:tcPr>
            <w:tcW w:w="740" w:type="dxa"/>
            <w:vAlign w:val="bottom"/>
            <w:shd w:val="clear" w:color="auto" w:fill="DEDBD3"/>
          </w:tcPr>
          <w:p>
            <w:pPr>
              <w:jc w:val="right"/>
              <w:ind w:right="253"/>
              <w:spacing w:after="0"/>
              <w:rPr>
                <w:sz w:val="20"/>
                <w:szCs w:val="20"/>
                <w:color w:val="auto"/>
              </w:rPr>
            </w:pPr>
            <w:r>
              <w:rPr>
                <w:rFonts w:ascii="Arial" w:cs="Arial" w:eastAsia="Arial" w:hAnsi="Arial"/>
                <w:sz w:val="14"/>
                <w:szCs w:val="14"/>
                <w:color w:val="auto"/>
              </w:rPr>
              <w:t>-</w:t>
            </w:r>
          </w:p>
        </w:tc>
        <w:tc>
          <w:tcPr>
            <w:tcW w:w="70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5"/>
              </w:rPr>
              <w:t>34,033</w:t>
            </w:r>
            <w:r>
              <w:rPr>
                <w:rFonts w:ascii="Arial" w:cs="Arial" w:eastAsia="Arial" w:hAnsi="Arial"/>
                <w:sz w:val="17"/>
                <w:szCs w:val="17"/>
                <w:color w:val="auto"/>
                <w:w w:val="95"/>
                <w:vertAlign w:val="superscript"/>
              </w:rPr>
              <w:t>(5)</w:t>
            </w:r>
          </w:p>
        </w:tc>
        <w:tc>
          <w:tcPr>
            <w:tcW w:w="780" w:type="dxa"/>
            <w:vAlign w:val="bottom"/>
            <w:shd w:val="clear" w:color="auto" w:fill="DEDBD3"/>
          </w:tcPr>
          <w:p>
            <w:pPr>
              <w:jc w:val="center"/>
              <w:spacing w:after="0"/>
              <w:rPr>
                <w:sz w:val="20"/>
                <w:szCs w:val="20"/>
                <w:color w:val="auto"/>
              </w:rPr>
            </w:pPr>
            <w:r>
              <w:rPr>
                <w:rFonts w:ascii="Arial" w:cs="Arial" w:eastAsia="Arial" w:hAnsi="Arial"/>
                <w:sz w:val="14"/>
                <w:szCs w:val="14"/>
                <w:color w:val="auto"/>
              </w:rPr>
              <w:t>-</w:t>
            </w:r>
          </w:p>
        </w:tc>
        <w:tc>
          <w:tcPr>
            <w:tcW w:w="640" w:type="dxa"/>
            <w:vAlign w:val="bottom"/>
            <w:shd w:val="clear" w:color="auto" w:fill="DEDBD3"/>
          </w:tcPr>
          <w:p>
            <w:pPr>
              <w:jc w:val="center"/>
              <w:spacing w:after="0"/>
              <w:rPr>
                <w:sz w:val="20"/>
                <w:szCs w:val="20"/>
                <w:color w:val="auto"/>
              </w:rPr>
            </w:pPr>
            <w:r>
              <w:rPr>
                <w:rFonts w:ascii="Arial" w:cs="Arial" w:eastAsia="Arial" w:hAnsi="Arial"/>
                <w:sz w:val="14"/>
                <w:szCs w:val="14"/>
                <w:color w:val="auto"/>
              </w:rPr>
              <w:t>-</w:t>
            </w:r>
          </w:p>
        </w:tc>
        <w:tc>
          <w:tcPr>
            <w:tcW w:w="76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8"/>
              </w:rPr>
              <w:t>$ 73.46</w:t>
            </w:r>
          </w:p>
        </w:tc>
        <w:tc>
          <w:tcPr>
            <w:tcW w:w="880" w:type="dxa"/>
            <w:vAlign w:val="bottom"/>
            <w:gridSpan w:val="2"/>
            <w:shd w:val="clear" w:color="auto" w:fill="DEDBD3"/>
          </w:tcPr>
          <w:p>
            <w:pPr>
              <w:jc w:val="right"/>
              <w:ind w:right="53"/>
              <w:spacing w:after="0"/>
              <w:rPr>
                <w:sz w:val="20"/>
                <w:szCs w:val="20"/>
                <w:color w:val="auto"/>
              </w:rPr>
            </w:pPr>
            <w:r>
              <w:rPr>
                <w:rFonts w:ascii="Arial" w:cs="Arial" w:eastAsia="Arial" w:hAnsi="Arial"/>
                <w:sz w:val="14"/>
                <w:szCs w:val="14"/>
                <w:color w:val="auto"/>
              </w:rPr>
              <w:t>$2,500,064</w:t>
            </w:r>
          </w:p>
        </w:tc>
        <w:tc>
          <w:tcPr>
            <w:tcW w:w="0" w:type="dxa"/>
            <w:vAlign w:val="bottom"/>
          </w:tcPr>
          <w:p>
            <w:pPr>
              <w:spacing w:after="0"/>
              <w:rPr>
                <w:sz w:val="1"/>
                <w:szCs w:val="1"/>
                <w:color w:val="auto"/>
              </w:rPr>
            </w:pPr>
          </w:p>
        </w:tc>
      </w:tr>
      <w:tr>
        <w:trPr>
          <w:trHeight w:val="312"/>
        </w:trPr>
        <w:tc>
          <w:tcPr>
            <w:tcW w:w="3810" w:type="dxa"/>
            <w:vAlign w:val="bottom"/>
            <w:shd w:val="clear" w:color="auto" w:fill="DEDBD3"/>
          </w:tcPr>
          <w:p>
            <w:pPr>
              <w:ind w:left="60"/>
              <w:spacing w:after="0"/>
              <w:rPr>
                <w:sz w:val="20"/>
                <w:szCs w:val="20"/>
                <w:color w:val="auto"/>
              </w:rPr>
            </w:pPr>
            <w:r>
              <w:rPr>
                <w:rFonts w:ascii="Arial" w:cs="Arial" w:eastAsia="Arial" w:hAnsi="Arial"/>
                <w:sz w:val="12"/>
                <w:szCs w:val="12"/>
                <w:b w:val="1"/>
                <w:bCs w:val="1"/>
                <w:color w:val="auto"/>
              </w:rPr>
              <w:t>Julie M. Cameron-Doe</w:t>
            </w:r>
          </w:p>
        </w:tc>
        <w:tc>
          <w:tcPr>
            <w:tcW w:w="70" w:type="dxa"/>
            <w:vAlign w:val="bottom"/>
            <w:shd w:val="clear" w:color="auto" w:fill="DEDBD3"/>
          </w:tcPr>
          <w:p>
            <w:pPr>
              <w:spacing w:after="0"/>
              <w:rPr>
                <w:sz w:val="24"/>
                <w:szCs w:val="24"/>
                <w:color w:val="auto"/>
              </w:rPr>
            </w:pPr>
          </w:p>
        </w:tc>
        <w:tc>
          <w:tcPr>
            <w:tcW w:w="700" w:type="dxa"/>
            <w:vAlign w:val="bottom"/>
            <w:shd w:val="clear" w:color="auto" w:fill="DEDBD3"/>
          </w:tcPr>
          <w:p>
            <w:pPr>
              <w:spacing w:after="0"/>
              <w:rPr>
                <w:sz w:val="20"/>
                <w:szCs w:val="20"/>
                <w:color w:val="auto"/>
              </w:rPr>
            </w:pPr>
            <w:r>
              <w:rPr>
                <w:rFonts w:ascii="Arial" w:cs="Arial" w:eastAsia="Arial" w:hAnsi="Arial"/>
                <w:sz w:val="14"/>
                <w:szCs w:val="14"/>
                <w:color w:val="auto"/>
                <w:w w:val="96"/>
              </w:rPr>
              <w:t>04/25/2022</w:t>
            </w:r>
          </w:p>
        </w:tc>
        <w:tc>
          <w:tcPr>
            <w:tcW w:w="760" w:type="dxa"/>
            <w:vAlign w:val="bottom"/>
            <w:shd w:val="clear" w:color="auto" w:fill="DEDBD3"/>
          </w:tcPr>
          <w:p>
            <w:pPr>
              <w:jc w:val="right"/>
              <w:ind w:right="236"/>
              <w:spacing w:after="0"/>
              <w:rPr>
                <w:sz w:val="20"/>
                <w:szCs w:val="20"/>
                <w:color w:val="auto"/>
              </w:rPr>
            </w:pPr>
            <w:r>
              <w:rPr>
                <w:rFonts w:ascii="Arial" w:cs="Arial" w:eastAsia="Arial" w:hAnsi="Arial"/>
                <w:sz w:val="14"/>
                <w:szCs w:val="14"/>
                <w:color w:val="auto"/>
              </w:rPr>
              <w:t>-</w:t>
            </w:r>
          </w:p>
        </w:tc>
        <w:tc>
          <w:tcPr>
            <w:tcW w:w="780" w:type="dxa"/>
            <w:vAlign w:val="bottom"/>
            <w:shd w:val="clear" w:color="auto" w:fill="DEDBD3"/>
          </w:tcPr>
          <w:p>
            <w:pPr>
              <w:jc w:val="right"/>
              <w:ind w:right="254"/>
              <w:spacing w:after="0"/>
              <w:rPr>
                <w:sz w:val="20"/>
                <w:szCs w:val="20"/>
                <w:color w:val="auto"/>
              </w:rPr>
            </w:pPr>
            <w:r>
              <w:rPr>
                <w:rFonts w:ascii="Arial" w:cs="Arial" w:eastAsia="Arial" w:hAnsi="Arial"/>
                <w:sz w:val="14"/>
                <w:szCs w:val="14"/>
                <w:color w:val="auto"/>
              </w:rPr>
              <w:t>-</w:t>
            </w:r>
          </w:p>
        </w:tc>
        <w:tc>
          <w:tcPr>
            <w:tcW w:w="740" w:type="dxa"/>
            <w:vAlign w:val="bottom"/>
            <w:shd w:val="clear" w:color="auto" w:fill="DEDBD3"/>
          </w:tcPr>
          <w:p>
            <w:pPr>
              <w:jc w:val="right"/>
              <w:ind w:right="253"/>
              <w:spacing w:after="0"/>
              <w:rPr>
                <w:sz w:val="20"/>
                <w:szCs w:val="20"/>
                <w:color w:val="auto"/>
              </w:rPr>
            </w:pPr>
            <w:r>
              <w:rPr>
                <w:rFonts w:ascii="Arial" w:cs="Arial" w:eastAsia="Arial" w:hAnsi="Arial"/>
                <w:sz w:val="14"/>
                <w:szCs w:val="14"/>
                <w:color w:val="auto"/>
              </w:rPr>
              <w:t>-</w:t>
            </w:r>
          </w:p>
        </w:tc>
        <w:tc>
          <w:tcPr>
            <w:tcW w:w="70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5"/>
              </w:rPr>
              <w:t>10,490</w:t>
            </w:r>
            <w:r>
              <w:rPr>
                <w:rFonts w:ascii="Arial" w:cs="Arial" w:eastAsia="Arial" w:hAnsi="Arial"/>
                <w:sz w:val="17"/>
                <w:szCs w:val="17"/>
                <w:color w:val="auto"/>
                <w:w w:val="95"/>
                <w:vertAlign w:val="superscript"/>
              </w:rPr>
              <w:t>(3)</w:t>
            </w:r>
          </w:p>
        </w:tc>
        <w:tc>
          <w:tcPr>
            <w:tcW w:w="780" w:type="dxa"/>
            <w:vAlign w:val="bottom"/>
            <w:shd w:val="clear" w:color="auto" w:fill="DEDBD3"/>
          </w:tcPr>
          <w:p>
            <w:pPr>
              <w:jc w:val="center"/>
              <w:spacing w:after="0"/>
              <w:rPr>
                <w:sz w:val="20"/>
                <w:szCs w:val="20"/>
                <w:color w:val="auto"/>
              </w:rPr>
            </w:pPr>
            <w:r>
              <w:rPr>
                <w:rFonts w:ascii="Arial" w:cs="Arial" w:eastAsia="Arial" w:hAnsi="Arial"/>
                <w:sz w:val="14"/>
                <w:szCs w:val="14"/>
                <w:color w:val="auto"/>
              </w:rPr>
              <w:t>-</w:t>
            </w:r>
          </w:p>
        </w:tc>
        <w:tc>
          <w:tcPr>
            <w:tcW w:w="640" w:type="dxa"/>
            <w:vAlign w:val="bottom"/>
            <w:shd w:val="clear" w:color="auto" w:fill="DEDBD3"/>
          </w:tcPr>
          <w:p>
            <w:pPr>
              <w:jc w:val="center"/>
              <w:spacing w:after="0"/>
              <w:rPr>
                <w:sz w:val="20"/>
                <w:szCs w:val="20"/>
                <w:color w:val="auto"/>
              </w:rPr>
            </w:pPr>
            <w:r>
              <w:rPr>
                <w:rFonts w:ascii="Arial" w:cs="Arial" w:eastAsia="Arial" w:hAnsi="Arial"/>
                <w:sz w:val="14"/>
                <w:szCs w:val="14"/>
                <w:color w:val="auto"/>
              </w:rPr>
              <w:t>-</w:t>
            </w:r>
          </w:p>
        </w:tc>
        <w:tc>
          <w:tcPr>
            <w:tcW w:w="76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8"/>
              </w:rPr>
              <w:t>$ 72.21</w:t>
            </w:r>
          </w:p>
        </w:tc>
        <w:tc>
          <w:tcPr>
            <w:tcW w:w="140" w:type="dxa"/>
            <w:vAlign w:val="bottom"/>
            <w:shd w:val="clear" w:color="auto" w:fill="DEDBD3"/>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EDBD3"/>
          </w:tcPr>
          <w:p>
            <w:pPr>
              <w:jc w:val="right"/>
              <w:ind w:right="53"/>
              <w:spacing w:after="0"/>
              <w:rPr>
                <w:sz w:val="20"/>
                <w:szCs w:val="20"/>
                <w:color w:val="auto"/>
              </w:rPr>
            </w:pPr>
            <w:r>
              <w:rPr>
                <w:rFonts w:ascii="Arial" w:cs="Arial" w:eastAsia="Arial" w:hAnsi="Arial"/>
                <w:sz w:val="14"/>
                <w:szCs w:val="14"/>
                <w:color w:val="auto"/>
              </w:rPr>
              <w:t>757,483</w:t>
            </w:r>
          </w:p>
        </w:tc>
        <w:tc>
          <w:tcPr>
            <w:tcW w:w="0" w:type="dxa"/>
            <w:vAlign w:val="bottom"/>
          </w:tcPr>
          <w:p>
            <w:pPr>
              <w:spacing w:after="0"/>
              <w:rPr>
                <w:sz w:val="1"/>
                <w:szCs w:val="1"/>
                <w:color w:val="auto"/>
              </w:rPr>
            </w:pPr>
          </w:p>
        </w:tc>
      </w:tr>
      <w:tr>
        <w:trPr>
          <w:trHeight w:val="312"/>
        </w:trPr>
        <w:tc>
          <w:tcPr>
            <w:tcW w:w="3810" w:type="dxa"/>
            <w:vAlign w:val="bottom"/>
            <w:shd w:val="clear" w:color="auto" w:fill="DEDBD3"/>
          </w:tcPr>
          <w:p>
            <w:pPr>
              <w:spacing w:after="0"/>
              <w:rPr>
                <w:sz w:val="24"/>
                <w:szCs w:val="24"/>
                <w:color w:val="auto"/>
              </w:rPr>
            </w:pPr>
          </w:p>
        </w:tc>
        <w:tc>
          <w:tcPr>
            <w:tcW w:w="70" w:type="dxa"/>
            <w:vAlign w:val="bottom"/>
            <w:shd w:val="clear" w:color="auto" w:fill="DEDBD3"/>
          </w:tcPr>
          <w:p>
            <w:pPr>
              <w:spacing w:after="0"/>
              <w:rPr>
                <w:sz w:val="24"/>
                <w:szCs w:val="24"/>
                <w:color w:val="auto"/>
              </w:rPr>
            </w:pPr>
          </w:p>
        </w:tc>
        <w:tc>
          <w:tcPr>
            <w:tcW w:w="700" w:type="dxa"/>
            <w:vAlign w:val="bottom"/>
            <w:shd w:val="clear" w:color="auto" w:fill="DEDBD3"/>
          </w:tcPr>
          <w:p>
            <w:pPr>
              <w:spacing w:after="0"/>
              <w:rPr>
                <w:sz w:val="20"/>
                <w:szCs w:val="20"/>
                <w:color w:val="auto"/>
              </w:rPr>
            </w:pPr>
            <w:r>
              <w:rPr>
                <w:rFonts w:ascii="Arial" w:cs="Arial" w:eastAsia="Arial" w:hAnsi="Arial"/>
                <w:sz w:val="14"/>
                <w:szCs w:val="14"/>
                <w:color w:val="auto"/>
                <w:w w:val="96"/>
              </w:rPr>
              <w:t>04/25/2022</w:t>
            </w:r>
          </w:p>
        </w:tc>
        <w:tc>
          <w:tcPr>
            <w:tcW w:w="760" w:type="dxa"/>
            <w:vAlign w:val="bottom"/>
            <w:shd w:val="clear" w:color="auto" w:fill="DEDBD3"/>
          </w:tcPr>
          <w:p>
            <w:pPr>
              <w:jc w:val="right"/>
              <w:ind w:right="236"/>
              <w:spacing w:after="0"/>
              <w:rPr>
                <w:sz w:val="20"/>
                <w:szCs w:val="20"/>
                <w:color w:val="auto"/>
              </w:rPr>
            </w:pPr>
            <w:r>
              <w:rPr>
                <w:rFonts w:ascii="Arial" w:cs="Arial" w:eastAsia="Arial" w:hAnsi="Arial"/>
                <w:sz w:val="14"/>
                <w:szCs w:val="14"/>
                <w:color w:val="auto"/>
              </w:rPr>
              <w:t>-</w:t>
            </w:r>
          </w:p>
        </w:tc>
        <w:tc>
          <w:tcPr>
            <w:tcW w:w="780" w:type="dxa"/>
            <w:vAlign w:val="bottom"/>
            <w:shd w:val="clear" w:color="auto" w:fill="DEDBD3"/>
          </w:tcPr>
          <w:p>
            <w:pPr>
              <w:jc w:val="right"/>
              <w:ind w:right="254"/>
              <w:spacing w:after="0"/>
              <w:rPr>
                <w:sz w:val="20"/>
                <w:szCs w:val="20"/>
                <w:color w:val="auto"/>
              </w:rPr>
            </w:pPr>
            <w:r>
              <w:rPr>
                <w:rFonts w:ascii="Arial" w:cs="Arial" w:eastAsia="Arial" w:hAnsi="Arial"/>
                <w:sz w:val="14"/>
                <w:szCs w:val="14"/>
                <w:color w:val="auto"/>
              </w:rPr>
              <w:t>-</w:t>
            </w:r>
          </w:p>
        </w:tc>
        <w:tc>
          <w:tcPr>
            <w:tcW w:w="740" w:type="dxa"/>
            <w:vAlign w:val="bottom"/>
            <w:shd w:val="clear" w:color="auto" w:fill="DEDBD3"/>
          </w:tcPr>
          <w:p>
            <w:pPr>
              <w:jc w:val="right"/>
              <w:ind w:right="253"/>
              <w:spacing w:after="0"/>
              <w:rPr>
                <w:sz w:val="20"/>
                <w:szCs w:val="20"/>
                <w:color w:val="auto"/>
              </w:rPr>
            </w:pPr>
            <w:r>
              <w:rPr>
                <w:rFonts w:ascii="Arial" w:cs="Arial" w:eastAsia="Arial" w:hAnsi="Arial"/>
                <w:sz w:val="14"/>
                <w:szCs w:val="14"/>
                <w:color w:val="auto"/>
              </w:rPr>
              <w:t>-</w:t>
            </w:r>
          </w:p>
        </w:tc>
        <w:tc>
          <w:tcPr>
            <w:tcW w:w="700" w:type="dxa"/>
            <w:vAlign w:val="bottom"/>
            <w:shd w:val="clear" w:color="auto" w:fill="DEDBD3"/>
          </w:tcPr>
          <w:p>
            <w:pPr>
              <w:jc w:val="right"/>
              <w:ind w:right="17"/>
              <w:spacing w:after="0"/>
              <w:rPr>
                <w:sz w:val="20"/>
                <w:szCs w:val="20"/>
                <w:color w:val="auto"/>
              </w:rPr>
            </w:pPr>
            <w:r>
              <w:rPr>
                <w:rFonts w:ascii="Arial" w:cs="Arial" w:eastAsia="Arial" w:hAnsi="Arial"/>
                <w:sz w:val="14"/>
                <w:szCs w:val="14"/>
                <w:color w:val="auto"/>
              </w:rPr>
              <w:t>5,245</w:t>
            </w:r>
            <w:r>
              <w:rPr>
                <w:rFonts w:ascii="Arial" w:cs="Arial" w:eastAsia="Arial" w:hAnsi="Arial"/>
                <w:sz w:val="17"/>
                <w:szCs w:val="17"/>
                <w:color w:val="auto"/>
                <w:vertAlign w:val="superscript"/>
              </w:rPr>
              <w:t>(4)</w:t>
            </w:r>
          </w:p>
        </w:tc>
        <w:tc>
          <w:tcPr>
            <w:tcW w:w="780" w:type="dxa"/>
            <w:vAlign w:val="bottom"/>
            <w:shd w:val="clear" w:color="auto" w:fill="DEDBD3"/>
          </w:tcPr>
          <w:p>
            <w:pPr>
              <w:jc w:val="center"/>
              <w:spacing w:after="0"/>
              <w:rPr>
                <w:sz w:val="20"/>
                <w:szCs w:val="20"/>
                <w:color w:val="auto"/>
              </w:rPr>
            </w:pPr>
            <w:r>
              <w:rPr>
                <w:rFonts w:ascii="Arial" w:cs="Arial" w:eastAsia="Arial" w:hAnsi="Arial"/>
                <w:sz w:val="14"/>
                <w:szCs w:val="14"/>
                <w:color w:val="auto"/>
              </w:rPr>
              <w:t>-</w:t>
            </w:r>
          </w:p>
        </w:tc>
        <w:tc>
          <w:tcPr>
            <w:tcW w:w="640" w:type="dxa"/>
            <w:vAlign w:val="bottom"/>
            <w:shd w:val="clear" w:color="auto" w:fill="DEDBD3"/>
          </w:tcPr>
          <w:p>
            <w:pPr>
              <w:jc w:val="center"/>
              <w:spacing w:after="0"/>
              <w:rPr>
                <w:sz w:val="20"/>
                <w:szCs w:val="20"/>
                <w:color w:val="auto"/>
              </w:rPr>
            </w:pPr>
            <w:r>
              <w:rPr>
                <w:rFonts w:ascii="Arial" w:cs="Arial" w:eastAsia="Arial" w:hAnsi="Arial"/>
                <w:sz w:val="14"/>
                <w:szCs w:val="14"/>
                <w:color w:val="auto"/>
              </w:rPr>
              <w:t>-</w:t>
            </w:r>
          </w:p>
        </w:tc>
        <w:tc>
          <w:tcPr>
            <w:tcW w:w="76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8"/>
              </w:rPr>
              <w:t>$ 72.21</w:t>
            </w:r>
          </w:p>
        </w:tc>
        <w:tc>
          <w:tcPr>
            <w:tcW w:w="140" w:type="dxa"/>
            <w:vAlign w:val="bottom"/>
            <w:shd w:val="clear" w:color="auto" w:fill="DEDBD3"/>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EDBD3"/>
          </w:tcPr>
          <w:p>
            <w:pPr>
              <w:jc w:val="right"/>
              <w:ind w:right="53"/>
              <w:spacing w:after="0"/>
              <w:rPr>
                <w:sz w:val="20"/>
                <w:szCs w:val="20"/>
                <w:color w:val="auto"/>
              </w:rPr>
            </w:pPr>
            <w:r>
              <w:rPr>
                <w:rFonts w:ascii="Arial" w:cs="Arial" w:eastAsia="Arial" w:hAnsi="Arial"/>
                <w:sz w:val="14"/>
                <w:szCs w:val="14"/>
                <w:color w:val="auto"/>
              </w:rPr>
              <w:t>378,741</w:t>
            </w:r>
          </w:p>
        </w:tc>
        <w:tc>
          <w:tcPr>
            <w:tcW w:w="0" w:type="dxa"/>
            <w:vAlign w:val="bottom"/>
          </w:tcPr>
          <w:p>
            <w:pPr>
              <w:spacing w:after="0"/>
              <w:rPr>
                <w:sz w:val="1"/>
                <w:szCs w:val="1"/>
                <w:color w:val="auto"/>
              </w:rPr>
            </w:pPr>
          </w:p>
        </w:tc>
      </w:tr>
      <w:tr>
        <w:trPr>
          <w:trHeight w:val="328"/>
        </w:trPr>
        <w:tc>
          <w:tcPr>
            <w:tcW w:w="3810" w:type="dxa"/>
            <w:vAlign w:val="bottom"/>
            <w:shd w:val="clear" w:color="auto" w:fill="DEDBD3"/>
          </w:tcPr>
          <w:p>
            <w:pPr>
              <w:spacing w:after="0"/>
              <w:rPr>
                <w:sz w:val="24"/>
                <w:szCs w:val="24"/>
                <w:color w:val="auto"/>
              </w:rPr>
            </w:pPr>
          </w:p>
        </w:tc>
        <w:tc>
          <w:tcPr>
            <w:tcW w:w="70" w:type="dxa"/>
            <w:vAlign w:val="bottom"/>
            <w:shd w:val="clear" w:color="auto" w:fill="DEDBD3"/>
          </w:tcPr>
          <w:p>
            <w:pPr>
              <w:spacing w:after="0"/>
              <w:rPr>
                <w:sz w:val="24"/>
                <w:szCs w:val="24"/>
                <w:color w:val="auto"/>
              </w:rPr>
            </w:pPr>
          </w:p>
        </w:tc>
        <w:tc>
          <w:tcPr>
            <w:tcW w:w="700" w:type="dxa"/>
            <w:vAlign w:val="bottom"/>
            <w:shd w:val="clear" w:color="auto" w:fill="DEDBD3"/>
          </w:tcPr>
          <w:p>
            <w:pPr>
              <w:spacing w:after="0"/>
              <w:rPr>
                <w:sz w:val="20"/>
                <w:szCs w:val="20"/>
                <w:color w:val="auto"/>
              </w:rPr>
            </w:pPr>
            <w:r>
              <w:rPr>
                <w:rFonts w:ascii="Arial" w:cs="Arial" w:eastAsia="Arial" w:hAnsi="Arial"/>
                <w:sz w:val="14"/>
                <w:szCs w:val="14"/>
                <w:color w:val="auto"/>
                <w:w w:val="96"/>
              </w:rPr>
              <w:t>05/11/2022</w:t>
            </w:r>
          </w:p>
        </w:tc>
        <w:tc>
          <w:tcPr>
            <w:tcW w:w="760" w:type="dxa"/>
            <w:vAlign w:val="bottom"/>
            <w:shd w:val="clear" w:color="auto" w:fill="DEDBD3"/>
          </w:tcPr>
          <w:p>
            <w:pPr>
              <w:jc w:val="right"/>
              <w:ind w:right="236"/>
              <w:spacing w:after="0"/>
              <w:rPr>
                <w:sz w:val="20"/>
                <w:szCs w:val="20"/>
                <w:color w:val="auto"/>
              </w:rPr>
            </w:pPr>
            <w:r>
              <w:rPr>
                <w:rFonts w:ascii="Arial" w:cs="Arial" w:eastAsia="Arial" w:hAnsi="Arial"/>
                <w:sz w:val="14"/>
                <w:szCs w:val="14"/>
                <w:color w:val="auto"/>
              </w:rPr>
              <w:t>-</w:t>
            </w:r>
          </w:p>
        </w:tc>
        <w:tc>
          <w:tcPr>
            <w:tcW w:w="780" w:type="dxa"/>
            <w:vAlign w:val="bottom"/>
            <w:shd w:val="clear" w:color="auto" w:fill="DEDBD3"/>
          </w:tcPr>
          <w:p>
            <w:pPr>
              <w:jc w:val="right"/>
              <w:ind w:right="254"/>
              <w:spacing w:after="0"/>
              <w:rPr>
                <w:sz w:val="20"/>
                <w:szCs w:val="20"/>
                <w:color w:val="auto"/>
              </w:rPr>
            </w:pPr>
            <w:r>
              <w:rPr>
                <w:rFonts w:ascii="Arial" w:cs="Arial" w:eastAsia="Arial" w:hAnsi="Arial"/>
                <w:sz w:val="14"/>
                <w:szCs w:val="14"/>
                <w:color w:val="auto"/>
              </w:rPr>
              <w:t>-</w:t>
            </w:r>
          </w:p>
        </w:tc>
        <w:tc>
          <w:tcPr>
            <w:tcW w:w="740" w:type="dxa"/>
            <w:vAlign w:val="bottom"/>
            <w:shd w:val="clear" w:color="auto" w:fill="DEDBD3"/>
          </w:tcPr>
          <w:p>
            <w:pPr>
              <w:jc w:val="right"/>
              <w:ind w:right="253"/>
              <w:spacing w:after="0"/>
              <w:rPr>
                <w:sz w:val="20"/>
                <w:szCs w:val="20"/>
                <w:color w:val="auto"/>
              </w:rPr>
            </w:pPr>
            <w:r>
              <w:rPr>
                <w:rFonts w:ascii="Arial" w:cs="Arial" w:eastAsia="Arial" w:hAnsi="Arial"/>
                <w:sz w:val="14"/>
                <w:szCs w:val="14"/>
                <w:color w:val="auto"/>
              </w:rPr>
              <w:t>-</w:t>
            </w:r>
          </w:p>
        </w:tc>
        <w:tc>
          <w:tcPr>
            <w:tcW w:w="700" w:type="dxa"/>
            <w:vAlign w:val="bottom"/>
            <w:shd w:val="clear" w:color="auto" w:fill="DEDBD3"/>
          </w:tcPr>
          <w:p>
            <w:pPr>
              <w:jc w:val="center"/>
              <w:spacing w:after="0"/>
              <w:rPr>
                <w:sz w:val="20"/>
                <w:szCs w:val="20"/>
                <w:color w:val="auto"/>
              </w:rPr>
            </w:pPr>
            <w:r>
              <w:rPr>
                <w:rFonts w:ascii="Arial" w:cs="Arial" w:eastAsia="Arial" w:hAnsi="Arial"/>
                <w:sz w:val="14"/>
                <w:szCs w:val="14"/>
                <w:color w:val="auto"/>
              </w:rPr>
              <w:t>-</w:t>
            </w:r>
          </w:p>
        </w:tc>
        <w:tc>
          <w:tcPr>
            <w:tcW w:w="78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5"/>
              </w:rPr>
              <w:t>10,383</w:t>
            </w:r>
            <w:r>
              <w:rPr>
                <w:rFonts w:ascii="Arial" w:cs="Arial" w:eastAsia="Arial" w:hAnsi="Arial"/>
                <w:sz w:val="17"/>
                <w:szCs w:val="17"/>
                <w:color w:val="auto"/>
                <w:w w:val="95"/>
                <w:vertAlign w:val="superscript"/>
              </w:rPr>
              <w:t>(6)</w:t>
            </w:r>
          </w:p>
        </w:tc>
        <w:tc>
          <w:tcPr>
            <w:tcW w:w="64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7"/>
              </w:rPr>
              <w:t>$18.56</w:t>
            </w:r>
          </w:p>
        </w:tc>
        <w:tc>
          <w:tcPr>
            <w:tcW w:w="76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8"/>
              </w:rPr>
              <w:t>$ 58.85</w:t>
            </w:r>
          </w:p>
        </w:tc>
        <w:tc>
          <w:tcPr>
            <w:tcW w:w="140" w:type="dxa"/>
            <w:vAlign w:val="bottom"/>
            <w:shd w:val="clear" w:color="auto" w:fill="DEDBD3"/>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EDBD3"/>
          </w:tcPr>
          <w:p>
            <w:pPr>
              <w:jc w:val="right"/>
              <w:ind w:right="53"/>
              <w:spacing w:after="0"/>
              <w:rPr>
                <w:sz w:val="20"/>
                <w:szCs w:val="20"/>
                <w:color w:val="auto"/>
              </w:rPr>
            </w:pPr>
            <w:r>
              <w:rPr>
                <w:rFonts w:ascii="Arial" w:cs="Arial" w:eastAsia="Arial" w:hAnsi="Arial"/>
                <w:sz w:val="14"/>
                <w:szCs w:val="14"/>
                <w:color w:val="auto"/>
              </w:rPr>
              <w:t>192,708</w:t>
            </w:r>
          </w:p>
        </w:tc>
        <w:tc>
          <w:tcPr>
            <w:tcW w:w="0" w:type="dxa"/>
            <w:vAlign w:val="bottom"/>
          </w:tcPr>
          <w:p>
            <w:pPr>
              <w:spacing w:after="0"/>
              <w:rPr>
                <w:sz w:val="1"/>
                <w:szCs w:val="1"/>
                <w:color w:val="auto"/>
              </w:rPr>
            </w:pPr>
          </w:p>
        </w:tc>
      </w:tr>
      <w:tr>
        <w:trPr>
          <w:trHeight w:val="248"/>
        </w:trPr>
        <w:tc>
          <w:tcPr>
            <w:tcW w:w="3810" w:type="dxa"/>
            <w:vAlign w:val="bottom"/>
            <w:shd w:val="clear" w:color="auto" w:fill="FDF9F2"/>
          </w:tcPr>
          <w:p>
            <w:pPr>
              <w:spacing w:after="0"/>
              <w:rPr>
                <w:sz w:val="21"/>
                <w:szCs w:val="21"/>
                <w:color w:val="auto"/>
              </w:rPr>
            </w:pPr>
          </w:p>
        </w:tc>
        <w:tc>
          <w:tcPr>
            <w:tcW w:w="70" w:type="dxa"/>
            <w:vAlign w:val="bottom"/>
            <w:shd w:val="clear" w:color="auto" w:fill="FDF9F2"/>
          </w:tcPr>
          <w:p>
            <w:pPr>
              <w:spacing w:after="0"/>
              <w:rPr>
                <w:sz w:val="21"/>
                <w:szCs w:val="21"/>
                <w:color w:val="auto"/>
              </w:rPr>
            </w:pPr>
          </w:p>
        </w:tc>
        <w:tc>
          <w:tcPr>
            <w:tcW w:w="1460" w:type="dxa"/>
            <w:vAlign w:val="bottom"/>
            <w:gridSpan w:val="2"/>
            <w:shd w:val="clear" w:color="auto" w:fill="FDF9F2"/>
          </w:tcPr>
          <w:p>
            <w:pPr>
              <w:jc w:val="right"/>
              <w:spacing w:after="0"/>
              <w:rPr>
                <w:sz w:val="20"/>
                <w:szCs w:val="20"/>
                <w:color w:val="auto"/>
              </w:rPr>
            </w:pPr>
            <w:r>
              <w:rPr>
                <w:rFonts w:ascii="Arial" w:cs="Arial" w:eastAsia="Arial" w:hAnsi="Arial"/>
                <w:sz w:val="14"/>
                <w:szCs w:val="14"/>
                <w:color w:val="auto"/>
              </w:rPr>
              <w:t>N/A $1,440,000</w:t>
            </w:r>
          </w:p>
        </w:tc>
        <w:tc>
          <w:tcPr>
            <w:tcW w:w="78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$1,800,000</w:t>
            </w:r>
          </w:p>
        </w:tc>
        <w:tc>
          <w:tcPr>
            <w:tcW w:w="740" w:type="dxa"/>
            <w:vAlign w:val="bottom"/>
            <w:shd w:val="clear" w:color="auto" w:fill="FDF9F2"/>
          </w:tcPr>
          <w:p>
            <w:pPr>
              <w:jc w:val="right"/>
              <w:spacing w:after="0"/>
              <w:rPr>
                <w:sz w:val="20"/>
                <w:szCs w:val="20"/>
                <w:color w:val="auto"/>
              </w:rPr>
            </w:pPr>
            <w:r>
              <w:rPr>
                <w:rFonts w:ascii="Arial" w:cs="Arial" w:eastAsia="Arial" w:hAnsi="Arial"/>
                <w:sz w:val="14"/>
                <w:szCs w:val="14"/>
                <w:color w:val="auto"/>
                <w:w w:val="99"/>
              </w:rPr>
              <w:t>$2,160,000</w:t>
            </w:r>
          </w:p>
        </w:tc>
        <w:tc>
          <w:tcPr>
            <w:tcW w:w="700" w:type="dxa"/>
            <w:vAlign w:val="bottom"/>
            <w:shd w:val="clear" w:color="auto" w:fill="FDF9F2"/>
          </w:tcPr>
          <w:p>
            <w:pPr>
              <w:jc w:val="center"/>
              <w:spacing w:after="0"/>
              <w:rPr>
                <w:sz w:val="20"/>
                <w:szCs w:val="20"/>
                <w:color w:val="auto"/>
              </w:rPr>
            </w:pPr>
            <w:r>
              <w:rPr>
                <w:rFonts w:ascii="Arial" w:cs="Arial" w:eastAsia="Arial" w:hAnsi="Arial"/>
                <w:sz w:val="14"/>
                <w:szCs w:val="14"/>
                <w:color w:val="auto"/>
              </w:rPr>
              <w:t>-</w:t>
            </w:r>
          </w:p>
        </w:tc>
        <w:tc>
          <w:tcPr>
            <w:tcW w:w="780" w:type="dxa"/>
            <w:vAlign w:val="bottom"/>
            <w:shd w:val="clear" w:color="auto" w:fill="FDF9F2"/>
          </w:tcPr>
          <w:p>
            <w:pPr>
              <w:jc w:val="center"/>
              <w:spacing w:after="0"/>
              <w:rPr>
                <w:sz w:val="20"/>
                <w:szCs w:val="20"/>
                <w:color w:val="auto"/>
              </w:rPr>
            </w:pPr>
            <w:r>
              <w:rPr>
                <w:rFonts w:ascii="Arial" w:cs="Arial" w:eastAsia="Arial" w:hAnsi="Arial"/>
                <w:sz w:val="14"/>
                <w:szCs w:val="14"/>
                <w:color w:val="auto"/>
              </w:rPr>
              <w:t>-</w:t>
            </w:r>
          </w:p>
        </w:tc>
        <w:tc>
          <w:tcPr>
            <w:tcW w:w="640" w:type="dxa"/>
            <w:vAlign w:val="bottom"/>
            <w:shd w:val="clear" w:color="auto" w:fill="FDF9F2"/>
          </w:tcPr>
          <w:p>
            <w:pPr>
              <w:jc w:val="center"/>
              <w:spacing w:after="0"/>
              <w:rPr>
                <w:sz w:val="20"/>
                <w:szCs w:val="20"/>
                <w:color w:val="auto"/>
              </w:rPr>
            </w:pPr>
            <w:r>
              <w:rPr>
                <w:rFonts w:ascii="Arial" w:cs="Arial" w:eastAsia="Arial" w:hAnsi="Arial"/>
                <w:sz w:val="14"/>
                <w:szCs w:val="14"/>
                <w:color w:val="auto"/>
              </w:rPr>
              <w:t>-</w:t>
            </w:r>
          </w:p>
        </w:tc>
        <w:tc>
          <w:tcPr>
            <w:tcW w:w="760" w:type="dxa"/>
            <w:vAlign w:val="bottom"/>
            <w:shd w:val="clear" w:color="auto" w:fill="FDF9F2"/>
          </w:tcPr>
          <w:p>
            <w:pPr>
              <w:jc w:val="right"/>
              <w:ind w:right="255"/>
              <w:spacing w:after="0"/>
              <w:rPr>
                <w:sz w:val="20"/>
                <w:szCs w:val="20"/>
                <w:color w:val="auto"/>
              </w:rPr>
            </w:pPr>
            <w:r>
              <w:rPr>
                <w:rFonts w:ascii="Arial" w:cs="Arial" w:eastAsia="Arial" w:hAnsi="Arial"/>
                <w:sz w:val="14"/>
                <w:szCs w:val="14"/>
                <w:color w:val="auto"/>
              </w:rPr>
              <w:t>-</w:t>
            </w:r>
          </w:p>
        </w:tc>
        <w:tc>
          <w:tcPr>
            <w:tcW w:w="140" w:type="dxa"/>
            <w:vAlign w:val="bottom"/>
            <w:shd w:val="clear" w:color="auto" w:fill="FDF9F2"/>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FDF9F2"/>
          </w:tcPr>
          <w:p>
            <w:pPr>
              <w:jc w:val="right"/>
              <w:ind w:right="5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1"/>
        </w:trPr>
        <w:tc>
          <w:tcPr>
            <w:tcW w:w="3810" w:type="dxa"/>
            <w:vAlign w:val="bottom"/>
            <w:vMerge w:val="restart"/>
            <w:shd w:val="clear" w:color="auto" w:fill="FDF9F2"/>
          </w:tcPr>
          <w:p>
            <w:pPr>
              <w:ind w:left="60"/>
              <w:spacing w:after="0"/>
              <w:rPr>
                <w:sz w:val="20"/>
                <w:szCs w:val="20"/>
                <w:color w:val="auto"/>
              </w:rPr>
            </w:pPr>
            <w:r>
              <w:rPr>
                <w:rFonts w:ascii="Arial" w:cs="Arial" w:eastAsia="Arial" w:hAnsi="Arial"/>
                <w:sz w:val="12"/>
                <w:szCs w:val="12"/>
                <w:b w:val="1"/>
                <w:bCs w:val="1"/>
                <w:color w:val="auto"/>
              </w:rPr>
              <w:t>Ellen F. Whittemore</w:t>
            </w:r>
          </w:p>
        </w:tc>
        <w:tc>
          <w:tcPr>
            <w:tcW w:w="770" w:type="dxa"/>
            <w:vAlign w:val="bottom"/>
            <w:gridSpan w:val="2"/>
            <w:shd w:val="clear" w:color="auto" w:fill="FDF9F2"/>
          </w:tcPr>
          <w:p>
            <w:pPr>
              <w:ind w:left="70"/>
              <w:spacing w:after="0"/>
              <w:rPr>
                <w:sz w:val="20"/>
                <w:szCs w:val="20"/>
                <w:color w:val="auto"/>
              </w:rPr>
            </w:pPr>
            <w:r>
              <w:rPr>
                <w:rFonts w:ascii="Arial" w:cs="Arial" w:eastAsia="Arial" w:hAnsi="Arial"/>
                <w:sz w:val="14"/>
                <w:szCs w:val="14"/>
                <w:color w:val="auto"/>
                <w:w w:val="96"/>
              </w:rPr>
              <w:t>01/12/2022</w:t>
            </w:r>
          </w:p>
        </w:tc>
        <w:tc>
          <w:tcPr>
            <w:tcW w:w="760" w:type="dxa"/>
            <w:vAlign w:val="bottom"/>
            <w:shd w:val="clear" w:color="auto" w:fill="FDF9F2"/>
          </w:tcPr>
          <w:p>
            <w:pPr>
              <w:jc w:val="right"/>
              <w:ind w:right="236"/>
              <w:spacing w:after="0"/>
              <w:rPr>
                <w:sz w:val="20"/>
                <w:szCs w:val="20"/>
                <w:color w:val="auto"/>
              </w:rPr>
            </w:pPr>
            <w:r>
              <w:rPr>
                <w:rFonts w:ascii="Arial" w:cs="Arial" w:eastAsia="Arial" w:hAnsi="Arial"/>
                <w:sz w:val="14"/>
                <w:szCs w:val="14"/>
                <w:color w:val="auto"/>
              </w:rPr>
              <w:t>-</w:t>
            </w:r>
          </w:p>
        </w:tc>
        <w:tc>
          <w:tcPr>
            <w:tcW w:w="780" w:type="dxa"/>
            <w:vAlign w:val="bottom"/>
            <w:shd w:val="clear" w:color="auto" w:fill="FDF9F2"/>
          </w:tcPr>
          <w:p>
            <w:pPr>
              <w:jc w:val="right"/>
              <w:ind w:right="254"/>
              <w:spacing w:after="0"/>
              <w:rPr>
                <w:sz w:val="20"/>
                <w:szCs w:val="20"/>
                <w:color w:val="auto"/>
              </w:rPr>
            </w:pPr>
            <w:r>
              <w:rPr>
                <w:rFonts w:ascii="Arial" w:cs="Arial" w:eastAsia="Arial" w:hAnsi="Arial"/>
                <w:sz w:val="14"/>
                <w:szCs w:val="14"/>
                <w:color w:val="auto"/>
              </w:rPr>
              <w:t>-</w:t>
            </w:r>
          </w:p>
        </w:tc>
        <w:tc>
          <w:tcPr>
            <w:tcW w:w="740" w:type="dxa"/>
            <w:vAlign w:val="bottom"/>
            <w:shd w:val="clear" w:color="auto" w:fill="FDF9F2"/>
          </w:tcPr>
          <w:p>
            <w:pPr>
              <w:jc w:val="right"/>
              <w:ind w:right="253"/>
              <w:spacing w:after="0"/>
              <w:rPr>
                <w:sz w:val="20"/>
                <w:szCs w:val="20"/>
                <w:color w:val="auto"/>
              </w:rPr>
            </w:pPr>
            <w:r>
              <w:rPr>
                <w:rFonts w:ascii="Arial" w:cs="Arial" w:eastAsia="Arial" w:hAnsi="Arial"/>
                <w:sz w:val="14"/>
                <w:szCs w:val="14"/>
                <w:color w:val="auto"/>
              </w:rPr>
              <w:t>-</w:t>
            </w:r>
          </w:p>
        </w:tc>
        <w:tc>
          <w:tcPr>
            <w:tcW w:w="70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5"/>
              </w:rPr>
              <w:t>12,238</w:t>
            </w:r>
            <w:r>
              <w:rPr>
                <w:rFonts w:ascii="Arial" w:cs="Arial" w:eastAsia="Arial" w:hAnsi="Arial"/>
                <w:sz w:val="17"/>
                <w:szCs w:val="17"/>
                <w:color w:val="auto"/>
                <w:w w:val="95"/>
                <w:vertAlign w:val="superscript"/>
              </w:rPr>
              <w:t>(3)</w:t>
            </w:r>
          </w:p>
        </w:tc>
        <w:tc>
          <w:tcPr>
            <w:tcW w:w="780" w:type="dxa"/>
            <w:vAlign w:val="bottom"/>
            <w:shd w:val="clear" w:color="auto" w:fill="FDF9F2"/>
          </w:tcPr>
          <w:p>
            <w:pPr>
              <w:jc w:val="center"/>
              <w:spacing w:after="0"/>
              <w:rPr>
                <w:sz w:val="20"/>
                <w:szCs w:val="20"/>
                <w:color w:val="auto"/>
              </w:rPr>
            </w:pPr>
            <w:r>
              <w:rPr>
                <w:rFonts w:ascii="Arial" w:cs="Arial" w:eastAsia="Arial" w:hAnsi="Arial"/>
                <w:sz w:val="14"/>
                <w:szCs w:val="14"/>
                <w:color w:val="auto"/>
              </w:rPr>
              <w:t>-</w:t>
            </w:r>
          </w:p>
        </w:tc>
        <w:tc>
          <w:tcPr>
            <w:tcW w:w="640" w:type="dxa"/>
            <w:vAlign w:val="bottom"/>
            <w:shd w:val="clear" w:color="auto" w:fill="FDF9F2"/>
          </w:tcPr>
          <w:p>
            <w:pPr>
              <w:jc w:val="center"/>
              <w:spacing w:after="0"/>
              <w:rPr>
                <w:sz w:val="20"/>
                <w:szCs w:val="20"/>
                <w:color w:val="auto"/>
              </w:rPr>
            </w:pPr>
            <w:r>
              <w:rPr>
                <w:rFonts w:ascii="Arial" w:cs="Arial" w:eastAsia="Arial" w:hAnsi="Arial"/>
                <w:sz w:val="14"/>
                <w:szCs w:val="14"/>
                <w:color w:val="auto"/>
              </w:rPr>
              <w:t>-</w:t>
            </w:r>
          </w:p>
        </w:tc>
        <w:tc>
          <w:tcPr>
            <w:tcW w:w="76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8"/>
              </w:rPr>
              <w:t>$ 85.80</w:t>
            </w:r>
          </w:p>
        </w:tc>
        <w:tc>
          <w:tcPr>
            <w:tcW w:w="880" w:type="dxa"/>
            <w:vAlign w:val="bottom"/>
            <w:gridSpan w:val="2"/>
            <w:shd w:val="clear" w:color="auto" w:fill="FDF9F2"/>
          </w:tcPr>
          <w:p>
            <w:pPr>
              <w:jc w:val="right"/>
              <w:ind w:right="53"/>
              <w:spacing w:after="0"/>
              <w:rPr>
                <w:sz w:val="20"/>
                <w:szCs w:val="20"/>
                <w:color w:val="auto"/>
              </w:rPr>
            </w:pPr>
            <w:r>
              <w:rPr>
                <w:rFonts w:ascii="Arial" w:cs="Arial" w:eastAsia="Arial" w:hAnsi="Arial"/>
                <w:sz w:val="14"/>
                <w:szCs w:val="14"/>
                <w:color w:val="auto"/>
              </w:rPr>
              <w:t>$1,050,020</w:t>
            </w:r>
          </w:p>
        </w:tc>
        <w:tc>
          <w:tcPr>
            <w:tcW w:w="0" w:type="dxa"/>
            <w:vAlign w:val="bottom"/>
          </w:tcPr>
          <w:p>
            <w:pPr>
              <w:spacing w:after="0"/>
              <w:rPr>
                <w:sz w:val="1"/>
                <w:szCs w:val="1"/>
                <w:color w:val="auto"/>
              </w:rPr>
            </w:pPr>
          </w:p>
        </w:tc>
      </w:tr>
      <w:tr>
        <w:trPr>
          <w:trHeight w:val="91"/>
        </w:trPr>
        <w:tc>
          <w:tcPr>
            <w:tcW w:w="3810" w:type="dxa"/>
            <w:vAlign w:val="bottom"/>
            <w:vMerge w:val="continue"/>
            <w:shd w:val="clear" w:color="auto" w:fill="FDF9F2"/>
          </w:tcPr>
          <w:p>
            <w:pPr>
              <w:spacing w:after="0"/>
              <w:rPr>
                <w:sz w:val="7"/>
                <w:szCs w:val="7"/>
                <w:color w:val="auto"/>
              </w:rPr>
            </w:pPr>
          </w:p>
        </w:tc>
        <w:tc>
          <w:tcPr>
            <w:tcW w:w="70" w:type="dxa"/>
            <w:vAlign w:val="bottom"/>
            <w:shd w:val="clear" w:color="auto" w:fill="FDF9F2"/>
          </w:tcPr>
          <w:p>
            <w:pPr>
              <w:spacing w:after="0"/>
              <w:rPr>
                <w:sz w:val="7"/>
                <w:szCs w:val="7"/>
                <w:color w:val="auto"/>
              </w:rPr>
            </w:pPr>
          </w:p>
        </w:tc>
        <w:tc>
          <w:tcPr>
            <w:tcW w:w="700" w:type="dxa"/>
            <w:vAlign w:val="bottom"/>
            <w:vMerge w:val="restart"/>
            <w:shd w:val="clear" w:color="auto" w:fill="FDF9F2"/>
          </w:tcPr>
          <w:p>
            <w:pPr>
              <w:spacing w:after="0"/>
              <w:rPr>
                <w:sz w:val="20"/>
                <w:szCs w:val="20"/>
                <w:color w:val="auto"/>
              </w:rPr>
            </w:pPr>
            <w:r>
              <w:rPr>
                <w:rFonts w:ascii="Arial" w:cs="Arial" w:eastAsia="Arial" w:hAnsi="Arial"/>
                <w:sz w:val="14"/>
                <w:szCs w:val="14"/>
                <w:color w:val="auto"/>
                <w:w w:val="96"/>
              </w:rPr>
              <w:t>01/12/2022</w:t>
            </w:r>
          </w:p>
        </w:tc>
        <w:tc>
          <w:tcPr>
            <w:tcW w:w="760" w:type="dxa"/>
            <w:vAlign w:val="bottom"/>
            <w:vMerge w:val="restart"/>
            <w:shd w:val="clear" w:color="auto" w:fill="FDF9F2"/>
          </w:tcPr>
          <w:p>
            <w:pPr>
              <w:jc w:val="right"/>
              <w:ind w:right="236"/>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FDF9F2"/>
          </w:tcPr>
          <w:p>
            <w:pPr>
              <w:jc w:val="right"/>
              <w:ind w:right="254"/>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FDF9F2"/>
          </w:tcPr>
          <w:p>
            <w:pPr>
              <w:jc w:val="right"/>
              <w:ind w:right="253"/>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FDF9F2"/>
          </w:tcPr>
          <w:p>
            <w:pPr>
              <w:jc w:val="right"/>
              <w:ind w:right="17"/>
              <w:spacing w:after="0"/>
              <w:rPr>
                <w:sz w:val="20"/>
                <w:szCs w:val="20"/>
                <w:color w:val="auto"/>
              </w:rPr>
            </w:pPr>
            <w:r>
              <w:rPr>
                <w:rFonts w:ascii="Arial" w:cs="Arial" w:eastAsia="Arial" w:hAnsi="Arial"/>
                <w:sz w:val="14"/>
                <w:szCs w:val="14"/>
                <w:color w:val="auto"/>
              </w:rPr>
              <w:t>6,119</w:t>
            </w:r>
            <w:r>
              <w:rPr>
                <w:rFonts w:ascii="Arial" w:cs="Arial" w:eastAsia="Arial" w:hAnsi="Arial"/>
                <w:sz w:val="17"/>
                <w:szCs w:val="17"/>
                <w:color w:val="auto"/>
                <w:vertAlign w:val="superscript"/>
              </w:rPr>
              <w:t>(4)</w:t>
            </w:r>
          </w:p>
        </w:tc>
        <w:tc>
          <w:tcPr>
            <w:tcW w:w="780" w:type="dxa"/>
            <w:vAlign w:val="bottom"/>
            <w:vMerge w:val="restart"/>
            <w:shd w:val="clear" w:color="auto" w:fill="FDF9F2"/>
          </w:tcPr>
          <w:p>
            <w:pPr>
              <w:jc w:val="center"/>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FDF9F2"/>
          </w:tcPr>
          <w:p>
            <w:pPr>
              <w:jc w:val="center"/>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FDF9F2"/>
          </w:tcPr>
          <w:p>
            <w:pPr>
              <w:jc w:val="center"/>
              <w:spacing w:after="0"/>
              <w:rPr>
                <w:sz w:val="20"/>
                <w:szCs w:val="20"/>
                <w:color w:val="auto"/>
              </w:rPr>
            </w:pPr>
            <w:r>
              <w:rPr>
                <w:rFonts w:ascii="Arial" w:cs="Arial" w:eastAsia="Arial" w:hAnsi="Arial"/>
                <w:sz w:val="14"/>
                <w:szCs w:val="14"/>
                <w:color w:val="auto"/>
                <w:w w:val="98"/>
              </w:rPr>
              <w:t>$ 85.80</w:t>
            </w:r>
          </w:p>
        </w:tc>
        <w:tc>
          <w:tcPr>
            <w:tcW w:w="140" w:type="dxa"/>
            <w:vAlign w:val="bottom"/>
            <w:vMerge w:val="restart"/>
            <w:shd w:val="clear" w:color="auto" w:fill="FDF9F2"/>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FDF9F2"/>
          </w:tcPr>
          <w:p>
            <w:pPr>
              <w:jc w:val="right"/>
              <w:ind w:right="53"/>
              <w:spacing w:after="0"/>
              <w:rPr>
                <w:sz w:val="20"/>
                <w:szCs w:val="20"/>
                <w:color w:val="auto"/>
              </w:rPr>
            </w:pPr>
            <w:r>
              <w:rPr>
                <w:rFonts w:ascii="Arial" w:cs="Arial" w:eastAsia="Arial" w:hAnsi="Arial"/>
                <w:sz w:val="14"/>
                <w:szCs w:val="14"/>
                <w:color w:val="auto"/>
              </w:rPr>
              <w:t>525,010</w:t>
            </w:r>
          </w:p>
        </w:tc>
        <w:tc>
          <w:tcPr>
            <w:tcW w:w="0" w:type="dxa"/>
            <w:vAlign w:val="bottom"/>
          </w:tcPr>
          <w:p>
            <w:pPr>
              <w:spacing w:after="0"/>
              <w:rPr>
                <w:sz w:val="1"/>
                <w:szCs w:val="1"/>
                <w:color w:val="auto"/>
              </w:rPr>
            </w:pPr>
          </w:p>
        </w:tc>
      </w:tr>
      <w:tr>
        <w:trPr>
          <w:trHeight w:val="222"/>
        </w:trPr>
        <w:tc>
          <w:tcPr>
            <w:tcW w:w="3810" w:type="dxa"/>
            <w:vAlign w:val="bottom"/>
            <w:shd w:val="clear" w:color="auto" w:fill="FDF9F2"/>
          </w:tcPr>
          <w:p>
            <w:pPr>
              <w:spacing w:after="0"/>
              <w:rPr>
                <w:sz w:val="19"/>
                <w:szCs w:val="19"/>
                <w:color w:val="auto"/>
              </w:rPr>
            </w:pPr>
          </w:p>
        </w:tc>
        <w:tc>
          <w:tcPr>
            <w:tcW w:w="70" w:type="dxa"/>
            <w:vAlign w:val="bottom"/>
            <w:shd w:val="clear" w:color="auto" w:fill="FDF9F2"/>
          </w:tcPr>
          <w:p>
            <w:pPr>
              <w:spacing w:after="0"/>
              <w:rPr>
                <w:sz w:val="19"/>
                <w:szCs w:val="19"/>
                <w:color w:val="auto"/>
              </w:rPr>
            </w:pPr>
          </w:p>
        </w:tc>
        <w:tc>
          <w:tcPr>
            <w:tcW w:w="700" w:type="dxa"/>
            <w:vAlign w:val="bottom"/>
            <w:vMerge w:val="continue"/>
            <w:shd w:val="clear" w:color="auto" w:fill="FDF9F2"/>
          </w:tcPr>
          <w:p>
            <w:pPr>
              <w:spacing w:after="0"/>
              <w:rPr>
                <w:sz w:val="19"/>
                <w:szCs w:val="19"/>
                <w:color w:val="auto"/>
              </w:rPr>
            </w:pPr>
          </w:p>
        </w:tc>
        <w:tc>
          <w:tcPr>
            <w:tcW w:w="760" w:type="dxa"/>
            <w:vAlign w:val="bottom"/>
            <w:vMerge w:val="continue"/>
            <w:shd w:val="clear" w:color="auto" w:fill="FDF9F2"/>
          </w:tcPr>
          <w:p>
            <w:pPr>
              <w:spacing w:after="0"/>
              <w:rPr>
                <w:sz w:val="19"/>
                <w:szCs w:val="19"/>
                <w:color w:val="auto"/>
              </w:rPr>
            </w:pPr>
          </w:p>
        </w:tc>
        <w:tc>
          <w:tcPr>
            <w:tcW w:w="780" w:type="dxa"/>
            <w:vAlign w:val="bottom"/>
            <w:vMerge w:val="continue"/>
            <w:shd w:val="clear" w:color="auto" w:fill="FDF9F2"/>
          </w:tcPr>
          <w:p>
            <w:pPr>
              <w:spacing w:after="0"/>
              <w:rPr>
                <w:sz w:val="19"/>
                <w:szCs w:val="19"/>
                <w:color w:val="auto"/>
              </w:rPr>
            </w:pPr>
          </w:p>
        </w:tc>
        <w:tc>
          <w:tcPr>
            <w:tcW w:w="740" w:type="dxa"/>
            <w:vAlign w:val="bottom"/>
            <w:vMerge w:val="continue"/>
            <w:shd w:val="clear" w:color="auto" w:fill="FDF9F2"/>
          </w:tcPr>
          <w:p>
            <w:pPr>
              <w:spacing w:after="0"/>
              <w:rPr>
                <w:sz w:val="19"/>
                <w:szCs w:val="19"/>
                <w:color w:val="auto"/>
              </w:rPr>
            </w:pPr>
          </w:p>
        </w:tc>
        <w:tc>
          <w:tcPr>
            <w:tcW w:w="700" w:type="dxa"/>
            <w:vAlign w:val="bottom"/>
            <w:vMerge w:val="continue"/>
            <w:shd w:val="clear" w:color="auto" w:fill="FDF9F2"/>
          </w:tcPr>
          <w:p>
            <w:pPr>
              <w:spacing w:after="0"/>
              <w:rPr>
                <w:sz w:val="19"/>
                <w:szCs w:val="19"/>
                <w:color w:val="auto"/>
              </w:rPr>
            </w:pPr>
          </w:p>
        </w:tc>
        <w:tc>
          <w:tcPr>
            <w:tcW w:w="780" w:type="dxa"/>
            <w:vAlign w:val="bottom"/>
            <w:vMerge w:val="continue"/>
            <w:shd w:val="clear" w:color="auto" w:fill="FDF9F2"/>
          </w:tcPr>
          <w:p>
            <w:pPr>
              <w:spacing w:after="0"/>
              <w:rPr>
                <w:sz w:val="19"/>
                <w:szCs w:val="19"/>
                <w:color w:val="auto"/>
              </w:rPr>
            </w:pPr>
          </w:p>
        </w:tc>
        <w:tc>
          <w:tcPr>
            <w:tcW w:w="640" w:type="dxa"/>
            <w:vAlign w:val="bottom"/>
            <w:vMerge w:val="continue"/>
            <w:shd w:val="clear" w:color="auto" w:fill="FDF9F2"/>
          </w:tcPr>
          <w:p>
            <w:pPr>
              <w:spacing w:after="0"/>
              <w:rPr>
                <w:sz w:val="19"/>
                <w:szCs w:val="19"/>
                <w:color w:val="auto"/>
              </w:rPr>
            </w:pPr>
          </w:p>
        </w:tc>
        <w:tc>
          <w:tcPr>
            <w:tcW w:w="760" w:type="dxa"/>
            <w:vAlign w:val="bottom"/>
            <w:vMerge w:val="continue"/>
            <w:shd w:val="clear" w:color="auto" w:fill="FDF9F2"/>
          </w:tcPr>
          <w:p>
            <w:pPr>
              <w:spacing w:after="0"/>
              <w:rPr>
                <w:sz w:val="19"/>
                <w:szCs w:val="19"/>
                <w:color w:val="auto"/>
              </w:rPr>
            </w:pPr>
          </w:p>
        </w:tc>
        <w:tc>
          <w:tcPr>
            <w:tcW w:w="140" w:type="dxa"/>
            <w:vAlign w:val="bottom"/>
            <w:vMerge w:val="continue"/>
            <w:shd w:val="clear" w:color="auto" w:fill="FDF9F2"/>
          </w:tcPr>
          <w:p>
            <w:pPr>
              <w:spacing w:after="0"/>
              <w:rPr>
                <w:sz w:val="19"/>
                <w:szCs w:val="19"/>
                <w:color w:val="auto"/>
              </w:rPr>
            </w:pPr>
          </w:p>
        </w:tc>
        <w:tc>
          <w:tcPr>
            <w:tcW w:w="740" w:type="dxa"/>
            <w:vAlign w:val="bottom"/>
            <w:vMerge w:val="continue"/>
            <w:shd w:val="clear" w:color="auto" w:fill="FDF9F2"/>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3810" w:type="dxa"/>
            <w:vAlign w:val="bottom"/>
            <w:shd w:val="clear" w:color="auto" w:fill="FDF9F2"/>
          </w:tcPr>
          <w:p>
            <w:pPr>
              <w:spacing w:after="0"/>
              <w:rPr>
                <w:sz w:val="24"/>
                <w:szCs w:val="24"/>
                <w:color w:val="auto"/>
              </w:rPr>
            </w:pPr>
          </w:p>
        </w:tc>
        <w:tc>
          <w:tcPr>
            <w:tcW w:w="70" w:type="dxa"/>
            <w:vAlign w:val="bottom"/>
            <w:shd w:val="clear" w:color="auto" w:fill="FDF9F2"/>
          </w:tcPr>
          <w:p>
            <w:pPr>
              <w:spacing w:after="0"/>
              <w:rPr>
                <w:sz w:val="24"/>
                <w:szCs w:val="24"/>
                <w:color w:val="auto"/>
              </w:rPr>
            </w:pPr>
          </w:p>
        </w:tc>
        <w:tc>
          <w:tcPr>
            <w:tcW w:w="700" w:type="dxa"/>
            <w:vAlign w:val="bottom"/>
            <w:shd w:val="clear" w:color="auto" w:fill="FDF9F2"/>
          </w:tcPr>
          <w:p>
            <w:pPr>
              <w:spacing w:after="0"/>
              <w:rPr>
                <w:sz w:val="20"/>
                <w:szCs w:val="20"/>
                <w:color w:val="auto"/>
              </w:rPr>
            </w:pPr>
            <w:r>
              <w:rPr>
                <w:rFonts w:ascii="Arial" w:cs="Arial" w:eastAsia="Arial" w:hAnsi="Arial"/>
                <w:sz w:val="14"/>
                <w:szCs w:val="14"/>
                <w:color w:val="auto"/>
                <w:w w:val="96"/>
              </w:rPr>
              <w:t>05/11/2022</w:t>
            </w:r>
          </w:p>
        </w:tc>
        <w:tc>
          <w:tcPr>
            <w:tcW w:w="760" w:type="dxa"/>
            <w:vAlign w:val="bottom"/>
            <w:shd w:val="clear" w:color="auto" w:fill="FDF9F2"/>
          </w:tcPr>
          <w:p>
            <w:pPr>
              <w:jc w:val="right"/>
              <w:ind w:right="236"/>
              <w:spacing w:after="0"/>
              <w:rPr>
                <w:sz w:val="20"/>
                <w:szCs w:val="20"/>
                <w:color w:val="auto"/>
              </w:rPr>
            </w:pPr>
            <w:r>
              <w:rPr>
                <w:rFonts w:ascii="Arial" w:cs="Arial" w:eastAsia="Arial" w:hAnsi="Arial"/>
                <w:sz w:val="14"/>
                <w:szCs w:val="14"/>
                <w:color w:val="auto"/>
              </w:rPr>
              <w:t>-</w:t>
            </w:r>
          </w:p>
        </w:tc>
        <w:tc>
          <w:tcPr>
            <w:tcW w:w="780" w:type="dxa"/>
            <w:vAlign w:val="bottom"/>
            <w:shd w:val="clear" w:color="auto" w:fill="FDF9F2"/>
          </w:tcPr>
          <w:p>
            <w:pPr>
              <w:jc w:val="right"/>
              <w:ind w:right="254"/>
              <w:spacing w:after="0"/>
              <w:rPr>
                <w:sz w:val="20"/>
                <w:szCs w:val="20"/>
                <w:color w:val="auto"/>
              </w:rPr>
            </w:pPr>
            <w:r>
              <w:rPr>
                <w:rFonts w:ascii="Arial" w:cs="Arial" w:eastAsia="Arial" w:hAnsi="Arial"/>
                <w:sz w:val="14"/>
                <w:szCs w:val="14"/>
                <w:color w:val="auto"/>
              </w:rPr>
              <w:t>-</w:t>
            </w:r>
          </w:p>
        </w:tc>
        <w:tc>
          <w:tcPr>
            <w:tcW w:w="740" w:type="dxa"/>
            <w:vAlign w:val="bottom"/>
            <w:shd w:val="clear" w:color="auto" w:fill="FDF9F2"/>
          </w:tcPr>
          <w:p>
            <w:pPr>
              <w:jc w:val="right"/>
              <w:ind w:right="253"/>
              <w:spacing w:after="0"/>
              <w:rPr>
                <w:sz w:val="20"/>
                <w:szCs w:val="20"/>
                <w:color w:val="auto"/>
              </w:rPr>
            </w:pPr>
            <w:r>
              <w:rPr>
                <w:rFonts w:ascii="Arial" w:cs="Arial" w:eastAsia="Arial" w:hAnsi="Arial"/>
                <w:sz w:val="14"/>
                <w:szCs w:val="14"/>
                <w:color w:val="auto"/>
              </w:rPr>
              <w:t>-</w:t>
            </w:r>
          </w:p>
        </w:tc>
        <w:tc>
          <w:tcPr>
            <w:tcW w:w="700" w:type="dxa"/>
            <w:vAlign w:val="bottom"/>
            <w:shd w:val="clear" w:color="auto" w:fill="FDF9F2"/>
          </w:tcPr>
          <w:p>
            <w:pPr>
              <w:jc w:val="center"/>
              <w:spacing w:after="0"/>
              <w:rPr>
                <w:sz w:val="20"/>
                <w:szCs w:val="20"/>
                <w:color w:val="auto"/>
              </w:rPr>
            </w:pPr>
            <w:r>
              <w:rPr>
                <w:rFonts w:ascii="Arial" w:cs="Arial" w:eastAsia="Arial" w:hAnsi="Arial"/>
                <w:sz w:val="14"/>
                <w:szCs w:val="14"/>
                <w:color w:val="auto"/>
              </w:rPr>
              <w:t>-</w:t>
            </w:r>
          </w:p>
        </w:tc>
        <w:tc>
          <w:tcPr>
            <w:tcW w:w="78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5"/>
              </w:rPr>
              <w:t>10,383</w:t>
            </w:r>
            <w:r>
              <w:rPr>
                <w:rFonts w:ascii="Arial" w:cs="Arial" w:eastAsia="Arial" w:hAnsi="Arial"/>
                <w:sz w:val="17"/>
                <w:szCs w:val="17"/>
                <w:color w:val="auto"/>
                <w:w w:val="95"/>
                <w:vertAlign w:val="superscript"/>
              </w:rPr>
              <w:t>(6)</w:t>
            </w:r>
          </w:p>
        </w:tc>
        <w:tc>
          <w:tcPr>
            <w:tcW w:w="64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7"/>
              </w:rPr>
              <w:t>$18.56</w:t>
            </w:r>
          </w:p>
        </w:tc>
        <w:tc>
          <w:tcPr>
            <w:tcW w:w="76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8"/>
              </w:rPr>
              <w:t>$ 58.85</w:t>
            </w:r>
          </w:p>
        </w:tc>
        <w:tc>
          <w:tcPr>
            <w:tcW w:w="140" w:type="dxa"/>
            <w:vAlign w:val="bottom"/>
            <w:shd w:val="clear" w:color="auto" w:fill="FDF9F2"/>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FDF9F2"/>
          </w:tcPr>
          <w:p>
            <w:pPr>
              <w:jc w:val="right"/>
              <w:ind w:right="53"/>
              <w:spacing w:after="0"/>
              <w:rPr>
                <w:sz w:val="20"/>
                <w:szCs w:val="20"/>
                <w:color w:val="auto"/>
              </w:rPr>
            </w:pPr>
            <w:r>
              <w:rPr>
                <w:rFonts w:ascii="Arial" w:cs="Arial" w:eastAsia="Arial" w:hAnsi="Arial"/>
                <w:sz w:val="14"/>
                <w:szCs w:val="14"/>
                <w:color w:val="auto"/>
              </w:rPr>
              <w:t>192,708</w:t>
            </w:r>
          </w:p>
        </w:tc>
        <w:tc>
          <w:tcPr>
            <w:tcW w:w="0" w:type="dxa"/>
            <w:vAlign w:val="bottom"/>
          </w:tcPr>
          <w:p>
            <w:pPr>
              <w:spacing w:after="0"/>
              <w:rPr>
                <w:sz w:val="1"/>
                <w:szCs w:val="1"/>
                <w:color w:val="auto"/>
              </w:rPr>
            </w:pPr>
          </w:p>
        </w:tc>
      </w:tr>
    </w:tbl>
    <w:p>
      <w:pPr>
        <w:spacing w:after="0" w:line="111" w:lineRule="exact"/>
        <w:rPr>
          <w:sz w:val="20"/>
          <w:szCs w:val="20"/>
          <w:color w:val="auto"/>
        </w:rPr>
      </w:pPr>
    </w:p>
    <w:p>
      <w:pPr>
        <w:jc w:val="both"/>
        <w:ind w:left="320" w:right="20" w:hanging="4"/>
        <w:spacing w:after="0" w:line="226" w:lineRule="auto"/>
        <w:tabs>
          <w:tab w:leader="none" w:pos="502"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potential 2022 performance-based annual incentive awards that could have been earned for 2022 are subject to (a) the limitations set forth in the Omnibus Plan, including the cash and stock grant limits and continued employment through the end of the performance period, (b) the Compensation Committee’s ability to reduce awards in its discretion and (c) the Compensation Committee’s discretion to pay a portion of the awards in shares of Common Stock. Actual awards were based upon achievement of the following 2022 performance criteria: (i) achievement of a 2022 Encore Boston Harbor Adjusted Property EBITDAR goal; (ii) achievement of a 2022 Wynn Las Vegas Adjusted Property EBITDAR goal; (iii) achievement of Wynn Las Vegas GGR market share goal;</w:t>
      </w:r>
    </w:p>
    <w:p>
      <w:pPr>
        <w:ind w:left="320" w:right="340"/>
        <w:spacing w:after="0" w:line="235" w:lineRule="auto"/>
        <w:rPr>
          <w:rFonts w:ascii="Arial" w:cs="Arial" w:eastAsia="Arial" w:hAnsi="Arial"/>
          <w:sz w:val="12"/>
          <w:szCs w:val="12"/>
          <w:color w:val="auto"/>
        </w:rPr>
      </w:pPr>
      <w:r>
        <w:rPr>
          <w:rFonts w:ascii="Arial" w:cs="Arial" w:eastAsia="Arial" w:hAnsi="Arial"/>
          <w:sz w:val="12"/>
          <w:szCs w:val="12"/>
          <w:color w:val="auto"/>
        </w:rPr>
        <w:t>(iv) achievement of Macau operations GGR market share goal; (v) achievement of Forbes Five-Star at Wynn Las Vegas; (vi) successful concession renewal in Macau; and (vii) advancement of Design &amp; Development of the Wynn UAE project. Please refer to “Compensation Discussion and Analysis-How We Designed Incentives for 2022” for a description of each of the goals and achievement of performance against those goals.</w:t>
      </w:r>
    </w:p>
    <w:p>
      <w:pPr>
        <w:spacing w:after="0" w:line="88" w:lineRule="exact"/>
        <w:rPr>
          <w:rFonts w:ascii="Arial" w:cs="Arial" w:eastAsia="Arial" w:hAnsi="Arial"/>
          <w:sz w:val="12"/>
          <w:szCs w:val="12"/>
          <w:color w:val="auto"/>
        </w:rPr>
      </w:pPr>
    </w:p>
    <w:p>
      <w:pPr>
        <w:ind w:left="320" w:right="380" w:hanging="4"/>
        <w:spacing w:after="0" w:line="233" w:lineRule="auto"/>
        <w:tabs>
          <w:tab w:leader="none" w:pos="502"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amounts set forth in this column reflect the aggregate grant date fair value of stock awards and stock options computed in accordance with FASB ASC Topic 718. Performance-based restricted share awards in this column are reflected based on the probable outcome of such conditions as of the applicable grant date in accordance with accounting standards for stock-based compensation. See our Annual Report on Form 10-K for the year ended December 31, 2022, Item 8, Note 12 -“Stock-Based Compensation” to our Consolidated Financial Statements for assumptions used in computing fair value.</w:t>
      </w:r>
    </w:p>
    <w:p>
      <w:pPr>
        <w:spacing w:after="0" w:line="88" w:lineRule="exact"/>
        <w:rPr>
          <w:rFonts w:ascii="Arial" w:cs="Arial" w:eastAsia="Arial" w:hAnsi="Arial"/>
          <w:sz w:val="12"/>
          <w:szCs w:val="12"/>
          <w:color w:val="auto"/>
        </w:rPr>
      </w:pPr>
    </w:p>
    <w:p>
      <w:pPr>
        <w:ind w:left="500" w:hanging="184"/>
        <w:spacing w:after="0"/>
        <w:tabs>
          <w:tab w:leader="none" w:pos="50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Restricted stock award vests ratably on January 12, 2023, 2024 and 2025, subject to continued employment.</w:t>
      </w:r>
    </w:p>
    <w:p>
      <w:pPr>
        <w:spacing w:after="0" w:line="96" w:lineRule="exact"/>
        <w:rPr>
          <w:rFonts w:ascii="Arial" w:cs="Arial" w:eastAsia="Arial" w:hAnsi="Arial"/>
          <w:sz w:val="12"/>
          <w:szCs w:val="12"/>
          <w:color w:val="auto"/>
        </w:rPr>
      </w:pPr>
    </w:p>
    <w:p>
      <w:pPr>
        <w:ind w:left="320" w:right="60" w:hanging="4"/>
        <w:spacing w:after="0" w:line="233" w:lineRule="auto"/>
        <w:tabs>
          <w:tab w:leader="none" w:pos="502"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Restricted stock award vests ratably on February 28, 2023, 2024 and 2025 subject to the achievement of pre-established property-level revenue and Adjusted Property EBITDAR performance goals over a one-, two-, and three-year period, respectively, and in the case of Mr. Billings and Ms. Cameron-Doe subject to continued employment and in the case of Ms. Whittemore subject to performing service during any performance period and will continue to vest on the original vesting date if performance criteria are met even if Ms. Whittemore is no longer employed by the Company under certain conditions.</w:t>
      </w:r>
    </w:p>
    <w:p>
      <w:pPr>
        <w:spacing w:after="0" w:line="88" w:lineRule="exact"/>
        <w:rPr>
          <w:rFonts w:ascii="Arial" w:cs="Arial" w:eastAsia="Arial" w:hAnsi="Arial"/>
          <w:sz w:val="12"/>
          <w:szCs w:val="12"/>
          <w:color w:val="auto"/>
        </w:rPr>
      </w:pPr>
    </w:p>
    <w:p>
      <w:pPr>
        <w:ind w:left="320" w:right="180" w:hanging="4"/>
        <w:spacing w:after="0" w:line="235" w:lineRule="auto"/>
        <w:tabs>
          <w:tab w:leader="none" w:pos="502"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 connection with an employment agreement executed on December 7, 2021 and her appointment as Chief Financial Officer, Ms. Cameron-Doe received a partial make-whole grant of 34,033 shares of restricted stock intended to replace a portion of the forfeited restricted stock value she would have received should she have stayed with her previous employer. This grant vests ratably over three years on the anniversary dates from the date of the grant, subject to continued employment.</w:t>
      </w:r>
    </w:p>
    <w:p>
      <w:pPr>
        <w:spacing w:after="0" w:line="88" w:lineRule="exact"/>
        <w:rPr>
          <w:rFonts w:ascii="Arial" w:cs="Arial" w:eastAsia="Arial" w:hAnsi="Arial"/>
          <w:sz w:val="12"/>
          <w:szCs w:val="12"/>
          <w:color w:val="auto"/>
        </w:rPr>
      </w:pPr>
    </w:p>
    <w:p>
      <w:pPr>
        <w:ind w:left="320" w:right="40" w:hanging="4"/>
        <w:spacing w:after="0" w:line="235" w:lineRule="auto"/>
        <w:tabs>
          <w:tab w:leader="none" w:pos="502" w:val="left"/>
        </w:tabs>
        <w:numPr>
          <w:ilvl w:val="0"/>
          <w:numId w:val="41"/>
        </w:numPr>
        <w:rPr>
          <w:rFonts w:ascii="Arial" w:cs="Arial" w:eastAsia="Arial" w:hAnsi="Arial"/>
          <w:sz w:val="12"/>
          <w:szCs w:val="12"/>
          <w:color w:val="auto"/>
        </w:rPr>
      </w:pPr>
      <w:r>
        <w:rPr>
          <w:rFonts w:ascii="Arial" w:cs="Arial" w:eastAsia="Arial" w:hAnsi="Arial"/>
          <w:sz w:val="12"/>
          <w:szCs w:val="12"/>
          <w:color w:val="auto"/>
        </w:rPr>
        <w:t>On May 11, 2022, Mr. Billings, Ms. Cameron-Doe, and Ms. Whittemore elected to receive 35%, 33% and 33% of their remaining cash salary, respectively, in the form of a stock option grant with a term of three years. The number of options underlying each security was determined based on the fair value of the option on the date of grant. As these options were granted in lieu of cash for the calendar year 2022 base salary, the options vested in full on December 31, 2022.</w:t>
      </w:r>
    </w:p>
    <w:p>
      <w:pPr>
        <w:spacing w:after="0" w:line="138" w:lineRule="exact"/>
        <w:rPr>
          <w:rFonts w:ascii="Arial" w:cs="Arial" w:eastAsia="Arial" w:hAnsi="Arial"/>
          <w:sz w:val="12"/>
          <w:szCs w:val="12"/>
          <w:color w:val="auto"/>
        </w:rPr>
      </w:pPr>
    </w:p>
    <w:p>
      <w:pPr>
        <w:ind w:left="5680" w:hanging="164"/>
        <w:spacing w:after="0"/>
        <w:tabs>
          <w:tab w:leader="none" w:pos="5680" w:val="left"/>
        </w:tabs>
        <w:numPr>
          <w:ilvl w:val="1"/>
          <w:numId w:val="41"/>
        </w:numPr>
        <w:rPr>
          <w:rFonts w:ascii="Arial" w:cs="Arial" w:eastAsia="Arial" w:hAnsi="Arial"/>
          <w:sz w:val="14"/>
          <w:szCs w:val="14"/>
          <w:color w:val="auto"/>
        </w:rPr>
      </w:pPr>
      <w:r>
        <w:rPr>
          <w:rFonts w:ascii="Arial" w:cs="Arial" w:eastAsia="Arial" w:hAnsi="Arial"/>
          <w:sz w:val="14"/>
          <w:szCs w:val="14"/>
          <w:color w:val="auto"/>
        </w:rPr>
        <w:t>47 //</w:t>
      </w:r>
    </w:p>
    <w:p>
      <w:pPr>
        <w:sectPr>
          <w:pgSz w:w="11900" w:h="16838" w:orient="portrait"/>
          <w:cols w:equalWidth="0" w:num="1">
            <w:col w:w="10940"/>
          </w:cols>
          <w:pgMar w:left="320" w:top="473" w:right="6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auto"/>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162560</wp:posOffset>
            </wp:positionV>
            <wp:extent cx="6740525" cy="15862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40525" cy="1586230"/>
                    </a:xfrm>
                    <a:prstGeom prst="rect">
                      <a:avLst/>
                    </a:prstGeom>
                    <a:noFill/>
                  </pic:spPr>
                </pic:pic>
              </a:graphicData>
            </a:graphic>
          </wp:anchor>
        </w:drawing>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64"/>
        </w:trPr>
        <w:tc>
          <w:tcPr>
            <w:tcW w:w="1760" w:type="dxa"/>
            <w:vAlign w:val="bottom"/>
            <w:shd w:val="clear" w:color="auto" w:fill="DEDBD3"/>
          </w:tcPr>
          <w:p>
            <w:pPr>
              <w:spacing w:after="0"/>
              <w:rPr>
                <w:sz w:val="22"/>
                <w:szCs w:val="22"/>
                <w:color w:val="auto"/>
              </w:rPr>
            </w:pPr>
          </w:p>
        </w:tc>
        <w:tc>
          <w:tcPr>
            <w:tcW w:w="3460" w:type="dxa"/>
            <w:vAlign w:val="bottom"/>
            <w:shd w:val="clear" w:color="auto" w:fill="DEDBD3"/>
          </w:tcPr>
          <w:p>
            <w:pPr>
              <w:spacing w:after="0"/>
              <w:rPr>
                <w:sz w:val="22"/>
                <w:szCs w:val="22"/>
                <w:color w:val="auto"/>
              </w:rPr>
            </w:pPr>
          </w:p>
        </w:tc>
        <w:tc>
          <w:tcPr>
            <w:tcW w:w="60" w:type="dxa"/>
            <w:vAlign w:val="bottom"/>
            <w:shd w:val="clear" w:color="auto" w:fill="DEDBD3"/>
          </w:tcPr>
          <w:p>
            <w:pPr>
              <w:spacing w:after="0"/>
              <w:rPr>
                <w:sz w:val="22"/>
                <w:szCs w:val="22"/>
                <w:color w:val="auto"/>
              </w:rPr>
            </w:pPr>
          </w:p>
        </w:tc>
        <w:tc>
          <w:tcPr>
            <w:tcW w:w="880" w:type="dxa"/>
            <w:vAlign w:val="bottom"/>
            <w:shd w:val="clear" w:color="auto" w:fill="DEDBD3"/>
          </w:tcPr>
          <w:p>
            <w:pPr>
              <w:spacing w:after="0"/>
              <w:rPr>
                <w:sz w:val="22"/>
                <w:szCs w:val="22"/>
                <w:color w:val="auto"/>
              </w:rPr>
            </w:pPr>
          </w:p>
        </w:tc>
        <w:tc>
          <w:tcPr>
            <w:tcW w:w="1760" w:type="dxa"/>
            <w:vAlign w:val="bottom"/>
            <w:gridSpan w:val="2"/>
            <w:shd w:val="clear" w:color="auto" w:fill="DEDBD3"/>
          </w:tcPr>
          <w:p>
            <w:pPr>
              <w:ind w:left="400"/>
              <w:spacing w:after="0"/>
              <w:rPr>
                <w:sz w:val="20"/>
                <w:szCs w:val="20"/>
                <w:color w:val="auto"/>
              </w:rPr>
            </w:pPr>
            <w:r>
              <w:rPr>
                <w:rFonts w:ascii="Arial" w:cs="Arial" w:eastAsia="Arial" w:hAnsi="Arial"/>
                <w:sz w:val="10"/>
                <w:szCs w:val="10"/>
                <w:b w:val="1"/>
                <w:bCs w:val="1"/>
                <w:color w:val="auto"/>
              </w:rPr>
              <w:t>OPTION AWARDS</w:t>
            </w:r>
          </w:p>
        </w:tc>
        <w:tc>
          <w:tcPr>
            <w:tcW w:w="820" w:type="dxa"/>
            <w:vAlign w:val="bottom"/>
            <w:shd w:val="clear" w:color="auto" w:fill="DEDBD3"/>
          </w:tcPr>
          <w:p>
            <w:pPr>
              <w:spacing w:after="0"/>
              <w:rPr>
                <w:sz w:val="22"/>
                <w:szCs w:val="22"/>
                <w:color w:val="auto"/>
              </w:rPr>
            </w:pPr>
          </w:p>
        </w:tc>
        <w:tc>
          <w:tcPr>
            <w:tcW w:w="1880" w:type="dxa"/>
            <w:vAlign w:val="bottom"/>
            <w:gridSpan w:val="2"/>
            <w:shd w:val="clear" w:color="auto" w:fill="DEDBD3"/>
          </w:tcPr>
          <w:p>
            <w:pPr>
              <w:ind w:left="500"/>
              <w:spacing w:after="0"/>
              <w:rPr>
                <w:sz w:val="20"/>
                <w:szCs w:val="20"/>
                <w:color w:val="auto"/>
              </w:rPr>
            </w:pPr>
            <w:r>
              <w:rPr>
                <w:rFonts w:ascii="Arial" w:cs="Arial" w:eastAsia="Arial" w:hAnsi="Arial"/>
                <w:sz w:val="10"/>
                <w:szCs w:val="10"/>
                <w:b w:val="1"/>
                <w:bCs w:val="1"/>
                <w:color w:val="auto"/>
              </w:rPr>
              <w:t>STOCK AWARDS</w:t>
            </w:r>
          </w:p>
        </w:tc>
        <w:tc>
          <w:tcPr>
            <w:tcW w:w="0" w:type="dxa"/>
            <w:vAlign w:val="bottom"/>
          </w:tcPr>
          <w:p>
            <w:pPr>
              <w:spacing w:after="0"/>
              <w:rPr>
                <w:sz w:val="1"/>
                <w:szCs w:val="1"/>
                <w:color w:val="auto"/>
              </w:rPr>
            </w:pPr>
          </w:p>
        </w:tc>
      </w:tr>
      <w:tr>
        <w:trPr>
          <w:trHeight w:val="175"/>
        </w:trPr>
        <w:tc>
          <w:tcPr>
            <w:tcW w:w="1760" w:type="dxa"/>
            <w:vAlign w:val="bottom"/>
            <w:shd w:val="clear" w:color="auto" w:fill="DEDBD3"/>
          </w:tcPr>
          <w:p>
            <w:pPr>
              <w:spacing w:after="0"/>
              <w:rPr>
                <w:sz w:val="15"/>
                <w:szCs w:val="15"/>
                <w:color w:val="auto"/>
              </w:rPr>
            </w:pPr>
          </w:p>
        </w:tc>
        <w:tc>
          <w:tcPr>
            <w:tcW w:w="3460" w:type="dxa"/>
            <w:vAlign w:val="bottom"/>
            <w:shd w:val="clear" w:color="auto" w:fill="DEDBD3"/>
          </w:tcPr>
          <w:p>
            <w:pPr>
              <w:spacing w:after="0"/>
              <w:rPr>
                <w:sz w:val="15"/>
                <w:szCs w:val="15"/>
                <w:color w:val="auto"/>
              </w:rPr>
            </w:pPr>
          </w:p>
        </w:tc>
        <w:tc>
          <w:tcPr>
            <w:tcW w:w="60" w:type="dxa"/>
            <w:vAlign w:val="bottom"/>
            <w:shd w:val="clear" w:color="auto" w:fill="DEDBD3"/>
          </w:tcPr>
          <w:p>
            <w:pPr>
              <w:spacing w:after="0"/>
              <w:rPr>
                <w:sz w:val="15"/>
                <w:szCs w:val="15"/>
                <w:color w:val="auto"/>
              </w:rPr>
            </w:pPr>
          </w:p>
        </w:tc>
        <w:tc>
          <w:tcPr>
            <w:tcW w:w="88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NUMBER OF</w:t>
            </w:r>
          </w:p>
        </w:tc>
        <w:tc>
          <w:tcPr>
            <w:tcW w:w="104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NUMBER OF</w:t>
            </w:r>
          </w:p>
        </w:tc>
        <w:tc>
          <w:tcPr>
            <w:tcW w:w="720" w:type="dxa"/>
            <w:vAlign w:val="bottom"/>
            <w:shd w:val="clear" w:color="auto" w:fill="DEDBD3"/>
          </w:tcPr>
          <w:p>
            <w:pPr>
              <w:spacing w:after="0"/>
              <w:rPr>
                <w:sz w:val="15"/>
                <w:szCs w:val="15"/>
                <w:color w:val="auto"/>
              </w:rPr>
            </w:pPr>
          </w:p>
        </w:tc>
        <w:tc>
          <w:tcPr>
            <w:tcW w:w="820" w:type="dxa"/>
            <w:vAlign w:val="bottom"/>
            <w:shd w:val="clear" w:color="auto" w:fill="DEDBD3"/>
          </w:tcPr>
          <w:p>
            <w:pPr>
              <w:spacing w:after="0"/>
              <w:rPr>
                <w:sz w:val="15"/>
                <w:szCs w:val="15"/>
                <w:color w:val="auto"/>
              </w:rPr>
            </w:pPr>
          </w:p>
        </w:tc>
        <w:tc>
          <w:tcPr>
            <w:tcW w:w="840" w:type="dxa"/>
            <w:vAlign w:val="bottom"/>
            <w:shd w:val="clear" w:color="auto" w:fill="DEDBD3"/>
          </w:tcPr>
          <w:p>
            <w:pPr>
              <w:jc w:val="center"/>
              <w:spacing w:after="0"/>
              <w:rPr>
                <w:sz w:val="20"/>
                <w:szCs w:val="20"/>
                <w:color w:val="auto"/>
              </w:rPr>
            </w:pPr>
            <w:r>
              <w:rPr>
                <w:rFonts w:ascii="Arial" w:cs="Arial" w:eastAsia="Arial" w:hAnsi="Arial"/>
                <w:sz w:val="10"/>
                <w:szCs w:val="10"/>
                <w:color w:val="auto"/>
              </w:rPr>
              <w:t>NUMBER OF</w:t>
            </w:r>
          </w:p>
        </w:tc>
        <w:tc>
          <w:tcPr>
            <w:tcW w:w="1040" w:type="dxa"/>
            <w:vAlign w:val="bottom"/>
            <w:shd w:val="clear" w:color="auto" w:fill="DEDBD3"/>
          </w:tcPr>
          <w:p>
            <w:pPr>
              <w:jc w:val="center"/>
              <w:ind w:right="28"/>
              <w:spacing w:after="0"/>
              <w:rPr>
                <w:sz w:val="20"/>
                <w:szCs w:val="20"/>
                <w:color w:val="auto"/>
              </w:rPr>
            </w:pPr>
            <w:r>
              <w:rPr>
                <w:rFonts w:ascii="Arial" w:cs="Arial" w:eastAsia="Arial" w:hAnsi="Arial"/>
                <w:sz w:val="10"/>
                <w:szCs w:val="10"/>
                <w:color w:val="auto"/>
              </w:rPr>
              <w:t>MARKET VALUE</w:t>
            </w:r>
          </w:p>
        </w:tc>
        <w:tc>
          <w:tcPr>
            <w:tcW w:w="0" w:type="dxa"/>
            <w:vAlign w:val="bottom"/>
          </w:tcPr>
          <w:p>
            <w:pPr>
              <w:spacing w:after="0"/>
              <w:rPr>
                <w:sz w:val="1"/>
                <w:szCs w:val="1"/>
                <w:color w:val="auto"/>
              </w:rPr>
            </w:pPr>
          </w:p>
        </w:tc>
      </w:tr>
      <w:tr>
        <w:trPr>
          <w:trHeight w:val="39"/>
        </w:trPr>
        <w:tc>
          <w:tcPr>
            <w:tcW w:w="1760" w:type="dxa"/>
            <w:vAlign w:val="bottom"/>
            <w:shd w:val="clear" w:color="auto" w:fill="DEDBD3"/>
          </w:tcPr>
          <w:p>
            <w:pPr>
              <w:spacing w:after="0"/>
              <w:rPr>
                <w:sz w:val="3"/>
                <w:szCs w:val="3"/>
                <w:color w:val="auto"/>
              </w:rPr>
            </w:pPr>
          </w:p>
        </w:tc>
        <w:tc>
          <w:tcPr>
            <w:tcW w:w="3460" w:type="dxa"/>
            <w:vAlign w:val="bottom"/>
            <w:shd w:val="clear" w:color="auto" w:fill="DEDBD3"/>
          </w:tcPr>
          <w:p>
            <w:pPr>
              <w:spacing w:after="0"/>
              <w:rPr>
                <w:sz w:val="3"/>
                <w:szCs w:val="3"/>
                <w:color w:val="auto"/>
              </w:rPr>
            </w:pPr>
          </w:p>
        </w:tc>
        <w:tc>
          <w:tcPr>
            <w:tcW w:w="60" w:type="dxa"/>
            <w:vAlign w:val="bottom"/>
            <w:shd w:val="clear" w:color="auto" w:fill="DEDBD3"/>
          </w:tcPr>
          <w:p>
            <w:pPr>
              <w:spacing w:after="0"/>
              <w:rPr>
                <w:sz w:val="3"/>
                <w:szCs w:val="3"/>
                <w:color w:val="auto"/>
              </w:rPr>
            </w:pPr>
          </w:p>
        </w:tc>
        <w:tc>
          <w:tcPr>
            <w:tcW w:w="880" w:type="dxa"/>
            <w:vAlign w:val="bottom"/>
            <w:vMerge w:val="continue"/>
            <w:shd w:val="clear" w:color="auto" w:fill="DEDBD3"/>
          </w:tcPr>
          <w:p>
            <w:pPr>
              <w:spacing w:after="0"/>
              <w:rPr>
                <w:sz w:val="3"/>
                <w:szCs w:val="3"/>
                <w:color w:val="auto"/>
              </w:rPr>
            </w:pPr>
          </w:p>
        </w:tc>
        <w:tc>
          <w:tcPr>
            <w:tcW w:w="1040" w:type="dxa"/>
            <w:vAlign w:val="bottom"/>
            <w:vMerge w:val="continue"/>
            <w:shd w:val="clear" w:color="auto" w:fill="DEDBD3"/>
          </w:tcPr>
          <w:p>
            <w:pPr>
              <w:spacing w:after="0"/>
              <w:rPr>
                <w:sz w:val="3"/>
                <w:szCs w:val="3"/>
                <w:color w:val="auto"/>
              </w:rPr>
            </w:pPr>
          </w:p>
        </w:tc>
        <w:tc>
          <w:tcPr>
            <w:tcW w:w="720" w:type="dxa"/>
            <w:vAlign w:val="bottom"/>
            <w:shd w:val="clear" w:color="auto" w:fill="DEDBD3"/>
          </w:tcPr>
          <w:p>
            <w:pPr>
              <w:spacing w:after="0"/>
              <w:rPr>
                <w:sz w:val="3"/>
                <w:szCs w:val="3"/>
                <w:color w:val="auto"/>
              </w:rPr>
            </w:pPr>
          </w:p>
        </w:tc>
        <w:tc>
          <w:tcPr>
            <w:tcW w:w="820" w:type="dxa"/>
            <w:vAlign w:val="bottom"/>
            <w:shd w:val="clear" w:color="auto" w:fill="DEDBD3"/>
          </w:tcPr>
          <w:p>
            <w:pPr>
              <w:spacing w:after="0"/>
              <w:rPr>
                <w:sz w:val="3"/>
                <w:szCs w:val="3"/>
                <w:color w:val="auto"/>
              </w:rPr>
            </w:pPr>
          </w:p>
        </w:tc>
        <w:tc>
          <w:tcPr>
            <w:tcW w:w="84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SHARES OR</w:t>
            </w:r>
          </w:p>
        </w:tc>
        <w:tc>
          <w:tcPr>
            <w:tcW w:w="1040" w:type="dxa"/>
            <w:vAlign w:val="bottom"/>
            <w:vMerge w:val="restart"/>
            <w:shd w:val="clear" w:color="auto" w:fill="DEDBD3"/>
          </w:tcPr>
          <w:p>
            <w:pPr>
              <w:jc w:val="center"/>
              <w:ind w:right="28"/>
              <w:spacing w:after="0"/>
              <w:rPr>
                <w:sz w:val="20"/>
                <w:szCs w:val="20"/>
                <w:color w:val="auto"/>
              </w:rPr>
            </w:pPr>
            <w:r>
              <w:rPr>
                <w:rFonts w:ascii="Arial" w:cs="Arial" w:eastAsia="Arial" w:hAnsi="Arial"/>
                <w:sz w:val="10"/>
                <w:szCs w:val="10"/>
                <w:color w:val="auto"/>
              </w:rPr>
              <w:t>OF SHARES</w:t>
            </w:r>
          </w:p>
        </w:tc>
        <w:tc>
          <w:tcPr>
            <w:tcW w:w="0" w:type="dxa"/>
            <w:vAlign w:val="bottom"/>
          </w:tcPr>
          <w:p>
            <w:pPr>
              <w:spacing w:after="0" w:line="20" w:lineRule="exact"/>
              <w:rPr>
                <w:sz w:val="1"/>
                <w:szCs w:val="1"/>
                <w:color w:val="auto"/>
              </w:rPr>
            </w:pPr>
          </w:p>
        </w:tc>
      </w:tr>
      <w:tr>
        <w:trPr>
          <w:trHeight w:val="78"/>
        </w:trPr>
        <w:tc>
          <w:tcPr>
            <w:tcW w:w="1760" w:type="dxa"/>
            <w:vAlign w:val="bottom"/>
            <w:vMerge w:val="restart"/>
            <w:shd w:val="clear" w:color="auto" w:fill="DEDBD3"/>
          </w:tcPr>
          <w:p>
            <w:pPr>
              <w:ind w:left="60"/>
              <w:spacing w:after="0"/>
              <w:rPr>
                <w:sz w:val="20"/>
                <w:szCs w:val="20"/>
                <w:color w:val="auto"/>
              </w:rPr>
            </w:pPr>
            <w:r>
              <w:rPr>
                <w:rFonts w:ascii="Arial" w:cs="Arial" w:eastAsia="Arial" w:hAnsi="Arial"/>
                <w:sz w:val="10"/>
                <w:szCs w:val="10"/>
                <w:b w:val="1"/>
                <w:bCs w:val="1"/>
                <w:color w:val="auto"/>
              </w:rPr>
              <w:t>NAMED EXECUTIVE</w:t>
            </w:r>
          </w:p>
        </w:tc>
        <w:tc>
          <w:tcPr>
            <w:tcW w:w="3460" w:type="dxa"/>
            <w:vAlign w:val="bottom"/>
            <w:shd w:val="clear" w:color="auto" w:fill="DEDBD3"/>
          </w:tcPr>
          <w:p>
            <w:pPr>
              <w:spacing w:after="0"/>
              <w:rPr>
                <w:sz w:val="6"/>
                <w:szCs w:val="6"/>
                <w:color w:val="auto"/>
              </w:rPr>
            </w:pPr>
          </w:p>
        </w:tc>
        <w:tc>
          <w:tcPr>
            <w:tcW w:w="60" w:type="dxa"/>
            <w:vAlign w:val="bottom"/>
            <w:shd w:val="clear" w:color="auto" w:fill="DEDBD3"/>
          </w:tcPr>
          <w:p>
            <w:pPr>
              <w:spacing w:after="0"/>
              <w:rPr>
                <w:sz w:val="6"/>
                <w:szCs w:val="6"/>
                <w:color w:val="auto"/>
              </w:rPr>
            </w:pPr>
          </w:p>
        </w:tc>
        <w:tc>
          <w:tcPr>
            <w:tcW w:w="88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SECURITIES</w:t>
            </w:r>
          </w:p>
        </w:tc>
        <w:tc>
          <w:tcPr>
            <w:tcW w:w="104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SECURITIES</w:t>
            </w:r>
          </w:p>
        </w:tc>
        <w:tc>
          <w:tcPr>
            <w:tcW w:w="72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OPTION</w:t>
            </w:r>
          </w:p>
        </w:tc>
        <w:tc>
          <w:tcPr>
            <w:tcW w:w="82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OPTION</w:t>
            </w:r>
          </w:p>
        </w:tc>
        <w:tc>
          <w:tcPr>
            <w:tcW w:w="840" w:type="dxa"/>
            <w:vAlign w:val="bottom"/>
            <w:vMerge w:val="continue"/>
            <w:shd w:val="clear" w:color="auto" w:fill="DEDBD3"/>
          </w:tcPr>
          <w:p>
            <w:pPr>
              <w:spacing w:after="0"/>
              <w:rPr>
                <w:sz w:val="6"/>
                <w:szCs w:val="6"/>
                <w:color w:val="auto"/>
              </w:rPr>
            </w:pPr>
          </w:p>
        </w:tc>
        <w:tc>
          <w:tcPr>
            <w:tcW w:w="1040" w:type="dxa"/>
            <w:vAlign w:val="bottom"/>
            <w:vMerge w:val="continue"/>
            <w:shd w:val="clear" w:color="auto" w:fill="DEDBD3"/>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760" w:type="dxa"/>
            <w:vAlign w:val="bottom"/>
            <w:vMerge w:val="continue"/>
            <w:shd w:val="clear" w:color="auto" w:fill="DEDBD3"/>
          </w:tcPr>
          <w:p>
            <w:pPr>
              <w:spacing w:after="0"/>
              <w:rPr>
                <w:sz w:val="3"/>
                <w:szCs w:val="3"/>
                <w:color w:val="auto"/>
              </w:rPr>
            </w:pPr>
          </w:p>
        </w:tc>
        <w:tc>
          <w:tcPr>
            <w:tcW w:w="3460" w:type="dxa"/>
            <w:vAlign w:val="bottom"/>
            <w:shd w:val="clear" w:color="auto" w:fill="DEDBD3"/>
          </w:tcPr>
          <w:p>
            <w:pPr>
              <w:spacing w:after="0"/>
              <w:rPr>
                <w:sz w:val="3"/>
                <w:szCs w:val="3"/>
                <w:color w:val="auto"/>
              </w:rPr>
            </w:pPr>
          </w:p>
        </w:tc>
        <w:tc>
          <w:tcPr>
            <w:tcW w:w="60" w:type="dxa"/>
            <w:vAlign w:val="bottom"/>
            <w:shd w:val="clear" w:color="auto" w:fill="DEDBD3"/>
          </w:tcPr>
          <w:p>
            <w:pPr>
              <w:spacing w:after="0"/>
              <w:rPr>
                <w:sz w:val="3"/>
                <w:szCs w:val="3"/>
                <w:color w:val="auto"/>
              </w:rPr>
            </w:pPr>
          </w:p>
        </w:tc>
        <w:tc>
          <w:tcPr>
            <w:tcW w:w="880" w:type="dxa"/>
            <w:vAlign w:val="bottom"/>
            <w:vMerge w:val="continue"/>
            <w:shd w:val="clear" w:color="auto" w:fill="DEDBD3"/>
          </w:tcPr>
          <w:p>
            <w:pPr>
              <w:spacing w:after="0"/>
              <w:rPr>
                <w:sz w:val="3"/>
                <w:szCs w:val="3"/>
                <w:color w:val="auto"/>
              </w:rPr>
            </w:pPr>
          </w:p>
        </w:tc>
        <w:tc>
          <w:tcPr>
            <w:tcW w:w="1040" w:type="dxa"/>
            <w:vAlign w:val="bottom"/>
            <w:vMerge w:val="continue"/>
            <w:shd w:val="clear" w:color="auto" w:fill="DEDBD3"/>
          </w:tcPr>
          <w:p>
            <w:pPr>
              <w:spacing w:after="0"/>
              <w:rPr>
                <w:sz w:val="3"/>
                <w:szCs w:val="3"/>
                <w:color w:val="auto"/>
              </w:rPr>
            </w:pPr>
          </w:p>
        </w:tc>
        <w:tc>
          <w:tcPr>
            <w:tcW w:w="720" w:type="dxa"/>
            <w:vAlign w:val="bottom"/>
            <w:vMerge w:val="continue"/>
            <w:shd w:val="clear" w:color="auto" w:fill="DEDBD3"/>
          </w:tcPr>
          <w:p>
            <w:pPr>
              <w:spacing w:after="0"/>
              <w:rPr>
                <w:sz w:val="3"/>
                <w:szCs w:val="3"/>
                <w:color w:val="auto"/>
              </w:rPr>
            </w:pPr>
          </w:p>
        </w:tc>
        <w:tc>
          <w:tcPr>
            <w:tcW w:w="820" w:type="dxa"/>
            <w:vAlign w:val="bottom"/>
            <w:vMerge w:val="continue"/>
            <w:shd w:val="clear" w:color="auto" w:fill="DEDBD3"/>
          </w:tcPr>
          <w:p>
            <w:pPr>
              <w:spacing w:after="0"/>
              <w:rPr>
                <w:sz w:val="3"/>
                <w:szCs w:val="3"/>
                <w:color w:val="auto"/>
              </w:rPr>
            </w:pPr>
          </w:p>
        </w:tc>
        <w:tc>
          <w:tcPr>
            <w:tcW w:w="840" w:type="dxa"/>
            <w:vAlign w:val="bottom"/>
            <w:vMerge w:val="restart"/>
            <w:shd w:val="clear" w:color="auto" w:fill="DEDBD3"/>
          </w:tcPr>
          <w:p>
            <w:pPr>
              <w:jc w:val="center"/>
              <w:spacing w:after="0" w:line="94" w:lineRule="exact"/>
              <w:rPr>
                <w:sz w:val="20"/>
                <w:szCs w:val="20"/>
                <w:color w:val="auto"/>
              </w:rPr>
            </w:pPr>
            <w:r>
              <w:rPr>
                <w:rFonts w:ascii="Arial" w:cs="Arial" w:eastAsia="Arial" w:hAnsi="Arial"/>
                <w:sz w:val="10"/>
                <w:szCs w:val="10"/>
                <w:color w:val="auto"/>
              </w:rPr>
              <w:t>UNITS OF</w:t>
            </w:r>
          </w:p>
        </w:tc>
        <w:tc>
          <w:tcPr>
            <w:tcW w:w="1040" w:type="dxa"/>
            <w:vAlign w:val="bottom"/>
            <w:vMerge w:val="restart"/>
            <w:shd w:val="clear" w:color="auto" w:fill="DEDBD3"/>
          </w:tcPr>
          <w:p>
            <w:pPr>
              <w:jc w:val="center"/>
              <w:ind w:right="8"/>
              <w:spacing w:after="0" w:line="94" w:lineRule="exact"/>
              <w:rPr>
                <w:sz w:val="20"/>
                <w:szCs w:val="20"/>
                <w:color w:val="auto"/>
              </w:rPr>
            </w:pPr>
            <w:r>
              <w:rPr>
                <w:rFonts w:ascii="Arial" w:cs="Arial" w:eastAsia="Arial" w:hAnsi="Arial"/>
                <w:sz w:val="10"/>
                <w:szCs w:val="10"/>
                <w:color w:val="auto"/>
              </w:rPr>
              <w:t>OR UNITS</w:t>
            </w:r>
          </w:p>
        </w:tc>
        <w:tc>
          <w:tcPr>
            <w:tcW w:w="0" w:type="dxa"/>
            <w:vAlign w:val="bottom"/>
          </w:tcPr>
          <w:p>
            <w:pPr>
              <w:spacing w:after="0" w:line="20" w:lineRule="exact"/>
              <w:rPr>
                <w:sz w:val="1"/>
                <w:szCs w:val="1"/>
                <w:color w:val="auto"/>
              </w:rPr>
            </w:pPr>
          </w:p>
        </w:tc>
      </w:tr>
      <w:tr>
        <w:trPr>
          <w:trHeight w:val="55"/>
        </w:trPr>
        <w:tc>
          <w:tcPr>
            <w:tcW w:w="1760" w:type="dxa"/>
            <w:vAlign w:val="bottom"/>
            <w:vMerge w:val="continue"/>
            <w:shd w:val="clear" w:color="auto" w:fill="DEDBD3"/>
          </w:tcPr>
          <w:p>
            <w:pPr>
              <w:spacing w:after="0"/>
              <w:rPr>
                <w:sz w:val="4"/>
                <w:szCs w:val="4"/>
                <w:color w:val="auto"/>
              </w:rPr>
            </w:pPr>
          </w:p>
        </w:tc>
        <w:tc>
          <w:tcPr>
            <w:tcW w:w="3460" w:type="dxa"/>
            <w:vAlign w:val="bottom"/>
            <w:vMerge w:val="restart"/>
            <w:shd w:val="clear" w:color="auto" w:fill="DEDBD3"/>
          </w:tcPr>
          <w:p>
            <w:pPr>
              <w:ind w:left="160"/>
              <w:spacing w:after="0"/>
              <w:rPr>
                <w:sz w:val="20"/>
                <w:szCs w:val="20"/>
                <w:color w:val="auto"/>
              </w:rPr>
            </w:pPr>
            <w:r>
              <w:rPr>
                <w:rFonts w:ascii="Arial" w:cs="Arial" w:eastAsia="Arial" w:hAnsi="Arial"/>
                <w:sz w:val="10"/>
                <w:szCs w:val="10"/>
                <w:b w:val="1"/>
                <w:bCs w:val="1"/>
                <w:color w:val="auto"/>
              </w:rPr>
              <w:t>COMPANY</w:t>
            </w:r>
          </w:p>
        </w:tc>
        <w:tc>
          <w:tcPr>
            <w:tcW w:w="60" w:type="dxa"/>
            <w:vAlign w:val="bottom"/>
            <w:shd w:val="clear" w:color="auto" w:fill="DEDBD3"/>
          </w:tcPr>
          <w:p>
            <w:pPr>
              <w:spacing w:after="0"/>
              <w:rPr>
                <w:sz w:val="4"/>
                <w:szCs w:val="4"/>
                <w:color w:val="auto"/>
              </w:rPr>
            </w:pPr>
          </w:p>
        </w:tc>
        <w:tc>
          <w:tcPr>
            <w:tcW w:w="88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UNDERLYING</w:t>
            </w:r>
          </w:p>
        </w:tc>
        <w:tc>
          <w:tcPr>
            <w:tcW w:w="104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UNDERLYING</w:t>
            </w:r>
          </w:p>
        </w:tc>
        <w:tc>
          <w:tcPr>
            <w:tcW w:w="720" w:type="dxa"/>
            <w:vAlign w:val="bottom"/>
            <w:vMerge w:val="continue"/>
            <w:shd w:val="clear" w:color="auto" w:fill="DEDBD3"/>
          </w:tcPr>
          <w:p>
            <w:pPr>
              <w:spacing w:after="0"/>
              <w:rPr>
                <w:sz w:val="4"/>
                <w:szCs w:val="4"/>
                <w:color w:val="auto"/>
              </w:rPr>
            </w:pPr>
          </w:p>
        </w:tc>
        <w:tc>
          <w:tcPr>
            <w:tcW w:w="820" w:type="dxa"/>
            <w:vAlign w:val="bottom"/>
            <w:vMerge w:val="continue"/>
            <w:shd w:val="clear" w:color="auto" w:fill="DEDBD3"/>
          </w:tcPr>
          <w:p>
            <w:pPr>
              <w:spacing w:after="0"/>
              <w:rPr>
                <w:sz w:val="4"/>
                <w:szCs w:val="4"/>
                <w:color w:val="auto"/>
              </w:rPr>
            </w:pPr>
          </w:p>
        </w:tc>
        <w:tc>
          <w:tcPr>
            <w:tcW w:w="840" w:type="dxa"/>
            <w:vAlign w:val="bottom"/>
            <w:vMerge w:val="continue"/>
            <w:shd w:val="clear" w:color="auto" w:fill="DEDBD3"/>
          </w:tcPr>
          <w:p>
            <w:pPr>
              <w:spacing w:after="0"/>
              <w:rPr>
                <w:sz w:val="4"/>
                <w:szCs w:val="4"/>
                <w:color w:val="auto"/>
              </w:rPr>
            </w:pPr>
          </w:p>
        </w:tc>
        <w:tc>
          <w:tcPr>
            <w:tcW w:w="1040" w:type="dxa"/>
            <w:vAlign w:val="bottom"/>
            <w:vMerge w:val="continue"/>
            <w:shd w:val="clear" w:color="auto" w:fill="DEDBD3"/>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1760" w:type="dxa"/>
            <w:vAlign w:val="bottom"/>
            <w:vMerge w:val="restart"/>
            <w:shd w:val="clear" w:color="auto" w:fill="DEDBD3"/>
          </w:tcPr>
          <w:p>
            <w:pPr>
              <w:ind w:left="60"/>
              <w:spacing w:after="0"/>
              <w:rPr>
                <w:sz w:val="20"/>
                <w:szCs w:val="20"/>
                <w:color w:val="auto"/>
              </w:rPr>
            </w:pPr>
            <w:r>
              <w:rPr>
                <w:rFonts w:ascii="Arial" w:cs="Arial" w:eastAsia="Arial" w:hAnsi="Arial"/>
                <w:sz w:val="10"/>
                <w:szCs w:val="10"/>
                <w:b w:val="1"/>
                <w:bCs w:val="1"/>
                <w:color w:val="auto"/>
              </w:rPr>
              <w:t>OFFICER</w:t>
            </w:r>
          </w:p>
        </w:tc>
        <w:tc>
          <w:tcPr>
            <w:tcW w:w="3460" w:type="dxa"/>
            <w:vAlign w:val="bottom"/>
            <w:vMerge w:val="continue"/>
            <w:shd w:val="clear" w:color="auto" w:fill="DEDBD3"/>
          </w:tcPr>
          <w:p>
            <w:pPr>
              <w:spacing w:after="0"/>
              <w:rPr>
                <w:sz w:val="5"/>
                <w:szCs w:val="5"/>
                <w:color w:val="auto"/>
              </w:rPr>
            </w:pPr>
          </w:p>
        </w:tc>
        <w:tc>
          <w:tcPr>
            <w:tcW w:w="60" w:type="dxa"/>
            <w:vAlign w:val="bottom"/>
            <w:shd w:val="clear" w:color="auto" w:fill="DEDBD3"/>
          </w:tcPr>
          <w:p>
            <w:pPr>
              <w:spacing w:after="0"/>
              <w:rPr>
                <w:sz w:val="5"/>
                <w:szCs w:val="5"/>
                <w:color w:val="auto"/>
              </w:rPr>
            </w:pPr>
          </w:p>
        </w:tc>
        <w:tc>
          <w:tcPr>
            <w:tcW w:w="880" w:type="dxa"/>
            <w:vAlign w:val="bottom"/>
            <w:vMerge w:val="continue"/>
            <w:shd w:val="clear" w:color="auto" w:fill="DEDBD3"/>
          </w:tcPr>
          <w:p>
            <w:pPr>
              <w:spacing w:after="0"/>
              <w:rPr>
                <w:sz w:val="5"/>
                <w:szCs w:val="5"/>
                <w:color w:val="auto"/>
              </w:rPr>
            </w:pPr>
          </w:p>
        </w:tc>
        <w:tc>
          <w:tcPr>
            <w:tcW w:w="1040" w:type="dxa"/>
            <w:vAlign w:val="bottom"/>
            <w:vMerge w:val="continue"/>
            <w:shd w:val="clear" w:color="auto" w:fill="DEDBD3"/>
          </w:tcPr>
          <w:p>
            <w:pPr>
              <w:spacing w:after="0"/>
              <w:rPr>
                <w:sz w:val="5"/>
                <w:szCs w:val="5"/>
                <w:color w:val="auto"/>
              </w:rPr>
            </w:pPr>
          </w:p>
        </w:tc>
        <w:tc>
          <w:tcPr>
            <w:tcW w:w="72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EXERCISE</w:t>
            </w:r>
          </w:p>
        </w:tc>
        <w:tc>
          <w:tcPr>
            <w:tcW w:w="82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EXPIRATION</w:t>
            </w:r>
          </w:p>
        </w:tc>
        <w:tc>
          <w:tcPr>
            <w:tcW w:w="84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STOCK THAT</w:t>
            </w:r>
          </w:p>
        </w:tc>
        <w:tc>
          <w:tcPr>
            <w:tcW w:w="1040" w:type="dxa"/>
            <w:vAlign w:val="bottom"/>
            <w:vMerge w:val="restart"/>
            <w:shd w:val="clear" w:color="auto" w:fill="DEDBD3"/>
          </w:tcPr>
          <w:p>
            <w:pPr>
              <w:jc w:val="center"/>
              <w:ind w:right="8"/>
              <w:spacing w:after="0"/>
              <w:rPr>
                <w:sz w:val="20"/>
                <w:szCs w:val="20"/>
                <w:color w:val="auto"/>
              </w:rPr>
            </w:pPr>
            <w:r>
              <w:rPr>
                <w:rFonts w:ascii="Arial" w:cs="Arial" w:eastAsia="Arial" w:hAnsi="Arial"/>
                <w:sz w:val="10"/>
                <w:szCs w:val="10"/>
                <w:color w:val="auto"/>
              </w:rPr>
              <w:t>OF STOCK</w:t>
            </w:r>
          </w:p>
        </w:tc>
        <w:tc>
          <w:tcPr>
            <w:tcW w:w="0" w:type="dxa"/>
            <w:vAlign w:val="bottom"/>
          </w:tcPr>
          <w:p>
            <w:pPr>
              <w:spacing w:after="0"/>
              <w:rPr>
                <w:sz w:val="1"/>
                <w:szCs w:val="1"/>
                <w:color w:val="auto"/>
              </w:rPr>
            </w:pPr>
          </w:p>
        </w:tc>
      </w:tr>
      <w:tr>
        <w:trPr>
          <w:trHeight w:val="65"/>
        </w:trPr>
        <w:tc>
          <w:tcPr>
            <w:tcW w:w="1760" w:type="dxa"/>
            <w:vAlign w:val="bottom"/>
            <w:vMerge w:val="continue"/>
            <w:shd w:val="clear" w:color="auto" w:fill="DEDBD3"/>
          </w:tcPr>
          <w:p>
            <w:pPr>
              <w:spacing w:after="0"/>
              <w:rPr>
                <w:sz w:val="5"/>
                <w:szCs w:val="5"/>
                <w:color w:val="auto"/>
              </w:rPr>
            </w:pPr>
          </w:p>
        </w:tc>
        <w:tc>
          <w:tcPr>
            <w:tcW w:w="3460" w:type="dxa"/>
            <w:vAlign w:val="bottom"/>
            <w:shd w:val="clear" w:color="auto" w:fill="DEDBD3"/>
          </w:tcPr>
          <w:p>
            <w:pPr>
              <w:spacing w:after="0"/>
              <w:rPr>
                <w:sz w:val="5"/>
                <w:szCs w:val="5"/>
                <w:color w:val="auto"/>
              </w:rPr>
            </w:pPr>
          </w:p>
        </w:tc>
        <w:tc>
          <w:tcPr>
            <w:tcW w:w="60" w:type="dxa"/>
            <w:vAlign w:val="bottom"/>
            <w:shd w:val="clear" w:color="auto" w:fill="DEDBD3"/>
          </w:tcPr>
          <w:p>
            <w:pPr>
              <w:spacing w:after="0"/>
              <w:rPr>
                <w:sz w:val="5"/>
                <w:szCs w:val="5"/>
                <w:color w:val="auto"/>
              </w:rPr>
            </w:pPr>
          </w:p>
        </w:tc>
        <w:tc>
          <w:tcPr>
            <w:tcW w:w="88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UNEXERCISED</w:t>
            </w:r>
          </w:p>
        </w:tc>
        <w:tc>
          <w:tcPr>
            <w:tcW w:w="104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UNEXERCISED</w:t>
            </w:r>
          </w:p>
        </w:tc>
        <w:tc>
          <w:tcPr>
            <w:tcW w:w="720" w:type="dxa"/>
            <w:vAlign w:val="bottom"/>
            <w:vMerge w:val="continue"/>
            <w:shd w:val="clear" w:color="auto" w:fill="DEDBD3"/>
          </w:tcPr>
          <w:p>
            <w:pPr>
              <w:spacing w:after="0"/>
              <w:rPr>
                <w:sz w:val="5"/>
                <w:szCs w:val="5"/>
                <w:color w:val="auto"/>
              </w:rPr>
            </w:pPr>
          </w:p>
        </w:tc>
        <w:tc>
          <w:tcPr>
            <w:tcW w:w="820" w:type="dxa"/>
            <w:vAlign w:val="bottom"/>
            <w:vMerge w:val="continue"/>
            <w:shd w:val="clear" w:color="auto" w:fill="DEDBD3"/>
          </w:tcPr>
          <w:p>
            <w:pPr>
              <w:spacing w:after="0"/>
              <w:rPr>
                <w:sz w:val="5"/>
                <w:szCs w:val="5"/>
                <w:color w:val="auto"/>
              </w:rPr>
            </w:pPr>
          </w:p>
        </w:tc>
        <w:tc>
          <w:tcPr>
            <w:tcW w:w="840" w:type="dxa"/>
            <w:vAlign w:val="bottom"/>
            <w:vMerge w:val="continue"/>
            <w:shd w:val="clear" w:color="auto" w:fill="DEDBD3"/>
          </w:tcPr>
          <w:p>
            <w:pPr>
              <w:spacing w:after="0"/>
              <w:rPr>
                <w:sz w:val="5"/>
                <w:szCs w:val="5"/>
                <w:color w:val="auto"/>
              </w:rPr>
            </w:pPr>
          </w:p>
        </w:tc>
        <w:tc>
          <w:tcPr>
            <w:tcW w:w="1040" w:type="dxa"/>
            <w:vAlign w:val="bottom"/>
            <w:vMerge w:val="continue"/>
            <w:shd w:val="clear" w:color="auto" w:fill="DEDBD3"/>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1760" w:type="dxa"/>
            <w:vAlign w:val="bottom"/>
            <w:shd w:val="clear" w:color="auto" w:fill="DEDBD3"/>
          </w:tcPr>
          <w:p>
            <w:pPr>
              <w:spacing w:after="0"/>
              <w:rPr>
                <w:sz w:val="4"/>
                <w:szCs w:val="4"/>
                <w:color w:val="auto"/>
              </w:rPr>
            </w:pPr>
          </w:p>
        </w:tc>
        <w:tc>
          <w:tcPr>
            <w:tcW w:w="3460" w:type="dxa"/>
            <w:vAlign w:val="bottom"/>
            <w:shd w:val="clear" w:color="auto" w:fill="DEDBD3"/>
          </w:tcPr>
          <w:p>
            <w:pPr>
              <w:spacing w:after="0"/>
              <w:rPr>
                <w:sz w:val="4"/>
                <w:szCs w:val="4"/>
                <w:color w:val="auto"/>
              </w:rPr>
            </w:pPr>
          </w:p>
        </w:tc>
        <w:tc>
          <w:tcPr>
            <w:tcW w:w="60" w:type="dxa"/>
            <w:vAlign w:val="bottom"/>
            <w:shd w:val="clear" w:color="auto" w:fill="DEDBD3"/>
          </w:tcPr>
          <w:p>
            <w:pPr>
              <w:spacing w:after="0"/>
              <w:rPr>
                <w:sz w:val="4"/>
                <w:szCs w:val="4"/>
                <w:color w:val="auto"/>
              </w:rPr>
            </w:pPr>
          </w:p>
        </w:tc>
        <w:tc>
          <w:tcPr>
            <w:tcW w:w="880" w:type="dxa"/>
            <w:vAlign w:val="bottom"/>
            <w:vMerge w:val="continue"/>
            <w:shd w:val="clear" w:color="auto" w:fill="DEDBD3"/>
          </w:tcPr>
          <w:p>
            <w:pPr>
              <w:spacing w:after="0"/>
              <w:rPr>
                <w:sz w:val="4"/>
                <w:szCs w:val="4"/>
                <w:color w:val="auto"/>
              </w:rPr>
            </w:pPr>
          </w:p>
        </w:tc>
        <w:tc>
          <w:tcPr>
            <w:tcW w:w="1040" w:type="dxa"/>
            <w:vAlign w:val="bottom"/>
            <w:vMerge w:val="continue"/>
            <w:shd w:val="clear" w:color="auto" w:fill="DEDBD3"/>
          </w:tcPr>
          <w:p>
            <w:pPr>
              <w:spacing w:after="0"/>
              <w:rPr>
                <w:sz w:val="4"/>
                <w:szCs w:val="4"/>
                <w:color w:val="auto"/>
              </w:rPr>
            </w:pPr>
          </w:p>
        </w:tc>
        <w:tc>
          <w:tcPr>
            <w:tcW w:w="72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PRICE ($)</w:t>
            </w:r>
          </w:p>
        </w:tc>
        <w:tc>
          <w:tcPr>
            <w:tcW w:w="82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DATE</w:t>
            </w:r>
          </w:p>
        </w:tc>
        <w:tc>
          <w:tcPr>
            <w:tcW w:w="84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HAVE NOT</w:t>
            </w:r>
          </w:p>
        </w:tc>
        <w:tc>
          <w:tcPr>
            <w:tcW w:w="1040" w:type="dxa"/>
            <w:vAlign w:val="bottom"/>
            <w:vMerge w:val="restart"/>
            <w:shd w:val="clear" w:color="auto" w:fill="DEDBD3"/>
          </w:tcPr>
          <w:p>
            <w:pPr>
              <w:jc w:val="center"/>
              <w:ind w:right="28"/>
              <w:spacing w:after="0"/>
              <w:rPr>
                <w:sz w:val="20"/>
                <w:szCs w:val="20"/>
                <w:color w:val="auto"/>
              </w:rPr>
            </w:pPr>
            <w:r>
              <w:rPr>
                <w:rFonts w:ascii="Arial" w:cs="Arial" w:eastAsia="Arial" w:hAnsi="Arial"/>
                <w:sz w:val="10"/>
                <w:szCs w:val="10"/>
                <w:color w:val="auto"/>
                <w:w w:val="99"/>
              </w:rPr>
              <w:t>THAT HAVE</w:t>
            </w:r>
          </w:p>
        </w:tc>
        <w:tc>
          <w:tcPr>
            <w:tcW w:w="0" w:type="dxa"/>
            <w:vAlign w:val="bottom"/>
          </w:tcPr>
          <w:p>
            <w:pPr>
              <w:spacing w:after="0"/>
              <w:rPr>
                <w:sz w:val="1"/>
                <w:szCs w:val="1"/>
                <w:color w:val="auto"/>
              </w:rPr>
            </w:pPr>
          </w:p>
        </w:tc>
      </w:tr>
      <w:tr>
        <w:trPr>
          <w:trHeight w:val="78"/>
        </w:trPr>
        <w:tc>
          <w:tcPr>
            <w:tcW w:w="1760" w:type="dxa"/>
            <w:vAlign w:val="bottom"/>
            <w:shd w:val="clear" w:color="auto" w:fill="DEDBD3"/>
          </w:tcPr>
          <w:p>
            <w:pPr>
              <w:spacing w:after="0"/>
              <w:rPr>
                <w:sz w:val="6"/>
                <w:szCs w:val="6"/>
                <w:color w:val="auto"/>
              </w:rPr>
            </w:pPr>
          </w:p>
        </w:tc>
        <w:tc>
          <w:tcPr>
            <w:tcW w:w="3460" w:type="dxa"/>
            <w:vAlign w:val="bottom"/>
            <w:shd w:val="clear" w:color="auto" w:fill="DEDBD3"/>
          </w:tcPr>
          <w:p>
            <w:pPr>
              <w:spacing w:after="0"/>
              <w:rPr>
                <w:sz w:val="6"/>
                <w:szCs w:val="6"/>
                <w:color w:val="auto"/>
              </w:rPr>
            </w:pPr>
          </w:p>
        </w:tc>
        <w:tc>
          <w:tcPr>
            <w:tcW w:w="60" w:type="dxa"/>
            <w:vAlign w:val="bottom"/>
            <w:shd w:val="clear" w:color="auto" w:fill="DEDBD3"/>
          </w:tcPr>
          <w:p>
            <w:pPr>
              <w:spacing w:after="0"/>
              <w:rPr>
                <w:sz w:val="6"/>
                <w:szCs w:val="6"/>
                <w:color w:val="auto"/>
              </w:rPr>
            </w:pPr>
          </w:p>
        </w:tc>
        <w:tc>
          <w:tcPr>
            <w:tcW w:w="88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OPTIONS (#)</w:t>
            </w:r>
          </w:p>
        </w:tc>
        <w:tc>
          <w:tcPr>
            <w:tcW w:w="104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OPTIONS (#)</w:t>
            </w:r>
          </w:p>
        </w:tc>
        <w:tc>
          <w:tcPr>
            <w:tcW w:w="720" w:type="dxa"/>
            <w:vAlign w:val="bottom"/>
            <w:vMerge w:val="continue"/>
            <w:shd w:val="clear" w:color="auto" w:fill="DEDBD3"/>
          </w:tcPr>
          <w:p>
            <w:pPr>
              <w:spacing w:after="0"/>
              <w:rPr>
                <w:sz w:val="6"/>
                <w:szCs w:val="6"/>
                <w:color w:val="auto"/>
              </w:rPr>
            </w:pPr>
          </w:p>
        </w:tc>
        <w:tc>
          <w:tcPr>
            <w:tcW w:w="820" w:type="dxa"/>
            <w:vAlign w:val="bottom"/>
            <w:vMerge w:val="continue"/>
            <w:shd w:val="clear" w:color="auto" w:fill="DEDBD3"/>
          </w:tcPr>
          <w:p>
            <w:pPr>
              <w:spacing w:after="0"/>
              <w:rPr>
                <w:sz w:val="6"/>
                <w:szCs w:val="6"/>
                <w:color w:val="auto"/>
              </w:rPr>
            </w:pPr>
          </w:p>
        </w:tc>
        <w:tc>
          <w:tcPr>
            <w:tcW w:w="840" w:type="dxa"/>
            <w:vAlign w:val="bottom"/>
            <w:vMerge w:val="continue"/>
            <w:shd w:val="clear" w:color="auto" w:fill="DEDBD3"/>
          </w:tcPr>
          <w:p>
            <w:pPr>
              <w:spacing w:after="0"/>
              <w:rPr>
                <w:sz w:val="6"/>
                <w:szCs w:val="6"/>
                <w:color w:val="auto"/>
              </w:rPr>
            </w:pPr>
          </w:p>
        </w:tc>
        <w:tc>
          <w:tcPr>
            <w:tcW w:w="1040" w:type="dxa"/>
            <w:vAlign w:val="bottom"/>
            <w:vMerge w:val="continue"/>
            <w:shd w:val="clear" w:color="auto" w:fill="DEDBD3"/>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760" w:type="dxa"/>
            <w:vAlign w:val="bottom"/>
            <w:shd w:val="clear" w:color="auto" w:fill="DEDBD3"/>
          </w:tcPr>
          <w:p>
            <w:pPr>
              <w:spacing w:after="0"/>
              <w:rPr>
                <w:sz w:val="3"/>
                <w:szCs w:val="3"/>
                <w:color w:val="auto"/>
              </w:rPr>
            </w:pPr>
          </w:p>
        </w:tc>
        <w:tc>
          <w:tcPr>
            <w:tcW w:w="3460" w:type="dxa"/>
            <w:vAlign w:val="bottom"/>
            <w:shd w:val="clear" w:color="auto" w:fill="DEDBD3"/>
          </w:tcPr>
          <w:p>
            <w:pPr>
              <w:spacing w:after="0"/>
              <w:rPr>
                <w:sz w:val="3"/>
                <w:szCs w:val="3"/>
                <w:color w:val="auto"/>
              </w:rPr>
            </w:pPr>
          </w:p>
        </w:tc>
        <w:tc>
          <w:tcPr>
            <w:tcW w:w="60" w:type="dxa"/>
            <w:vAlign w:val="bottom"/>
            <w:shd w:val="clear" w:color="auto" w:fill="DEDBD3"/>
          </w:tcPr>
          <w:p>
            <w:pPr>
              <w:spacing w:after="0"/>
              <w:rPr>
                <w:sz w:val="3"/>
                <w:szCs w:val="3"/>
                <w:color w:val="auto"/>
              </w:rPr>
            </w:pPr>
          </w:p>
        </w:tc>
        <w:tc>
          <w:tcPr>
            <w:tcW w:w="880" w:type="dxa"/>
            <w:vAlign w:val="bottom"/>
            <w:vMerge w:val="continue"/>
            <w:shd w:val="clear" w:color="auto" w:fill="DEDBD3"/>
          </w:tcPr>
          <w:p>
            <w:pPr>
              <w:spacing w:after="0"/>
              <w:rPr>
                <w:sz w:val="3"/>
                <w:szCs w:val="3"/>
                <w:color w:val="auto"/>
              </w:rPr>
            </w:pPr>
          </w:p>
        </w:tc>
        <w:tc>
          <w:tcPr>
            <w:tcW w:w="1040" w:type="dxa"/>
            <w:vAlign w:val="bottom"/>
            <w:vMerge w:val="continue"/>
            <w:shd w:val="clear" w:color="auto" w:fill="DEDBD3"/>
          </w:tcPr>
          <w:p>
            <w:pPr>
              <w:spacing w:after="0"/>
              <w:rPr>
                <w:sz w:val="3"/>
                <w:szCs w:val="3"/>
                <w:color w:val="auto"/>
              </w:rPr>
            </w:pPr>
          </w:p>
        </w:tc>
        <w:tc>
          <w:tcPr>
            <w:tcW w:w="720" w:type="dxa"/>
            <w:vAlign w:val="bottom"/>
            <w:shd w:val="clear" w:color="auto" w:fill="DEDBD3"/>
          </w:tcPr>
          <w:p>
            <w:pPr>
              <w:spacing w:after="0"/>
              <w:rPr>
                <w:sz w:val="3"/>
                <w:szCs w:val="3"/>
                <w:color w:val="auto"/>
              </w:rPr>
            </w:pPr>
          </w:p>
        </w:tc>
        <w:tc>
          <w:tcPr>
            <w:tcW w:w="820" w:type="dxa"/>
            <w:vAlign w:val="bottom"/>
            <w:shd w:val="clear" w:color="auto" w:fill="DEDBD3"/>
          </w:tcPr>
          <w:p>
            <w:pPr>
              <w:spacing w:after="0"/>
              <w:rPr>
                <w:sz w:val="3"/>
                <w:szCs w:val="3"/>
                <w:color w:val="auto"/>
              </w:rPr>
            </w:pPr>
          </w:p>
        </w:tc>
        <w:tc>
          <w:tcPr>
            <w:tcW w:w="84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VESTED</w:t>
            </w:r>
          </w:p>
        </w:tc>
        <w:tc>
          <w:tcPr>
            <w:tcW w:w="1040" w:type="dxa"/>
            <w:vAlign w:val="bottom"/>
            <w:vMerge w:val="restart"/>
            <w:shd w:val="clear" w:color="auto" w:fill="DEDBD3"/>
          </w:tcPr>
          <w:p>
            <w:pPr>
              <w:jc w:val="center"/>
              <w:ind w:right="8"/>
              <w:spacing w:after="0"/>
              <w:rPr>
                <w:sz w:val="20"/>
                <w:szCs w:val="20"/>
                <w:color w:val="auto"/>
              </w:rPr>
            </w:pPr>
            <w:r>
              <w:rPr>
                <w:rFonts w:ascii="Arial" w:cs="Arial" w:eastAsia="Arial" w:hAnsi="Arial"/>
                <w:sz w:val="10"/>
                <w:szCs w:val="10"/>
                <w:color w:val="auto"/>
              </w:rPr>
              <w:t>NOT VESTED</w:t>
            </w:r>
          </w:p>
        </w:tc>
        <w:tc>
          <w:tcPr>
            <w:tcW w:w="0" w:type="dxa"/>
            <w:vAlign w:val="bottom"/>
          </w:tcPr>
          <w:p>
            <w:pPr>
              <w:spacing w:after="0" w:line="20" w:lineRule="exact"/>
              <w:rPr>
                <w:sz w:val="1"/>
                <w:szCs w:val="1"/>
                <w:color w:val="auto"/>
              </w:rPr>
            </w:pPr>
          </w:p>
        </w:tc>
      </w:tr>
      <w:tr>
        <w:trPr>
          <w:trHeight w:val="78"/>
        </w:trPr>
        <w:tc>
          <w:tcPr>
            <w:tcW w:w="1760" w:type="dxa"/>
            <w:vAlign w:val="bottom"/>
            <w:shd w:val="clear" w:color="auto" w:fill="DEDBD3"/>
          </w:tcPr>
          <w:p>
            <w:pPr>
              <w:spacing w:after="0"/>
              <w:rPr>
                <w:sz w:val="6"/>
                <w:szCs w:val="6"/>
                <w:color w:val="auto"/>
              </w:rPr>
            </w:pPr>
          </w:p>
        </w:tc>
        <w:tc>
          <w:tcPr>
            <w:tcW w:w="3460" w:type="dxa"/>
            <w:vAlign w:val="bottom"/>
            <w:shd w:val="clear" w:color="auto" w:fill="DEDBD3"/>
          </w:tcPr>
          <w:p>
            <w:pPr>
              <w:spacing w:after="0"/>
              <w:rPr>
                <w:sz w:val="6"/>
                <w:szCs w:val="6"/>
                <w:color w:val="auto"/>
              </w:rPr>
            </w:pPr>
          </w:p>
        </w:tc>
        <w:tc>
          <w:tcPr>
            <w:tcW w:w="60" w:type="dxa"/>
            <w:vAlign w:val="bottom"/>
            <w:shd w:val="clear" w:color="auto" w:fill="DEDBD3"/>
          </w:tcPr>
          <w:p>
            <w:pPr>
              <w:spacing w:after="0"/>
              <w:rPr>
                <w:sz w:val="6"/>
                <w:szCs w:val="6"/>
                <w:color w:val="auto"/>
              </w:rPr>
            </w:pPr>
          </w:p>
        </w:tc>
        <w:tc>
          <w:tcPr>
            <w:tcW w:w="88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EXERCISABLE</w:t>
            </w:r>
          </w:p>
        </w:tc>
        <w:tc>
          <w:tcPr>
            <w:tcW w:w="104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rPr>
              <w:t>UNEXERCISABLE</w:t>
            </w:r>
          </w:p>
        </w:tc>
        <w:tc>
          <w:tcPr>
            <w:tcW w:w="720" w:type="dxa"/>
            <w:vAlign w:val="bottom"/>
            <w:shd w:val="clear" w:color="auto" w:fill="DEDBD3"/>
          </w:tcPr>
          <w:p>
            <w:pPr>
              <w:spacing w:after="0"/>
              <w:rPr>
                <w:sz w:val="6"/>
                <w:szCs w:val="6"/>
                <w:color w:val="auto"/>
              </w:rPr>
            </w:pPr>
          </w:p>
        </w:tc>
        <w:tc>
          <w:tcPr>
            <w:tcW w:w="820" w:type="dxa"/>
            <w:vAlign w:val="bottom"/>
            <w:shd w:val="clear" w:color="auto" w:fill="DEDBD3"/>
          </w:tcPr>
          <w:p>
            <w:pPr>
              <w:spacing w:after="0"/>
              <w:rPr>
                <w:sz w:val="6"/>
                <w:szCs w:val="6"/>
                <w:color w:val="auto"/>
              </w:rPr>
            </w:pPr>
          </w:p>
        </w:tc>
        <w:tc>
          <w:tcPr>
            <w:tcW w:w="840" w:type="dxa"/>
            <w:vAlign w:val="bottom"/>
            <w:vMerge w:val="continue"/>
            <w:shd w:val="clear" w:color="auto" w:fill="DEDBD3"/>
          </w:tcPr>
          <w:p>
            <w:pPr>
              <w:spacing w:after="0"/>
              <w:rPr>
                <w:sz w:val="6"/>
                <w:szCs w:val="6"/>
                <w:color w:val="auto"/>
              </w:rPr>
            </w:pPr>
          </w:p>
        </w:tc>
        <w:tc>
          <w:tcPr>
            <w:tcW w:w="1040" w:type="dxa"/>
            <w:vAlign w:val="bottom"/>
            <w:vMerge w:val="continue"/>
            <w:shd w:val="clear" w:color="auto" w:fill="DEDBD3"/>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1760" w:type="dxa"/>
            <w:vAlign w:val="bottom"/>
            <w:shd w:val="clear" w:color="auto" w:fill="DEDBD3"/>
          </w:tcPr>
          <w:p>
            <w:pPr>
              <w:spacing w:after="0"/>
              <w:rPr>
                <w:sz w:val="4"/>
                <w:szCs w:val="4"/>
                <w:color w:val="auto"/>
              </w:rPr>
            </w:pPr>
          </w:p>
        </w:tc>
        <w:tc>
          <w:tcPr>
            <w:tcW w:w="3460" w:type="dxa"/>
            <w:vAlign w:val="bottom"/>
            <w:shd w:val="clear" w:color="auto" w:fill="DEDBD3"/>
          </w:tcPr>
          <w:p>
            <w:pPr>
              <w:spacing w:after="0"/>
              <w:rPr>
                <w:sz w:val="4"/>
                <w:szCs w:val="4"/>
                <w:color w:val="auto"/>
              </w:rPr>
            </w:pPr>
          </w:p>
        </w:tc>
        <w:tc>
          <w:tcPr>
            <w:tcW w:w="60" w:type="dxa"/>
            <w:vAlign w:val="bottom"/>
            <w:shd w:val="clear" w:color="auto" w:fill="DEDBD3"/>
          </w:tcPr>
          <w:p>
            <w:pPr>
              <w:spacing w:after="0"/>
              <w:rPr>
                <w:sz w:val="4"/>
                <w:szCs w:val="4"/>
                <w:color w:val="auto"/>
              </w:rPr>
            </w:pPr>
          </w:p>
        </w:tc>
        <w:tc>
          <w:tcPr>
            <w:tcW w:w="880" w:type="dxa"/>
            <w:vAlign w:val="bottom"/>
            <w:vMerge w:val="continue"/>
            <w:shd w:val="clear" w:color="auto" w:fill="DEDBD3"/>
          </w:tcPr>
          <w:p>
            <w:pPr>
              <w:spacing w:after="0"/>
              <w:rPr>
                <w:sz w:val="4"/>
                <w:szCs w:val="4"/>
                <w:color w:val="auto"/>
              </w:rPr>
            </w:pPr>
          </w:p>
        </w:tc>
        <w:tc>
          <w:tcPr>
            <w:tcW w:w="1040" w:type="dxa"/>
            <w:vAlign w:val="bottom"/>
            <w:vMerge w:val="continue"/>
            <w:shd w:val="clear" w:color="auto" w:fill="DEDBD3"/>
          </w:tcPr>
          <w:p>
            <w:pPr>
              <w:spacing w:after="0"/>
              <w:rPr>
                <w:sz w:val="4"/>
                <w:szCs w:val="4"/>
                <w:color w:val="auto"/>
              </w:rPr>
            </w:pPr>
          </w:p>
        </w:tc>
        <w:tc>
          <w:tcPr>
            <w:tcW w:w="720" w:type="dxa"/>
            <w:vAlign w:val="bottom"/>
            <w:shd w:val="clear" w:color="auto" w:fill="DEDBD3"/>
          </w:tcPr>
          <w:p>
            <w:pPr>
              <w:spacing w:after="0"/>
              <w:rPr>
                <w:sz w:val="4"/>
                <w:szCs w:val="4"/>
                <w:color w:val="auto"/>
              </w:rPr>
            </w:pPr>
          </w:p>
        </w:tc>
        <w:tc>
          <w:tcPr>
            <w:tcW w:w="820" w:type="dxa"/>
            <w:vAlign w:val="bottom"/>
            <w:shd w:val="clear" w:color="auto" w:fill="DEDBD3"/>
          </w:tcPr>
          <w:p>
            <w:pPr>
              <w:spacing w:after="0"/>
              <w:rPr>
                <w:sz w:val="4"/>
                <w:szCs w:val="4"/>
                <w:color w:val="auto"/>
              </w:rPr>
            </w:pPr>
          </w:p>
        </w:tc>
        <w:tc>
          <w:tcPr>
            <w:tcW w:w="840" w:type="dxa"/>
            <w:vAlign w:val="bottom"/>
            <w:vMerge w:val="restart"/>
            <w:shd w:val="clear" w:color="auto" w:fill="DEDBD3"/>
          </w:tcPr>
          <w:p>
            <w:pPr>
              <w:jc w:val="center"/>
              <w:spacing w:after="0"/>
              <w:rPr>
                <w:sz w:val="20"/>
                <w:szCs w:val="20"/>
                <w:color w:val="auto"/>
              </w:rPr>
            </w:pPr>
            <w:r>
              <w:rPr>
                <w:rFonts w:ascii="Arial" w:cs="Arial" w:eastAsia="Arial" w:hAnsi="Arial"/>
                <w:sz w:val="10"/>
                <w:szCs w:val="10"/>
                <w:color w:val="auto"/>
                <w:w w:val="97"/>
              </w:rPr>
              <w:t>(#)</w:t>
            </w:r>
          </w:p>
        </w:tc>
        <w:tc>
          <w:tcPr>
            <w:tcW w:w="1040" w:type="dxa"/>
            <w:vAlign w:val="bottom"/>
            <w:vMerge w:val="restart"/>
            <w:shd w:val="clear" w:color="auto" w:fill="DEDBD3"/>
          </w:tcPr>
          <w:p>
            <w:pPr>
              <w:jc w:val="center"/>
              <w:ind w:right="28"/>
              <w:spacing w:after="0"/>
              <w:rPr>
                <w:sz w:val="20"/>
                <w:szCs w:val="20"/>
                <w:color w:val="auto"/>
              </w:rPr>
            </w:pPr>
            <w:r>
              <w:rPr>
                <w:rFonts w:ascii="Arial" w:cs="Arial" w:eastAsia="Arial" w:hAnsi="Arial"/>
                <w:sz w:val="10"/>
                <w:szCs w:val="10"/>
                <w:color w:val="auto"/>
              </w:rPr>
              <w:t>($) (5)</w:t>
            </w:r>
          </w:p>
        </w:tc>
        <w:tc>
          <w:tcPr>
            <w:tcW w:w="0" w:type="dxa"/>
            <w:vAlign w:val="bottom"/>
          </w:tcPr>
          <w:p>
            <w:pPr>
              <w:spacing w:after="0"/>
              <w:rPr>
                <w:sz w:val="1"/>
                <w:szCs w:val="1"/>
                <w:color w:val="auto"/>
              </w:rPr>
            </w:pPr>
          </w:p>
        </w:tc>
      </w:tr>
      <w:tr>
        <w:trPr>
          <w:trHeight w:val="87"/>
        </w:trPr>
        <w:tc>
          <w:tcPr>
            <w:tcW w:w="1760" w:type="dxa"/>
            <w:vAlign w:val="bottom"/>
            <w:shd w:val="clear" w:color="auto" w:fill="DEDBD3"/>
          </w:tcPr>
          <w:p>
            <w:pPr>
              <w:spacing w:after="0"/>
              <w:rPr>
                <w:sz w:val="7"/>
                <w:szCs w:val="7"/>
                <w:color w:val="auto"/>
              </w:rPr>
            </w:pPr>
          </w:p>
        </w:tc>
        <w:tc>
          <w:tcPr>
            <w:tcW w:w="3460" w:type="dxa"/>
            <w:vAlign w:val="bottom"/>
            <w:shd w:val="clear" w:color="auto" w:fill="DEDBD3"/>
          </w:tcPr>
          <w:p>
            <w:pPr>
              <w:spacing w:after="0"/>
              <w:rPr>
                <w:sz w:val="7"/>
                <w:szCs w:val="7"/>
                <w:color w:val="auto"/>
              </w:rPr>
            </w:pPr>
          </w:p>
        </w:tc>
        <w:tc>
          <w:tcPr>
            <w:tcW w:w="60" w:type="dxa"/>
            <w:vAlign w:val="bottom"/>
            <w:shd w:val="clear" w:color="auto" w:fill="DEDBD3"/>
          </w:tcPr>
          <w:p>
            <w:pPr>
              <w:spacing w:after="0"/>
              <w:rPr>
                <w:sz w:val="7"/>
                <w:szCs w:val="7"/>
                <w:color w:val="auto"/>
              </w:rPr>
            </w:pPr>
          </w:p>
        </w:tc>
        <w:tc>
          <w:tcPr>
            <w:tcW w:w="880" w:type="dxa"/>
            <w:vAlign w:val="bottom"/>
            <w:shd w:val="clear" w:color="auto" w:fill="DEDBD3"/>
          </w:tcPr>
          <w:p>
            <w:pPr>
              <w:spacing w:after="0"/>
              <w:rPr>
                <w:sz w:val="7"/>
                <w:szCs w:val="7"/>
                <w:color w:val="auto"/>
              </w:rPr>
            </w:pPr>
          </w:p>
        </w:tc>
        <w:tc>
          <w:tcPr>
            <w:tcW w:w="1040" w:type="dxa"/>
            <w:vAlign w:val="bottom"/>
            <w:shd w:val="clear" w:color="auto" w:fill="DEDBD3"/>
          </w:tcPr>
          <w:p>
            <w:pPr>
              <w:spacing w:after="0"/>
              <w:rPr>
                <w:sz w:val="7"/>
                <w:szCs w:val="7"/>
                <w:color w:val="auto"/>
              </w:rPr>
            </w:pPr>
          </w:p>
        </w:tc>
        <w:tc>
          <w:tcPr>
            <w:tcW w:w="720" w:type="dxa"/>
            <w:vAlign w:val="bottom"/>
            <w:shd w:val="clear" w:color="auto" w:fill="DEDBD3"/>
          </w:tcPr>
          <w:p>
            <w:pPr>
              <w:spacing w:after="0"/>
              <w:rPr>
                <w:sz w:val="7"/>
                <w:szCs w:val="7"/>
                <w:color w:val="auto"/>
              </w:rPr>
            </w:pPr>
          </w:p>
        </w:tc>
        <w:tc>
          <w:tcPr>
            <w:tcW w:w="820" w:type="dxa"/>
            <w:vAlign w:val="bottom"/>
            <w:shd w:val="clear" w:color="auto" w:fill="DEDBD3"/>
          </w:tcPr>
          <w:p>
            <w:pPr>
              <w:spacing w:after="0"/>
              <w:rPr>
                <w:sz w:val="7"/>
                <w:szCs w:val="7"/>
                <w:color w:val="auto"/>
              </w:rPr>
            </w:pPr>
          </w:p>
        </w:tc>
        <w:tc>
          <w:tcPr>
            <w:tcW w:w="840" w:type="dxa"/>
            <w:vAlign w:val="bottom"/>
            <w:vMerge w:val="continue"/>
            <w:shd w:val="clear" w:color="auto" w:fill="DEDBD3"/>
          </w:tcPr>
          <w:p>
            <w:pPr>
              <w:spacing w:after="0"/>
              <w:rPr>
                <w:sz w:val="7"/>
                <w:szCs w:val="7"/>
                <w:color w:val="auto"/>
              </w:rPr>
            </w:pPr>
          </w:p>
        </w:tc>
        <w:tc>
          <w:tcPr>
            <w:tcW w:w="1040" w:type="dxa"/>
            <w:vAlign w:val="bottom"/>
            <w:vMerge w:val="continue"/>
            <w:shd w:val="clear" w:color="auto" w:fill="DEDBD3"/>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760" w:type="dxa"/>
            <w:vAlign w:val="bottom"/>
          </w:tcPr>
          <w:p>
            <w:pPr>
              <w:spacing w:after="0"/>
              <w:rPr>
                <w:sz w:val="5"/>
                <w:szCs w:val="5"/>
                <w:color w:val="auto"/>
              </w:rPr>
            </w:pPr>
          </w:p>
        </w:tc>
        <w:tc>
          <w:tcPr>
            <w:tcW w:w="3460" w:type="dxa"/>
            <w:vAlign w:val="bottom"/>
            <w:shd w:val="clear" w:color="auto" w:fill="FDF9F2"/>
          </w:tcPr>
          <w:p>
            <w:pPr>
              <w:spacing w:after="0"/>
              <w:rPr>
                <w:sz w:val="5"/>
                <w:szCs w:val="5"/>
                <w:color w:val="auto"/>
              </w:rPr>
            </w:pPr>
          </w:p>
        </w:tc>
        <w:tc>
          <w:tcPr>
            <w:tcW w:w="60" w:type="dxa"/>
            <w:vAlign w:val="bottom"/>
            <w:shd w:val="clear" w:color="auto" w:fill="FDF9F2"/>
          </w:tcPr>
          <w:p>
            <w:pPr>
              <w:spacing w:after="0"/>
              <w:rPr>
                <w:sz w:val="5"/>
                <w:szCs w:val="5"/>
                <w:color w:val="auto"/>
              </w:rPr>
            </w:pPr>
          </w:p>
        </w:tc>
        <w:tc>
          <w:tcPr>
            <w:tcW w:w="880" w:type="dxa"/>
            <w:vAlign w:val="bottom"/>
            <w:shd w:val="clear" w:color="auto" w:fill="FDF9F2"/>
          </w:tcPr>
          <w:p>
            <w:pPr>
              <w:spacing w:after="0"/>
              <w:rPr>
                <w:sz w:val="5"/>
                <w:szCs w:val="5"/>
                <w:color w:val="auto"/>
              </w:rPr>
            </w:pPr>
          </w:p>
        </w:tc>
        <w:tc>
          <w:tcPr>
            <w:tcW w:w="1040" w:type="dxa"/>
            <w:vAlign w:val="bottom"/>
            <w:shd w:val="clear" w:color="auto" w:fill="FDF9F2"/>
          </w:tcPr>
          <w:p>
            <w:pPr>
              <w:spacing w:after="0"/>
              <w:rPr>
                <w:sz w:val="5"/>
                <w:szCs w:val="5"/>
                <w:color w:val="auto"/>
              </w:rPr>
            </w:pPr>
          </w:p>
        </w:tc>
        <w:tc>
          <w:tcPr>
            <w:tcW w:w="720" w:type="dxa"/>
            <w:vAlign w:val="bottom"/>
            <w:shd w:val="clear" w:color="auto" w:fill="FDF9F2"/>
          </w:tcPr>
          <w:p>
            <w:pPr>
              <w:spacing w:after="0"/>
              <w:rPr>
                <w:sz w:val="5"/>
                <w:szCs w:val="5"/>
                <w:color w:val="auto"/>
              </w:rPr>
            </w:pPr>
          </w:p>
        </w:tc>
        <w:tc>
          <w:tcPr>
            <w:tcW w:w="820" w:type="dxa"/>
            <w:vAlign w:val="bottom"/>
            <w:shd w:val="clear" w:color="auto" w:fill="FDF9F2"/>
          </w:tcPr>
          <w:p>
            <w:pPr>
              <w:spacing w:after="0"/>
              <w:rPr>
                <w:sz w:val="5"/>
                <w:szCs w:val="5"/>
                <w:color w:val="auto"/>
              </w:rPr>
            </w:pPr>
          </w:p>
        </w:tc>
        <w:tc>
          <w:tcPr>
            <w:tcW w:w="840" w:type="dxa"/>
            <w:vAlign w:val="bottom"/>
            <w:shd w:val="clear" w:color="auto" w:fill="FDF9F2"/>
          </w:tcPr>
          <w:p>
            <w:pPr>
              <w:spacing w:after="0"/>
              <w:rPr>
                <w:sz w:val="5"/>
                <w:szCs w:val="5"/>
                <w:color w:val="auto"/>
              </w:rPr>
            </w:pPr>
          </w:p>
        </w:tc>
        <w:tc>
          <w:tcPr>
            <w:tcW w:w="1040" w:type="dxa"/>
            <w:vAlign w:val="bottom"/>
            <w:shd w:val="clear" w:color="auto" w:fill="FDF9F2"/>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320" w:type="dxa"/>
        <w:tblCellMar>
          <w:top w:w="0" w:type="dxa"/>
          <w:left w:w="0" w:type="dxa"/>
          <w:bottom w:w="0" w:type="dxa"/>
          <w:right w:w="0" w:type="dxa"/>
        </w:tblCellMar>
      </w:tblPr>
      <w:tr>
        <w:trPr>
          <w:trHeight w:val="175"/>
        </w:trPr>
        <w:tc>
          <w:tcPr>
            <w:tcW w:w="1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Craig S. Billings</w:t>
            </w:r>
          </w:p>
        </w:tc>
        <w:tc>
          <w:tcPr>
            <w:tcW w:w="100" w:type="dxa"/>
            <w:vAlign w:val="bottom"/>
            <w:shd w:val="clear" w:color="auto" w:fill="FDF9F2"/>
          </w:tcPr>
          <w:p>
            <w:pPr>
              <w:spacing w:after="0"/>
              <w:rPr>
                <w:sz w:val="15"/>
                <w:szCs w:val="15"/>
                <w:color w:val="auto"/>
              </w:rPr>
            </w:pPr>
          </w:p>
        </w:tc>
        <w:tc>
          <w:tcPr>
            <w:tcW w:w="2500" w:type="dxa"/>
            <w:vAlign w:val="bottom"/>
            <w:shd w:val="clear" w:color="auto" w:fill="FDF9F2"/>
          </w:tcPr>
          <w:p>
            <w:pPr>
              <w:ind w:left="60"/>
              <w:spacing w:after="0"/>
              <w:rPr>
                <w:sz w:val="20"/>
                <w:szCs w:val="20"/>
                <w:color w:val="auto"/>
              </w:rPr>
            </w:pPr>
            <w:r>
              <w:rPr>
                <w:rFonts w:ascii="Arial" w:cs="Arial" w:eastAsia="Arial" w:hAnsi="Arial"/>
                <w:sz w:val="12"/>
                <w:szCs w:val="12"/>
                <w:b w:val="1"/>
                <w:bCs w:val="1"/>
                <w:color w:val="auto"/>
              </w:rPr>
              <w:t>Wynn Resorts, Limited</w:t>
            </w:r>
          </w:p>
        </w:tc>
        <w:tc>
          <w:tcPr>
            <w:tcW w:w="1840" w:type="dxa"/>
            <w:vAlign w:val="bottom"/>
            <w:shd w:val="clear" w:color="auto" w:fill="FDF9F2"/>
          </w:tcPr>
          <w:p>
            <w:pPr>
              <w:jc w:val="center"/>
              <w:ind w:left="771"/>
              <w:spacing w:after="0"/>
              <w:rPr>
                <w:sz w:val="20"/>
                <w:szCs w:val="20"/>
                <w:color w:val="auto"/>
              </w:rPr>
            </w:pPr>
            <w:r>
              <w:rPr>
                <w:rFonts w:ascii="Arial" w:cs="Arial" w:eastAsia="Arial" w:hAnsi="Arial"/>
                <w:sz w:val="14"/>
                <w:szCs w:val="14"/>
                <w:color w:val="auto"/>
              </w:rPr>
              <w:t>21,803</w:t>
            </w:r>
          </w:p>
        </w:tc>
        <w:tc>
          <w:tcPr>
            <w:tcW w:w="90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shd w:val="clear" w:color="auto" w:fill="FDF9F2"/>
          </w:tcPr>
          <w:p>
            <w:pPr>
              <w:jc w:val="right"/>
              <w:ind w:right="31"/>
              <w:spacing w:after="0"/>
              <w:rPr>
                <w:sz w:val="20"/>
                <w:szCs w:val="20"/>
                <w:color w:val="auto"/>
              </w:rPr>
            </w:pPr>
            <w:r>
              <w:rPr>
                <w:rFonts w:ascii="Arial" w:cs="Arial" w:eastAsia="Arial" w:hAnsi="Arial"/>
                <w:sz w:val="14"/>
                <w:szCs w:val="14"/>
                <w:color w:val="auto"/>
              </w:rPr>
              <w:t>$58.85</w:t>
            </w:r>
          </w:p>
        </w:tc>
        <w:tc>
          <w:tcPr>
            <w:tcW w:w="94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05/11/2025</w:t>
            </w:r>
          </w:p>
        </w:tc>
        <w:tc>
          <w:tcPr>
            <w:tcW w:w="74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139,726</w:t>
            </w:r>
            <w:r>
              <w:rPr>
                <w:rFonts w:ascii="Arial" w:cs="Arial" w:eastAsia="Arial" w:hAnsi="Arial"/>
                <w:sz w:val="8"/>
                <w:szCs w:val="8"/>
                <w:color w:val="auto"/>
                <w:w w:val="99"/>
              </w:rPr>
              <w:t>(2)</w:t>
            </w:r>
          </w:p>
        </w:tc>
        <w:tc>
          <w:tcPr>
            <w:tcW w:w="220" w:type="dxa"/>
            <w:vAlign w:val="bottom"/>
            <w:shd w:val="clear" w:color="auto" w:fill="FDF9F2"/>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shd w:val="clear" w:color="auto" w:fill="FDF9F2"/>
          </w:tcPr>
          <w:p>
            <w:pPr>
              <w:jc w:val="right"/>
              <w:ind w:right="31"/>
              <w:spacing w:after="0"/>
              <w:rPr>
                <w:sz w:val="20"/>
                <w:szCs w:val="20"/>
                <w:color w:val="auto"/>
              </w:rPr>
            </w:pPr>
            <w:r>
              <w:rPr>
                <w:rFonts w:ascii="Arial" w:cs="Arial" w:eastAsia="Arial" w:hAnsi="Arial"/>
                <w:sz w:val="14"/>
                <w:szCs w:val="14"/>
                <w:color w:val="auto"/>
              </w:rPr>
              <w:t>11,523,203</w:t>
            </w:r>
          </w:p>
        </w:tc>
        <w:tc>
          <w:tcPr>
            <w:tcW w:w="0" w:type="dxa"/>
            <w:vAlign w:val="bottom"/>
          </w:tcPr>
          <w:p>
            <w:pPr>
              <w:spacing w:after="0"/>
              <w:rPr>
                <w:sz w:val="1"/>
                <w:szCs w:val="1"/>
                <w:color w:val="auto"/>
              </w:rPr>
            </w:pPr>
          </w:p>
        </w:tc>
      </w:tr>
      <w:tr>
        <w:trPr>
          <w:trHeight w:val="62"/>
        </w:trPr>
        <w:tc>
          <w:tcPr>
            <w:tcW w:w="1760" w:type="dxa"/>
            <w:vAlign w:val="bottom"/>
            <w:vMerge w:val="continue"/>
          </w:tcPr>
          <w:p>
            <w:pPr>
              <w:spacing w:after="0"/>
              <w:rPr>
                <w:sz w:val="5"/>
                <w:szCs w:val="5"/>
                <w:color w:val="auto"/>
              </w:rPr>
            </w:pPr>
          </w:p>
        </w:tc>
        <w:tc>
          <w:tcPr>
            <w:tcW w:w="100" w:type="dxa"/>
            <w:vAlign w:val="bottom"/>
            <w:shd w:val="clear" w:color="auto" w:fill="FDF9F2"/>
          </w:tcPr>
          <w:p>
            <w:pPr>
              <w:spacing w:after="0"/>
              <w:rPr>
                <w:sz w:val="5"/>
                <w:szCs w:val="5"/>
                <w:color w:val="auto"/>
              </w:rPr>
            </w:pPr>
          </w:p>
        </w:tc>
        <w:tc>
          <w:tcPr>
            <w:tcW w:w="2500" w:type="dxa"/>
            <w:vAlign w:val="bottom"/>
            <w:vMerge w:val="restart"/>
            <w:shd w:val="clear" w:color="auto" w:fill="FDF9F2"/>
          </w:tcPr>
          <w:p>
            <w:pPr>
              <w:ind w:left="60"/>
              <w:spacing w:after="0"/>
              <w:rPr>
                <w:sz w:val="20"/>
                <w:szCs w:val="20"/>
                <w:color w:val="auto"/>
              </w:rPr>
            </w:pPr>
            <w:r>
              <w:rPr>
                <w:rFonts w:ascii="Arial" w:cs="Arial" w:eastAsia="Arial" w:hAnsi="Arial"/>
                <w:sz w:val="12"/>
                <w:szCs w:val="12"/>
                <w:b w:val="1"/>
                <w:bCs w:val="1"/>
                <w:color w:val="auto"/>
              </w:rPr>
              <w:t>Wynn Interactive Ltd</w:t>
            </w:r>
          </w:p>
        </w:tc>
        <w:tc>
          <w:tcPr>
            <w:tcW w:w="1840" w:type="dxa"/>
            <w:vAlign w:val="bottom"/>
            <w:vMerge w:val="restart"/>
            <w:shd w:val="clear" w:color="auto" w:fill="FDF9F2"/>
          </w:tcPr>
          <w:p>
            <w:pPr>
              <w:jc w:val="center"/>
              <w:ind w:left="771"/>
              <w:spacing w:after="0"/>
              <w:rPr>
                <w:sz w:val="20"/>
                <w:szCs w:val="20"/>
                <w:color w:val="auto"/>
              </w:rPr>
            </w:pPr>
            <w:r>
              <w:rPr>
                <w:rFonts w:ascii="Arial" w:cs="Arial" w:eastAsia="Arial" w:hAnsi="Arial"/>
                <w:sz w:val="14"/>
                <w:szCs w:val="14"/>
                <w:color w:val="auto"/>
              </w:rPr>
              <w:t>1,825</w:t>
            </w:r>
          </w:p>
        </w:tc>
        <w:tc>
          <w:tcPr>
            <w:tcW w:w="900" w:type="dxa"/>
            <w:vAlign w:val="bottom"/>
            <w:vMerge w:val="restart"/>
            <w:shd w:val="clear" w:color="auto" w:fill="FDF9F2"/>
          </w:tcPr>
          <w:p>
            <w:pPr>
              <w:jc w:val="center"/>
              <w:spacing w:after="0"/>
              <w:rPr>
                <w:sz w:val="20"/>
                <w:szCs w:val="20"/>
                <w:color w:val="auto"/>
              </w:rPr>
            </w:pPr>
            <w:r>
              <w:rPr>
                <w:rFonts w:ascii="Arial" w:cs="Arial" w:eastAsia="Arial" w:hAnsi="Arial"/>
                <w:sz w:val="14"/>
                <w:szCs w:val="14"/>
                <w:color w:val="auto"/>
              </w:rPr>
              <w:t>1,825</w:t>
            </w:r>
          </w:p>
        </w:tc>
        <w:tc>
          <w:tcPr>
            <w:tcW w:w="760" w:type="dxa"/>
            <w:vAlign w:val="bottom"/>
            <w:vMerge w:val="restart"/>
            <w:shd w:val="clear" w:color="auto" w:fill="FDF9F2"/>
          </w:tcPr>
          <w:p>
            <w:pPr>
              <w:jc w:val="right"/>
              <w:ind w:right="31"/>
              <w:spacing w:after="0"/>
              <w:rPr>
                <w:sz w:val="20"/>
                <w:szCs w:val="20"/>
                <w:color w:val="auto"/>
              </w:rPr>
            </w:pPr>
            <w:r>
              <w:rPr>
                <w:rFonts w:ascii="Arial" w:cs="Arial" w:eastAsia="Arial" w:hAnsi="Arial"/>
                <w:sz w:val="14"/>
                <w:szCs w:val="14"/>
                <w:color w:val="auto"/>
              </w:rPr>
              <w:t>$78.62</w:t>
            </w:r>
          </w:p>
        </w:tc>
        <w:tc>
          <w:tcPr>
            <w:tcW w:w="940" w:type="dxa"/>
            <w:vAlign w:val="bottom"/>
            <w:vMerge w:val="restart"/>
            <w:shd w:val="clear" w:color="auto" w:fill="FDF9F2"/>
          </w:tcPr>
          <w:p>
            <w:pPr>
              <w:jc w:val="center"/>
              <w:spacing w:after="0"/>
              <w:rPr>
                <w:sz w:val="20"/>
                <w:szCs w:val="20"/>
                <w:color w:val="auto"/>
              </w:rPr>
            </w:pPr>
            <w:r>
              <w:rPr>
                <w:rFonts w:ascii="Arial" w:cs="Arial" w:eastAsia="Arial" w:hAnsi="Arial"/>
                <w:sz w:val="14"/>
                <w:szCs w:val="14"/>
                <w:color w:val="auto"/>
              </w:rPr>
              <w:t>12/11/2030</w:t>
            </w:r>
            <w:r>
              <w:rPr>
                <w:rFonts w:ascii="Arial" w:cs="Arial" w:eastAsia="Arial" w:hAnsi="Arial"/>
                <w:sz w:val="8"/>
                <w:szCs w:val="8"/>
                <w:color w:val="auto"/>
              </w:rPr>
              <w:t>(1)</w:t>
            </w:r>
          </w:p>
        </w:tc>
        <w:tc>
          <w:tcPr>
            <w:tcW w:w="740" w:type="dxa"/>
            <w:vAlign w:val="bottom"/>
            <w:vMerge w:val="restart"/>
            <w:shd w:val="clear" w:color="auto" w:fill="FDF9F2"/>
          </w:tcPr>
          <w:p>
            <w:pPr>
              <w:jc w:val="center"/>
              <w:spacing w:after="0"/>
              <w:rPr>
                <w:sz w:val="20"/>
                <w:szCs w:val="20"/>
                <w:color w:val="auto"/>
              </w:rPr>
            </w:pPr>
            <w:r>
              <w:rPr>
                <w:rFonts w:ascii="Arial" w:cs="Arial" w:eastAsia="Arial" w:hAnsi="Arial"/>
                <w:sz w:val="14"/>
                <w:szCs w:val="14"/>
                <w:color w:val="auto"/>
                <w:w w:val="84"/>
              </w:rPr>
              <w:t>-</w:t>
            </w:r>
          </w:p>
        </w:tc>
        <w:tc>
          <w:tcPr>
            <w:tcW w:w="220" w:type="dxa"/>
            <w:vAlign w:val="bottom"/>
            <w:vMerge w:val="restart"/>
            <w:shd w:val="clear" w:color="auto" w:fill="FDF9F2"/>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FDF9F2"/>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1760" w:type="dxa"/>
            <w:vAlign w:val="bottom"/>
          </w:tcPr>
          <w:p>
            <w:pPr>
              <w:spacing w:after="0"/>
              <w:rPr>
                <w:sz w:val="10"/>
                <w:szCs w:val="10"/>
                <w:color w:val="auto"/>
              </w:rPr>
            </w:pPr>
          </w:p>
        </w:tc>
        <w:tc>
          <w:tcPr>
            <w:tcW w:w="100" w:type="dxa"/>
            <w:vAlign w:val="bottom"/>
            <w:tcBorders>
              <w:bottom w:val="single" w:sz="8" w:color="FDF9F2"/>
            </w:tcBorders>
            <w:shd w:val="clear" w:color="auto" w:fill="FDF9F2"/>
          </w:tcPr>
          <w:p>
            <w:pPr>
              <w:spacing w:after="0"/>
              <w:rPr>
                <w:sz w:val="10"/>
                <w:szCs w:val="10"/>
                <w:color w:val="auto"/>
              </w:rPr>
            </w:pPr>
          </w:p>
        </w:tc>
        <w:tc>
          <w:tcPr>
            <w:tcW w:w="2500" w:type="dxa"/>
            <w:vAlign w:val="bottom"/>
            <w:tcBorders>
              <w:bottom w:val="single" w:sz="8" w:color="FDF9F2"/>
            </w:tcBorders>
            <w:vMerge w:val="continue"/>
            <w:shd w:val="clear" w:color="auto" w:fill="FDF9F2"/>
          </w:tcPr>
          <w:p>
            <w:pPr>
              <w:spacing w:after="0"/>
              <w:rPr>
                <w:sz w:val="10"/>
                <w:szCs w:val="10"/>
                <w:color w:val="auto"/>
              </w:rPr>
            </w:pPr>
          </w:p>
        </w:tc>
        <w:tc>
          <w:tcPr>
            <w:tcW w:w="1840" w:type="dxa"/>
            <w:vAlign w:val="bottom"/>
            <w:tcBorders>
              <w:bottom w:val="single" w:sz="8" w:color="FDF9F2"/>
            </w:tcBorders>
            <w:vMerge w:val="continue"/>
            <w:shd w:val="clear" w:color="auto" w:fill="FDF9F2"/>
          </w:tcPr>
          <w:p>
            <w:pPr>
              <w:spacing w:after="0"/>
              <w:rPr>
                <w:sz w:val="10"/>
                <w:szCs w:val="10"/>
                <w:color w:val="auto"/>
              </w:rPr>
            </w:pPr>
          </w:p>
        </w:tc>
        <w:tc>
          <w:tcPr>
            <w:tcW w:w="900" w:type="dxa"/>
            <w:vAlign w:val="bottom"/>
            <w:tcBorders>
              <w:bottom w:val="single" w:sz="8" w:color="FDF9F2"/>
            </w:tcBorders>
            <w:vMerge w:val="continue"/>
            <w:shd w:val="clear" w:color="auto" w:fill="FDF9F2"/>
          </w:tcPr>
          <w:p>
            <w:pPr>
              <w:spacing w:after="0"/>
              <w:rPr>
                <w:sz w:val="10"/>
                <w:szCs w:val="10"/>
                <w:color w:val="auto"/>
              </w:rPr>
            </w:pPr>
          </w:p>
        </w:tc>
        <w:tc>
          <w:tcPr>
            <w:tcW w:w="760" w:type="dxa"/>
            <w:vAlign w:val="bottom"/>
            <w:tcBorders>
              <w:bottom w:val="single" w:sz="8" w:color="FDF9F2"/>
            </w:tcBorders>
            <w:vMerge w:val="continue"/>
            <w:shd w:val="clear" w:color="auto" w:fill="FDF9F2"/>
          </w:tcPr>
          <w:p>
            <w:pPr>
              <w:spacing w:after="0"/>
              <w:rPr>
                <w:sz w:val="10"/>
                <w:szCs w:val="10"/>
                <w:color w:val="auto"/>
              </w:rPr>
            </w:pPr>
          </w:p>
        </w:tc>
        <w:tc>
          <w:tcPr>
            <w:tcW w:w="940" w:type="dxa"/>
            <w:vAlign w:val="bottom"/>
            <w:tcBorders>
              <w:bottom w:val="single" w:sz="8" w:color="FDF9F2"/>
            </w:tcBorders>
            <w:vMerge w:val="continue"/>
            <w:shd w:val="clear" w:color="auto" w:fill="FDF9F2"/>
          </w:tcPr>
          <w:p>
            <w:pPr>
              <w:spacing w:after="0"/>
              <w:rPr>
                <w:sz w:val="10"/>
                <w:szCs w:val="10"/>
                <w:color w:val="auto"/>
              </w:rPr>
            </w:pPr>
          </w:p>
        </w:tc>
        <w:tc>
          <w:tcPr>
            <w:tcW w:w="740" w:type="dxa"/>
            <w:vAlign w:val="bottom"/>
            <w:tcBorders>
              <w:bottom w:val="single" w:sz="8" w:color="FDF9F2"/>
            </w:tcBorders>
            <w:vMerge w:val="continue"/>
            <w:shd w:val="clear" w:color="auto" w:fill="FDF9F2"/>
          </w:tcPr>
          <w:p>
            <w:pPr>
              <w:spacing w:after="0"/>
              <w:rPr>
                <w:sz w:val="10"/>
                <w:szCs w:val="10"/>
                <w:color w:val="auto"/>
              </w:rPr>
            </w:pPr>
          </w:p>
        </w:tc>
        <w:tc>
          <w:tcPr>
            <w:tcW w:w="220" w:type="dxa"/>
            <w:vAlign w:val="bottom"/>
            <w:tcBorders>
              <w:bottom w:val="single" w:sz="8" w:color="FDF9F2"/>
            </w:tcBorders>
            <w:vMerge w:val="continue"/>
            <w:shd w:val="clear" w:color="auto" w:fill="FDF9F2"/>
          </w:tcPr>
          <w:p>
            <w:pPr>
              <w:spacing w:after="0"/>
              <w:rPr>
                <w:sz w:val="10"/>
                <w:szCs w:val="10"/>
                <w:color w:val="auto"/>
              </w:rPr>
            </w:pPr>
          </w:p>
        </w:tc>
        <w:tc>
          <w:tcPr>
            <w:tcW w:w="860" w:type="dxa"/>
            <w:vAlign w:val="bottom"/>
            <w:tcBorders>
              <w:bottom w:val="single" w:sz="8" w:color="FDF9F2"/>
            </w:tcBorders>
            <w:vMerge w:val="continue"/>
            <w:shd w:val="clear" w:color="auto" w:fill="FDF9F2"/>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760" w:type="dxa"/>
            <w:vAlign w:val="bottom"/>
            <w:shd w:val="clear" w:color="auto" w:fill="DEDBD3"/>
          </w:tcPr>
          <w:p>
            <w:pPr>
              <w:ind w:left="60"/>
              <w:spacing w:after="0"/>
              <w:rPr>
                <w:sz w:val="20"/>
                <w:szCs w:val="20"/>
                <w:color w:val="auto"/>
              </w:rPr>
            </w:pPr>
            <w:r>
              <w:rPr>
                <w:rFonts w:ascii="Arial" w:cs="Arial" w:eastAsia="Arial" w:hAnsi="Arial"/>
                <w:sz w:val="12"/>
                <w:szCs w:val="12"/>
                <w:b w:val="1"/>
                <w:bCs w:val="1"/>
                <w:color w:val="auto"/>
              </w:rPr>
              <w:t>Julie M.</w:t>
            </w:r>
          </w:p>
        </w:tc>
        <w:tc>
          <w:tcPr>
            <w:tcW w:w="100" w:type="dxa"/>
            <w:vAlign w:val="bottom"/>
            <w:shd w:val="clear" w:color="auto" w:fill="DEDBD3"/>
          </w:tcPr>
          <w:p>
            <w:pPr>
              <w:spacing w:after="0"/>
              <w:rPr>
                <w:sz w:val="18"/>
                <w:szCs w:val="18"/>
                <w:color w:val="auto"/>
              </w:rPr>
            </w:pPr>
          </w:p>
        </w:tc>
        <w:tc>
          <w:tcPr>
            <w:tcW w:w="2500" w:type="dxa"/>
            <w:vAlign w:val="bottom"/>
            <w:vMerge w:val="restart"/>
            <w:shd w:val="clear" w:color="auto" w:fill="DEDBD3"/>
          </w:tcPr>
          <w:p>
            <w:pPr>
              <w:ind w:left="60"/>
              <w:spacing w:after="0"/>
              <w:rPr>
                <w:sz w:val="20"/>
                <w:szCs w:val="20"/>
                <w:color w:val="auto"/>
              </w:rPr>
            </w:pPr>
            <w:r>
              <w:rPr>
                <w:rFonts w:ascii="Arial" w:cs="Arial" w:eastAsia="Arial" w:hAnsi="Arial"/>
                <w:sz w:val="12"/>
                <w:szCs w:val="12"/>
                <w:b w:val="1"/>
                <w:bCs w:val="1"/>
                <w:color w:val="auto"/>
              </w:rPr>
              <w:t>Wynn Resorts, Limited</w:t>
            </w:r>
          </w:p>
        </w:tc>
        <w:tc>
          <w:tcPr>
            <w:tcW w:w="1840" w:type="dxa"/>
            <w:vAlign w:val="bottom"/>
            <w:vMerge w:val="restart"/>
            <w:shd w:val="clear" w:color="auto" w:fill="DEDBD3"/>
          </w:tcPr>
          <w:p>
            <w:pPr>
              <w:jc w:val="center"/>
              <w:ind w:left="771"/>
              <w:spacing w:after="0"/>
              <w:rPr>
                <w:sz w:val="20"/>
                <w:szCs w:val="20"/>
                <w:color w:val="auto"/>
              </w:rPr>
            </w:pPr>
            <w:r>
              <w:rPr>
                <w:rFonts w:ascii="Arial" w:cs="Arial" w:eastAsia="Arial" w:hAnsi="Arial"/>
                <w:sz w:val="14"/>
                <w:szCs w:val="14"/>
                <w:color w:val="auto"/>
              </w:rPr>
              <w:t>10,383</w:t>
            </w:r>
          </w:p>
        </w:tc>
        <w:tc>
          <w:tcPr>
            <w:tcW w:w="900" w:type="dxa"/>
            <w:vAlign w:val="bottom"/>
            <w:vMerge w:val="restart"/>
            <w:shd w:val="clear" w:color="auto" w:fill="DEDBD3"/>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vMerge w:val="restart"/>
            <w:shd w:val="clear" w:color="auto" w:fill="DEDBD3"/>
          </w:tcPr>
          <w:p>
            <w:pPr>
              <w:jc w:val="right"/>
              <w:ind w:right="31"/>
              <w:spacing w:after="0"/>
              <w:rPr>
                <w:sz w:val="20"/>
                <w:szCs w:val="20"/>
                <w:color w:val="auto"/>
              </w:rPr>
            </w:pPr>
            <w:r>
              <w:rPr>
                <w:rFonts w:ascii="Arial" w:cs="Arial" w:eastAsia="Arial" w:hAnsi="Arial"/>
                <w:sz w:val="14"/>
                <w:szCs w:val="14"/>
                <w:color w:val="auto"/>
              </w:rPr>
              <w:t>$58.85</w:t>
            </w:r>
          </w:p>
        </w:tc>
        <w:tc>
          <w:tcPr>
            <w:tcW w:w="940" w:type="dxa"/>
            <w:vAlign w:val="bottom"/>
            <w:vMerge w:val="restart"/>
            <w:shd w:val="clear" w:color="auto" w:fill="DEDBD3"/>
          </w:tcPr>
          <w:p>
            <w:pPr>
              <w:jc w:val="center"/>
              <w:spacing w:after="0"/>
              <w:rPr>
                <w:sz w:val="20"/>
                <w:szCs w:val="20"/>
                <w:color w:val="auto"/>
              </w:rPr>
            </w:pPr>
            <w:r>
              <w:rPr>
                <w:rFonts w:ascii="Arial" w:cs="Arial" w:eastAsia="Arial" w:hAnsi="Arial"/>
                <w:sz w:val="14"/>
                <w:szCs w:val="14"/>
                <w:color w:val="auto"/>
                <w:w w:val="99"/>
              </w:rPr>
              <w:t>05/11/2025</w:t>
            </w:r>
          </w:p>
        </w:tc>
        <w:tc>
          <w:tcPr>
            <w:tcW w:w="740" w:type="dxa"/>
            <w:vAlign w:val="bottom"/>
            <w:vMerge w:val="restart"/>
            <w:shd w:val="clear" w:color="auto" w:fill="DEDBD3"/>
          </w:tcPr>
          <w:p>
            <w:pPr>
              <w:jc w:val="center"/>
              <w:spacing w:after="0"/>
              <w:rPr>
                <w:sz w:val="20"/>
                <w:szCs w:val="20"/>
                <w:color w:val="auto"/>
              </w:rPr>
            </w:pPr>
            <w:r>
              <w:rPr>
                <w:rFonts w:ascii="Arial" w:cs="Arial" w:eastAsia="Arial" w:hAnsi="Arial"/>
                <w:sz w:val="14"/>
                <w:szCs w:val="14"/>
                <w:color w:val="auto"/>
                <w:w w:val="98"/>
              </w:rPr>
              <w:t>49,768</w:t>
            </w:r>
            <w:r>
              <w:rPr>
                <w:rFonts w:ascii="Arial" w:cs="Arial" w:eastAsia="Arial" w:hAnsi="Arial"/>
                <w:sz w:val="8"/>
                <w:szCs w:val="8"/>
                <w:color w:val="auto"/>
                <w:w w:val="98"/>
              </w:rPr>
              <w:t>(3)</w:t>
            </w:r>
          </w:p>
        </w:tc>
        <w:tc>
          <w:tcPr>
            <w:tcW w:w="220" w:type="dxa"/>
            <w:vAlign w:val="bottom"/>
            <w:vMerge w:val="restart"/>
            <w:shd w:val="clear" w:color="auto" w:fill="DEDBD3"/>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DEDBD3"/>
          </w:tcPr>
          <w:p>
            <w:pPr>
              <w:jc w:val="right"/>
              <w:ind w:right="31"/>
              <w:spacing w:after="0"/>
              <w:rPr>
                <w:sz w:val="20"/>
                <w:szCs w:val="20"/>
                <w:color w:val="auto"/>
              </w:rPr>
            </w:pPr>
            <w:r>
              <w:rPr>
                <w:rFonts w:ascii="Arial" w:cs="Arial" w:eastAsia="Arial" w:hAnsi="Arial"/>
                <w:sz w:val="14"/>
                <w:szCs w:val="14"/>
                <w:color w:val="auto"/>
              </w:rPr>
              <w:t>4,104,367</w:t>
            </w:r>
          </w:p>
        </w:tc>
        <w:tc>
          <w:tcPr>
            <w:tcW w:w="0" w:type="dxa"/>
            <w:vAlign w:val="bottom"/>
          </w:tcPr>
          <w:p>
            <w:pPr>
              <w:spacing w:after="0"/>
              <w:rPr>
                <w:sz w:val="1"/>
                <w:szCs w:val="1"/>
                <w:color w:val="auto"/>
              </w:rPr>
            </w:pPr>
          </w:p>
        </w:tc>
      </w:tr>
      <w:tr>
        <w:trPr>
          <w:trHeight w:val="86"/>
        </w:trPr>
        <w:tc>
          <w:tcPr>
            <w:tcW w:w="1760" w:type="dxa"/>
            <w:vAlign w:val="bottom"/>
            <w:vMerge w:val="restart"/>
            <w:shd w:val="clear" w:color="auto" w:fill="DEDBD3"/>
          </w:tcPr>
          <w:p>
            <w:pPr>
              <w:ind w:left="60"/>
              <w:spacing w:after="0"/>
              <w:rPr>
                <w:sz w:val="20"/>
                <w:szCs w:val="20"/>
                <w:color w:val="auto"/>
              </w:rPr>
            </w:pPr>
            <w:r>
              <w:rPr>
                <w:rFonts w:ascii="Arial" w:cs="Arial" w:eastAsia="Arial" w:hAnsi="Arial"/>
                <w:sz w:val="12"/>
                <w:szCs w:val="12"/>
                <w:b w:val="1"/>
                <w:bCs w:val="1"/>
                <w:color w:val="auto"/>
              </w:rPr>
              <w:t>Cameron-Doe</w:t>
            </w:r>
          </w:p>
        </w:tc>
        <w:tc>
          <w:tcPr>
            <w:tcW w:w="100" w:type="dxa"/>
            <w:vAlign w:val="bottom"/>
            <w:shd w:val="clear" w:color="auto" w:fill="DEDBD3"/>
          </w:tcPr>
          <w:p>
            <w:pPr>
              <w:spacing w:after="0"/>
              <w:rPr>
                <w:sz w:val="7"/>
                <w:szCs w:val="7"/>
                <w:color w:val="auto"/>
              </w:rPr>
            </w:pPr>
          </w:p>
        </w:tc>
        <w:tc>
          <w:tcPr>
            <w:tcW w:w="2500" w:type="dxa"/>
            <w:vAlign w:val="bottom"/>
            <w:vMerge w:val="continue"/>
            <w:shd w:val="clear" w:color="auto" w:fill="DEDBD3"/>
          </w:tcPr>
          <w:p>
            <w:pPr>
              <w:spacing w:after="0"/>
              <w:rPr>
                <w:sz w:val="7"/>
                <w:szCs w:val="7"/>
                <w:color w:val="auto"/>
              </w:rPr>
            </w:pPr>
          </w:p>
        </w:tc>
        <w:tc>
          <w:tcPr>
            <w:tcW w:w="1840" w:type="dxa"/>
            <w:vAlign w:val="bottom"/>
            <w:vMerge w:val="continue"/>
            <w:shd w:val="clear" w:color="auto" w:fill="DEDBD3"/>
          </w:tcPr>
          <w:p>
            <w:pPr>
              <w:spacing w:after="0"/>
              <w:rPr>
                <w:sz w:val="7"/>
                <w:szCs w:val="7"/>
                <w:color w:val="auto"/>
              </w:rPr>
            </w:pPr>
          </w:p>
        </w:tc>
        <w:tc>
          <w:tcPr>
            <w:tcW w:w="900" w:type="dxa"/>
            <w:vAlign w:val="bottom"/>
            <w:vMerge w:val="continue"/>
            <w:shd w:val="clear" w:color="auto" w:fill="DEDBD3"/>
          </w:tcPr>
          <w:p>
            <w:pPr>
              <w:spacing w:after="0"/>
              <w:rPr>
                <w:sz w:val="7"/>
                <w:szCs w:val="7"/>
                <w:color w:val="auto"/>
              </w:rPr>
            </w:pPr>
          </w:p>
        </w:tc>
        <w:tc>
          <w:tcPr>
            <w:tcW w:w="760" w:type="dxa"/>
            <w:vAlign w:val="bottom"/>
            <w:vMerge w:val="continue"/>
            <w:shd w:val="clear" w:color="auto" w:fill="DEDBD3"/>
          </w:tcPr>
          <w:p>
            <w:pPr>
              <w:spacing w:after="0"/>
              <w:rPr>
                <w:sz w:val="7"/>
                <w:szCs w:val="7"/>
                <w:color w:val="auto"/>
              </w:rPr>
            </w:pPr>
          </w:p>
        </w:tc>
        <w:tc>
          <w:tcPr>
            <w:tcW w:w="940" w:type="dxa"/>
            <w:vAlign w:val="bottom"/>
            <w:vMerge w:val="continue"/>
            <w:shd w:val="clear" w:color="auto" w:fill="DEDBD3"/>
          </w:tcPr>
          <w:p>
            <w:pPr>
              <w:spacing w:after="0"/>
              <w:rPr>
                <w:sz w:val="7"/>
                <w:szCs w:val="7"/>
                <w:color w:val="auto"/>
              </w:rPr>
            </w:pPr>
          </w:p>
        </w:tc>
        <w:tc>
          <w:tcPr>
            <w:tcW w:w="740" w:type="dxa"/>
            <w:vAlign w:val="bottom"/>
            <w:vMerge w:val="continue"/>
            <w:shd w:val="clear" w:color="auto" w:fill="DEDBD3"/>
          </w:tcPr>
          <w:p>
            <w:pPr>
              <w:spacing w:after="0"/>
              <w:rPr>
                <w:sz w:val="7"/>
                <w:szCs w:val="7"/>
                <w:color w:val="auto"/>
              </w:rPr>
            </w:pPr>
          </w:p>
        </w:tc>
        <w:tc>
          <w:tcPr>
            <w:tcW w:w="220" w:type="dxa"/>
            <w:vAlign w:val="bottom"/>
            <w:vMerge w:val="continue"/>
            <w:shd w:val="clear" w:color="auto" w:fill="DEDBD3"/>
          </w:tcPr>
          <w:p>
            <w:pPr>
              <w:spacing w:after="0"/>
              <w:rPr>
                <w:sz w:val="7"/>
                <w:szCs w:val="7"/>
                <w:color w:val="auto"/>
              </w:rPr>
            </w:pPr>
          </w:p>
        </w:tc>
        <w:tc>
          <w:tcPr>
            <w:tcW w:w="860" w:type="dxa"/>
            <w:vAlign w:val="bottom"/>
            <w:vMerge w:val="continue"/>
            <w:shd w:val="clear" w:color="auto" w:fill="DEDBD3"/>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760" w:type="dxa"/>
            <w:vAlign w:val="bottom"/>
            <w:tcBorders>
              <w:bottom w:val="single" w:sz="8" w:color="DEDBD3"/>
            </w:tcBorders>
            <w:vMerge w:val="continue"/>
            <w:shd w:val="clear" w:color="auto" w:fill="DEDBD3"/>
          </w:tcPr>
          <w:p>
            <w:pPr>
              <w:spacing w:after="0"/>
              <w:rPr>
                <w:sz w:val="7"/>
                <w:szCs w:val="7"/>
                <w:color w:val="auto"/>
              </w:rPr>
            </w:pPr>
          </w:p>
        </w:tc>
        <w:tc>
          <w:tcPr>
            <w:tcW w:w="100" w:type="dxa"/>
            <w:vAlign w:val="bottom"/>
            <w:tcBorders>
              <w:bottom w:val="single" w:sz="8" w:color="DEDBD3"/>
            </w:tcBorders>
            <w:shd w:val="clear" w:color="auto" w:fill="DEDBD3"/>
          </w:tcPr>
          <w:p>
            <w:pPr>
              <w:spacing w:after="0"/>
              <w:rPr>
                <w:sz w:val="7"/>
                <w:szCs w:val="7"/>
                <w:color w:val="auto"/>
              </w:rPr>
            </w:pPr>
          </w:p>
        </w:tc>
        <w:tc>
          <w:tcPr>
            <w:tcW w:w="2500" w:type="dxa"/>
            <w:vAlign w:val="bottom"/>
            <w:tcBorders>
              <w:bottom w:val="single" w:sz="8" w:color="DEDBD3"/>
            </w:tcBorders>
            <w:shd w:val="clear" w:color="auto" w:fill="DEDBD3"/>
          </w:tcPr>
          <w:p>
            <w:pPr>
              <w:spacing w:after="0"/>
              <w:rPr>
                <w:sz w:val="7"/>
                <w:szCs w:val="7"/>
                <w:color w:val="auto"/>
              </w:rPr>
            </w:pPr>
          </w:p>
        </w:tc>
        <w:tc>
          <w:tcPr>
            <w:tcW w:w="1840" w:type="dxa"/>
            <w:vAlign w:val="bottom"/>
            <w:tcBorders>
              <w:bottom w:val="single" w:sz="8" w:color="DEDBD3"/>
            </w:tcBorders>
            <w:shd w:val="clear" w:color="auto" w:fill="DEDBD3"/>
          </w:tcPr>
          <w:p>
            <w:pPr>
              <w:spacing w:after="0"/>
              <w:rPr>
                <w:sz w:val="7"/>
                <w:szCs w:val="7"/>
                <w:color w:val="auto"/>
              </w:rPr>
            </w:pPr>
          </w:p>
        </w:tc>
        <w:tc>
          <w:tcPr>
            <w:tcW w:w="900" w:type="dxa"/>
            <w:vAlign w:val="bottom"/>
            <w:tcBorders>
              <w:bottom w:val="single" w:sz="8" w:color="DEDBD3"/>
            </w:tcBorders>
            <w:shd w:val="clear" w:color="auto" w:fill="DEDBD3"/>
          </w:tcPr>
          <w:p>
            <w:pPr>
              <w:spacing w:after="0"/>
              <w:rPr>
                <w:sz w:val="7"/>
                <w:szCs w:val="7"/>
                <w:color w:val="auto"/>
              </w:rPr>
            </w:pPr>
          </w:p>
        </w:tc>
        <w:tc>
          <w:tcPr>
            <w:tcW w:w="760" w:type="dxa"/>
            <w:vAlign w:val="bottom"/>
            <w:tcBorders>
              <w:bottom w:val="single" w:sz="8" w:color="DEDBD3"/>
            </w:tcBorders>
            <w:shd w:val="clear" w:color="auto" w:fill="DEDBD3"/>
          </w:tcPr>
          <w:p>
            <w:pPr>
              <w:spacing w:after="0"/>
              <w:rPr>
                <w:sz w:val="7"/>
                <w:szCs w:val="7"/>
                <w:color w:val="auto"/>
              </w:rPr>
            </w:pPr>
          </w:p>
        </w:tc>
        <w:tc>
          <w:tcPr>
            <w:tcW w:w="940" w:type="dxa"/>
            <w:vAlign w:val="bottom"/>
            <w:tcBorders>
              <w:bottom w:val="single" w:sz="8" w:color="DEDBD3"/>
            </w:tcBorders>
            <w:shd w:val="clear" w:color="auto" w:fill="DEDBD3"/>
          </w:tcPr>
          <w:p>
            <w:pPr>
              <w:spacing w:after="0"/>
              <w:rPr>
                <w:sz w:val="7"/>
                <w:szCs w:val="7"/>
                <w:color w:val="auto"/>
              </w:rPr>
            </w:pPr>
          </w:p>
        </w:tc>
        <w:tc>
          <w:tcPr>
            <w:tcW w:w="740" w:type="dxa"/>
            <w:vAlign w:val="bottom"/>
            <w:tcBorders>
              <w:bottom w:val="single" w:sz="8" w:color="DEDBD3"/>
            </w:tcBorders>
            <w:shd w:val="clear" w:color="auto" w:fill="DEDBD3"/>
          </w:tcPr>
          <w:p>
            <w:pPr>
              <w:spacing w:after="0"/>
              <w:rPr>
                <w:sz w:val="7"/>
                <w:szCs w:val="7"/>
                <w:color w:val="auto"/>
              </w:rPr>
            </w:pPr>
          </w:p>
        </w:tc>
        <w:tc>
          <w:tcPr>
            <w:tcW w:w="220" w:type="dxa"/>
            <w:vAlign w:val="bottom"/>
            <w:tcBorders>
              <w:bottom w:val="single" w:sz="8" w:color="DEDBD3"/>
            </w:tcBorders>
            <w:shd w:val="clear" w:color="auto" w:fill="DEDBD3"/>
          </w:tcPr>
          <w:p>
            <w:pPr>
              <w:spacing w:after="0"/>
              <w:rPr>
                <w:sz w:val="7"/>
                <w:szCs w:val="7"/>
                <w:color w:val="auto"/>
              </w:rPr>
            </w:pPr>
          </w:p>
        </w:tc>
        <w:tc>
          <w:tcPr>
            <w:tcW w:w="860" w:type="dxa"/>
            <w:vAlign w:val="bottom"/>
            <w:tcBorders>
              <w:bottom w:val="single" w:sz="8" w:color="DEDBD3"/>
            </w:tcBorders>
            <w:shd w:val="clear" w:color="auto" w:fill="DEDBD3"/>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760" w:type="dxa"/>
            <w:vAlign w:val="bottom"/>
            <w:vMerge w:val="restart"/>
            <w:shd w:val="clear" w:color="auto" w:fill="FDF9F2"/>
          </w:tcPr>
          <w:p>
            <w:pPr>
              <w:ind w:left="60"/>
              <w:spacing w:after="0"/>
              <w:rPr>
                <w:sz w:val="20"/>
                <w:szCs w:val="20"/>
                <w:color w:val="auto"/>
              </w:rPr>
            </w:pPr>
            <w:r>
              <w:rPr>
                <w:rFonts w:ascii="Arial" w:cs="Arial" w:eastAsia="Arial" w:hAnsi="Arial"/>
                <w:sz w:val="12"/>
                <w:szCs w:val="12"/>
                <w:b w:val="1"/>
                <w:bCs w:val="1"/>
                <w:color w:val="auto"/>
              </w:rPr>
              <w:t>Ellen F. Whittemore</w:t>
            </w:r>
          </w:p>
        </w:tc>
        <w:tc>
          <w:tcPr>
            <w:tcW w:w="100" w:type="dxa"/>
            <w:vAlign w:val="bottom"/>
            <w:shd w:val="clear" w:color="auto" w:fill="FDF9F2"/>
          </w:tcPr>
          <w:p>
            <w:pPr>
              <w:spacing w:after="0"/>
              <w:rPr>
                <w:sz w:val="20"/>
                <w:szCs w:val="20"/>
                <w:color w:val="auto"/>
              </w:rPr>
            </w:pPr>
          </w:p>
        </w:tc>
        <w:tc>
          <w:tcPr>
            <w:tcW w:w="2500" w:type="dxa"/>
            <w:vAlign w:val="bottom"/>
            <w:shd w:val="clear" w:color="auto" w:fill="FDF9F2"/>
          </w:tcPr>
          <w:p>
            <w:pPr>
              <w:ind w:left="60"/>
              <w:spacing w:after="0"/>
              <w:rPr>
                <w:sz w:val="20"/>
                <w:szCs w:val="20"/>
                <w:color w:val="auto"/>
              </w:rPr>
            </w:pPr>
            <w:r>
              <w:rPr>
                <w:rFonts w:ascii="Arial" w:cs="Arial" w:eastAsia="Arial" w:hAnsi="Arial"/>
                <w:sz w:val="12"/>
                <w:szCs w:val="12"/>
                <w:b w:val="1"/>
                <w:bCs w:val="1"/>
                <w:color w:val="auto"/>
              </w:rPr>
              <w:t>Wynn Resorts, Limited</w:t>
            </w:r>
          </w:p>
        </w:tc>
        <w:tc>
          <w:tcPr>
            <w:tcW w:w="1840" w:type="dxa"/>
            <w:vAlign w:val="bottom"/>
            <w:shd w:val="clear" w:color="auto" w:fill="FDF9F2"/>
          </w:tcPr>
          <w:p>
            <w:pPr>
              <w:jc w:val="center"/>
              <w:ind w:left="771"/>
              <w:spacing w:after="0"/>
              <w:rPr>
                <w:sz w:val="20"/>
                <w:szCs w:val="20"/>
                <w:color w:val="auto"/>
              </w:rPr>
            </w:pPr>
            <w:r>
              <w:rPr>
                <w:rFonts w:ascii="Arial" w:cs="Arial" w:eastAsia="Arial" w:hAnsi="Arial"/>
                <w:sz w:val="14"/>
                <w:szCs w:val="14"/>
                <w:color w:val="auto"/>
              </w:rPr>
              <w:t>10,383</w:t>
            </w:r>
          </w:p>
        </w:tc>
        <w:tc>
          <w:tcPr>
            <w:tcW w:w="90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shd w:val="clear" w:color="auto" w:fill="FDF9F2"/>
          </w:tcPr>
          <w:p>
            <w:pPr>
              <w:jc w:val="right"/>
              <w:ind w:right="31"/>
              <w:spacing w:after="0"/>
              <w:rPr>
                <w:sz w:val="20"/>
                <w:szCs w:val="20"/>
                <w:color w:val="auto"/>
              </w:rPr>
            </w:pPr>
            <w:r>
              <w:rPr>
                <w:rFonts w:ascii="Arial" w:cs="Arial" w:eastAsia="Arial" w:hAnsi="Arial"/>
                <w:sz w:val="14"/>
                <w:szCs w:val="14"/>
                <w:color w:val="auto"/>
              </w:rPr>
              <w:t>$58.85</w:t>
            </w:r>
          </w:p>
        </w:tc>
        <w:tc>
          <w:tcPr>
            <w:tcW w:w="940" w:type="dxa"/>
            <w:vAlign w:val="bottom"/>
            <w:shd w:val="clear" w:color="auto" w:fill="FDF9F2"/>
          </w:tcPr>
          <w:p>
            <w:pPr>
              <w:jc w:val="center"/>
              <w:spacing w:after="0"/>
              <w:rPr>
                <w:sz w:val="20"/>
                <w:szCs w:val="20"/>
                <w:color w:val="auto"/>
              </w:rPr>
            </w:pPr>
            <w:r>
              <w:rPr>
                <w:rFonts w:ascii="Arial" w:cs="Arial" w:eastAsia="Arial" w:hAnsi="Arial"/>
                <w:sz w:val="14"/>
                <w:szCs w:val="14"/>
                <w:color w:val="auto"/>
              </w:rPr>
              <w:t>05/ 11/2025</w:t>
            </w:r>
          </w:p>
        </w:tc>
        <w:tc>
          <w:tcPr>
            <w:tcW w:w="74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8"/>
              </w:rPr>
              <w:t>32,159</w:t>
            </w:r>
            <w:r>
              <w:rPr>
                <w:rFonts w:ascii="Arial" w:cs="Arial" w:eastAsia="Arial" w:hAnsi="Arial"/>
                <w:sz w:val="8"/>
                <w:szCs w:val="8"/>
                <w:color w:val="auto"/>
                <w:w w:val="98"/>
              </w:rPr>
              <w:t>(4)</w:t>
            </w:r>
          </w:p>
        </w:tc>
        <w:tc>
          <w:tcPr>
            <w:tcW w:w="220" w:type="dxa"/>
            <w:vAlign w:val="bottom"/>
            <w:shd w:val="clear" w:color="auto" w:fill="FDF9F2"/>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shd w:val="clear" w:color="auto" w:fill="FDF9F2"/>
          </w:tcPr>
          <w:p>
            <w:pPr>
              <w:jc w:val="right"/>
              <w:ind w:right="31"/>
              <w:spacing w:after="0"/>
              <w:rPr>
                <w:sz w:val="20"/>
                <w:szCs w:val="20"/>
                <w:color w:val="auto"/>
              </w:rPr>
            </w:pPr>
            <w:r>
              <w:rPr>
                <w:rFonts w:ascii="Arial" w:cs="Arial" w:eastAsia="Arial" w:hAnsi="Arial"/>
                <w:sz w:val="14"/>
                <w:szCs w:val="14"/>
                <w:color w:val="auto"/>
              </w:rPr>
              <w:t>2,652,153</w:t>
            </w:r>
          </w:p>
        </w:tc>
        <w:tc>
          <w:tcPr>
            <w:tcW w:w="0" w:type="dxa"/>
            <w:vAlign w:val="bottom"/>
          </w:tcPr>
          <w:p>
            <w:pPr>
              <w:spacing w:after="0"/>
              <w:rPr>
                <w:sz w:val="1"/>
                <w:szCs w:val="1"/>
                <w:color w:val="auto"/>
              </w:rPr>
            </w:pPr>
          </w:p>
        </w:tc>
      </w:tr>
      <w:tr>
        <w:trPr>
          <w:trHeight w:val="87"/>
        </w:trPr>
        <w:tc>
          <w:tcPr>
            <w:tcW w:w="1760" w:type="dxa"/>
            <w:vAlign w:val="bottom"/>
            <w:vMerge w:val="continue"/>
            <w:shd w:val="clear" w:color="auto" w:fill="FDF9F2"/>
          </w:tcPr>
          <w:p>
            <w:pPr>
              <w:spacing w:after="0"/>
              <w:rPr>
                <w:sz w:val="7"/>
                <w:szCs w:val="7"/>
                <w:color w:val="auto"/>
              </w:rPr>
            </w:pPr>
          </w:p>
        </w:tc>
        <w:tc>
          <w:tcPr>
            <w:tcW w:w="100" w:type="dxa"/>
            <w:vAlign w:val="bottom"/>
            <w:shd w:val="clear" w:color="auto" w:fill="FDF9F2"/>
          </w:tcPr>
          <w:p>
            <w:pPr>
              <w:spacing w:after="0"/>
              <w:rPr>
                <w:sz w:val="7"/>
                <w:szCs w:val="7"/>
                <w:color w:val="auto"/>
              </w:rPr>
            </w:pPr>
          </w:p>
        </w:tc>
        <w:tc>
          <w:tcPr>
            <w:tcW w:w="2500" w:type="dxa"/>
            <w:vAlign w:val="bottom"/>
            <w:vMerge w:val="restart"/>
            <w:shd w:val="clear" w:color="auto" w:fill="FDF9F2"/>
          </w:tcPr>
          <w:p>
            <w:pPr>
              <w:ind w:left="60"/>
              <w:spacing w:after="0"/>
              <w:rPr>
                <w:sz w:val="20"/>
                <w:szCs w:val="20"/>
                <w:color w:val="auto"/>
              </w:rPr>
            </w:pPr>
            <w:r>
              <w:rPr>
                <w:rFonts w:ascii="Arial" w:cs="Arial" w:eastAsia="Arial" w:hAnsi="Arial"/>
                <w:sz w:val="12"/>
                <w:szCs w:val="12"/>
                <w:b w:val="1"/>
                <w:bCs w:val="1"/>
                <w:color w:val="auto"/>
              </w:rPr>
              <w:t>Wynn Interactive Ltd</w:t>
            </w:r>
          </w:p>
        </w:tc>
        <w:tc>
          <w:tcPr>
            <w:tcW w:w="1840" w:type="dxa"/>
            <w:vAlign w:val="bottom"/>
            <w:vMerge w:val="restart"/>
            <w:shd w:val="clear" w:color="auto" w:fill="FDF9F2"/>
          </w:tcPr>
          <w:p>
            <w:pPr>
              <w:jc w:val="center"/>
              <w:ind w:left="771"/>
              <w:spacing w:after="0"/>
              <w:rPr>
                <w:sz w:val="20"/>
                <w:szCs w:val="20"/>
                <w:color w:val="auto"/>
              </w:rPr>
            </w:pPr>
            <w:r>
              <w:rPr>
                <w:rFonts w:ascii="Arial" w:cs="Arial" w:eastAsia="Arial" w:hAnsi="Arial"/>
                <w:sz w:val="14"/>
                <w:szCs w:val="14"/>
                <w:color w:val="auto"/>
              </w:rPr>
              <w:t>1,825</w:t>
            </w:r>
          </w:p>
        </w:tc>
        <w:tc>
          <w:tcPr>
            <w:tcW w:w="900" w:type="dxa"/>
            <w:vAlign w:val="bottom"/>
            <w:vMerge w:val="restart"/>
            <w:shd w:val="clear" w:color="auto" w:fill="FDF9F2"/>
          </w:tcPr>
          <w:p>
            <w:pPr>
              <w:jc w:val="center"/>
              <w:spacing w:after="0"/>
              <w:rPr>
                <w:sz w:val="20"/>
                <w:szCs w:val="20"/>
                <w:color w:val="auto"/>
              </w:rPr>
            </w:pPr>
            <w:r>
              <w:rPr>
                <w:rFonts w:ascii="Arial" w:cs="Arial" w:eastAsia="Arial" w:hAnsi="Arial"/>
                <w:sz w:val="14"/>
                <w:szCs w:val="14"/>
                <w:color w:val="auto"/>
              </w:rPr>
              <w:t>1,825</w:t>
            </w:r>
          </w:p>
        </w:tc>
        <w:tc>
          <w:tcPr>
            <w:tcW w:w="760" w:type="dxa"/>
            <w:vAlign w:val="bottom"/>
            <w:vMerge w:val="restart"/>
            <w:shd w:val="clear" w:color="auto" w:fill="FDF9F2"/>
          </w:tcPr>
          <w:p>
            <w:pPr>
              <w:jc w:val="right"/>
              <w:ind w:right="31"/>
              <w:spacing w:after="0"/>
              <w:rPr>
                <w:sz w:val="20"/>
                <w:szCs w:val="20"/>
                <w:color w:val="auto"/>
              </w:rPr>
            </w:pPr>
            <w:r>
              <w:rPr>
                <w:rFonts w:ascii="Arial" w:cs="Arial" w:eastAsia="Arial" w:hAnsi="Arial"/>
                <w:sz w:val="14"/>
                <w:szCs w:val="14"/>
                <w:color w:val="auto"/>
              </w:rPr>
              <w:t>$78.62</w:t>
            </w:r>
          </w:p>
        </w:tc>
        <w:tc>
          <w:tcPr>
            <w:tcW w:w="940" w:type="dxa"/>
            <w:vAlign w:val="bottom"/>
            <w:vMerge w:val="restart"/>
            <w:shd w:val="clear" w:color="auto" w:fill="FDF9F2"/>
          </w:tcPr>
          <w:p>
            <w:pPr>
              <w:jc w:val="center"/>
              <w:spacing w:after="0"/>
              <w:rPr>
                <w:sz w:val="20"/>
                <w:szCs w:val="20"/>
                <w:color w:val="auto"/>
              </w:rPr>
            </w:pPr>
            <w:r>
              <w:rPr>
                <w:rFonts w:ascii="Arial" w:cs="Arial" w:eastAsia="Arial" w:hAnsi="Arial"/>
                <w:sz w:val="14"/>
                <w:szCs w:val="14"/>
                <w:color w:val="auto"/>
              </w:rPr>
              <w:t>12/11/2030</w:t>
            </w:r>
            <w:r>
              <w:rPr>
                <w:rFonts w:ascii="Arial" w:cs="Arial" w:eastAsia="Arial" w:hAnsi="Arial"/>
                <w:sz w:val="8"/>
                <w:szCs w:val="8"/>
                <w:color w:val="auto"/>
              </w:rPr>
              <w:t>(1)</w:t>
            </w:r>
          </w:p>
        </w:tc>
        <w:tc>
          <w:tcPr>
            <w:tcW w:w="740" w:type="dxa"/>
            <w:vAlign w:val="bottom"/>
            <w:vMerge w:val="restart"/>
            <w:shd w:val="clear" w:color="auto" w:fill="FDF9F2"/>
          </w:tcPr>
          <w:p>
            <w:pPr>
              <w:jc w:val="center"/>
              <w:spacing w:after="0"/>
              <w:rPr>
                <w:sz w:val="20"/>
                <w:szCs w:val="20"/>
                <w:color w:val="auto"/>
              </w:rPr>
            </w:pPr>
            <w:r>
              <w:rPr>
                <w:rFonts w:ascii="Arial" w:cs="Arial" w:eastAsia="Arial" w:hAnsi="Arial"/>
                <w:sz w:val="14"/>
                <w:szCs w:val="14"/>
                <w:color w:val="auto"/>
                <w:w w:val="84"/>
              </w:rPr>
              <w:t>-</w:t>
            </w:r>
          </w:p>
        </w:tc>
        <w:tc>
          <w:tcPr>
            <w:tcW w:w="220" w:type="dxa"/>
            <w:vAlign w:val="bottom"/>
            <w:vMerge w:val="restart"/>
            <w:shd w:val="clear" w:color="auto" w:fill="FDF9F2"/>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FDF9F2"/>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1760" w:type="dxa"/>
            <w:vAlign w:val="bottom"/>
            <w:shd w:val="clear" w:color="auto" w:fill="FDF9F2"/>
          </w:tcPr>
          <w:p>
            <w:pPr>
              <w:spacing w:after="0"/>
              <w:rPr>
                <w:sz w:val="9"/>
                <w:szCs w:val="9"/>
                <w:color w:val="auto"/>
              </w:rPr>
            </w:pPr>
          </w:p>
        </w:tc>
        <w:tc>
          <w:tcPr>
            <w:tcW w:w="100" w:type="dxa"/>
            <w:vAlign w:val="bottom"/>
            <w:shd w:val="clear" w:color="auto" w:fill="FDF9F2"/>
          </w:tcPr>
          <w:p>
            <w:pPr>
              <w:spacing w:after="0"/>
              <w:rPr>
                <w:sz w:val="9"/>
                <w:szCs w:val="9"/>
                <w:color w:val="auto"/>
              </w:rPr>
            </w:pPr>
          </w:p>
        </w:tc>
        <w:tc>
          <w:tcPr>
            <w:tcW w:w="2500" w:type="dxa"/>
            <w:vAlign w:val="bottom"/>
            <w:vMerge w:val="continue"/>
            <w:shd w:val="clear" w:color="auto" w:fill="FDF9F2"/>
          </w:tcPr>
          <w:p>
            <w:pPr>
              <w:spacing w:after="0"/>
              <w:rPr>
                <w:sz w:val="9"/>
                <w:szCs w:val="9"/>
                <w:color w:val="auto"/>
              </w:rPr>
            </w:pPr>
          </w:p>
        </w:tc>
        <w:tc>
          <w:tcPr>
            <w:tcW w:w="1840" w:type="dxa"/>
            <w:vAlign w:val="bottom"/>
            <w:vMerge w:val="continue"/>
            <w:shd w:val="clear" w:color="auto" w:fill="FDF9F2"/>
          </w:tcPr>
          <w:p>
            <w:pPr>
              <w:spacing w:after="0"/>
              <w:rPr>
                <w:sz w:val="9"/>
                <w:szCs w:val="9"/>
                <w:color w:val="auto"/>
              </w:rPr>
            </w:pPr>
          </w:p>
        </w:tc>
        <w:tc>
          <w:tcPr>
            <w:tcW w:w="900" w:type="dxa"/>
            <w:vAlign w:val="bottom"/>
            <w:vMerge w:val="continue"/>
            <w:shd w:val="clear" w:color="auto" w:fill="FDF9F2"/>
          </w:tcPr>
          <w:p>
            <w:pPr>
              <w:spacing w:after="0"/>
              <w:rPr>
                <w:sz w:val="9"/>
                <w:szCs w:val="9"/>
                <w:color w:val="auto"/>
              </w:rPr>
            </w:pPr>
          </w:p>
        </w:tc>
        <w:tc>
          <w:tcPr>
            <w:tcW w:w="760" w:type="dxa"/>
            <w:vAlign w:val="bottom"/>
            <w:vMerge w:val="continue"/>
            <w:shd w:val="clear" w:color="auto" w:fill="FDF9F2"/>
          </w:tcPr>
          <w:p>
            <w:pPr>
              <w:spacing w:after="0"/>
              <w:rPr>
                <w:sz w:val="9"/>
                <w:szCs w:val="9"/>
                <w:color w:val="auto"/>
              </w:rPr>
            </w:pPr>
          </w:p>
        </w:tc>
        <w:tc>
          <w:tcPr>
            <w:tcW w:w="940" w:type="dxa"/>
            <w:vAlign w:val="bottom"/>
            <w:vMerge w:val="continue"/>
            <w:shd w:val="clear" w:color="auto" w:fill="FDF9F2"/>
          </w:tcPr>
          <w:p>
            <w:pPr>
              <w:spacing w:after="0"/>
              <w:rPr>
                <w:sz w:val="9"/>
                <w:szCs w:val="9"/>
                <w:color w:val="auto"/>
              </w:rPr>
            </w:pPr>
          </w:p>
        </w:tc>
        <w:tc>
          <w:tcPr>
            <w:tcW w:w="740" w:type="dxa"/>
            <w:vAlign w:val="bottom"/>
            <w:vMerge w:val="continue"/>
            <w:shd w:val="clear" w:color="auto" w:fill="FDF9F2"/>
          </w:tcPr>
          <w:p>
            <w:pPr>
              <w:spacing w:after="0"/>
              <w:rPr>
                <w:sz w:val="9"/>
                <w:szCs w:val="9"/>
                <w:color w:val="auto"/>
              </w:rPr>
            </w:pPr>
          </w:p>
        </w:tc>
        <w:tc>
          <w:tcPr>
            <w:tcW w:w="220" w:type="dxa"/>
            <w:vAlign w:val="bottom"/>
            <w:vMerge w:val="continue"/>
            <w:shd w:val="clear" w:color="auto" w:fill="FDF9F2"/>
          </w:tcPr>
          <w:p>
            <w:pPr>
              <w:spacing w:after="0"/>
              <w:rPr>
                <w:sz w:val="9"/>
                <w:szCs w:val="9"/>
                <w:color w:val="auto"/>
              </w:rPr>
            </w:pPr>
          </w:p>
        </w:tc>
        <w:tc>
          <w:tcPr>
            <w:tcW w:w="860" w:type="dxa"/>
            <w:vAlign w:val="bottom"/>
            <w:vMerge w:val="continue"/>
            <w:shd w:val="clear" w:color="auto" w:fill="FDF9F2"/>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1760" w:type="dxa"/>
            <w:vAlign w:val="bottom"/>
            <w:shd w:val="clear" w:color="auto" w:fill="FDF9F2"/>
          </w:tcPr>
          <w:p>
            <w:pPr>
              <w:spacing w:after="0"/>
              <w:rPr>
                <w:sz w:val="2"/>
                <w:szCs w:val="2"/>
                <w:color w:val="auto"/>
              </w:rPr>
            </w:pPr>
          </w:p>
        </w:tc>
        <w:tc>
          <w:tcPr>
            <w:tcW w:w="100" w:type="dxa"/>
            <w:vAlign w:val="bottom"/>
            <w:shd w:val="clear" w:color="auto" w:fill="FDF9F2"/>
          </w:tcPr>
          <w:p>
            <w:pPr>
              <w:spacing w:after="0"/>
              <w:rPr>
                <w:sz w:val="2"/>
                <w:szCs w:val="2"/>
                <w:color w:val="auto"/>
              </w:rPr>
            </w:pPr>
          </w:p>
        </w:tc>
        <w:tc>
          <w:tcPr>
            <w:tcW w:w="2500" w:type="dxa"/>
            <w:vAlign w:val="bottom"/>
            <w:shd w:val="clear" w:color="auto" w:fill="FDF9F2"/>
          </w:tcPr>
          <w:p>
            <w:pPr>
              <w:spacing w:after="0"/>
              <w:rPr>
                <w:sz w:val="2"/>
                <w:szCs w:val="2"/>
                <w:color w:val="auto"/>
              </w:rPr>
            </w:pPr>
          </w:p>
        </w:tc>
        <w:tc>
          <w:tcPr>
            <w:tcW w:w="1840" w:type="dxa"/>
            <w:vAlign w:val="bottom"/>
            <w:shd w:val="clear" w:color="auto" w:fill="FDF9F2"/>
          </w:tcPr>
          <w:p>
            <w:pPr>
              <w:spacing w:after="0"/>
              <w:rPr>
                <w:sz w:val="2"/>
                <w:szCs w:val="2"/>
                <w:color w:val="auto"/>
              </w:rPr>
            </w:pPr>
          </w:p>
        </w:tc>
        <w:tc>
          <w:tcPr>
            <w:tcW w:w="900" w:type="dxa"/>
            <w:vAlign w:val="bottom"/>
            <w:shd w:val="clear" w:color="auto" w:fill="FDF9F2"/>
          </w:tcPr>
          <w:p>
            <w:pPr>
              <w:spacing w:after="0"/>
              <w:rPr>
                <w:sz w:val="2"/>
                <w:szCs w:val="2"/>
                <w:color w:val="auto"/>
              </w:rPr>
            </w:pPr>
          </w:p>
        </w:tc>
        <w:tc>
          <w:tcPr>
            <w:tcW w:w="760" w:type="dxa"/>
            <w:vAlign w:val="bottom"/>
            <w:shd w:val="clear" w:color="auto" w:fill="FDF9F2"/>
          </w:tcPr>
          <w:p>
            <w:pPr>
              <w:spacing w:after="0"/>
              <w:rPr>
                <w:sz w:val="2"/>
                <w:szCs w:val="2"/>
                <w:color w:val="auto"/>
              </w:rPr>
            </w:pPr>
          </w:p>
        </w:tc>
        <w:tc>
          <w:tcPr>
            <w:tcW w:w="940" w:type="dxa"/>
            <w:vAlign w:val="bottom"/>
            <w:shd w:val="clear" w:color="auto" w:fill="FDF9F2"/>
          </w:tcPr>
          <w:p>
            <w:pPr>
              <w:spacing w:after="0"/>
              <w:rPr>
                <w:sz w:val="2"/>
                <w:szCs w:val="2"/>
                <w:color w:val="auto"/>
              </w:rPr>
            </w:pPr>
          </w:p>
        </w:tc>
        <w:tc>
          <w:tcPr>
            <w:tcW w:w="740" w:type="dxa"/>
            <w:vAlign w:val="bottom"/>
            <w:shd w:val="clear" w:color="auto" w:fill="FDF9F2"/>
          </w:tcPr>
          <w:p>
            <w:pPr>
              <w:spacing w:after="0"/>
              <w:rPr>
                <w:sz w:val="2"/>
                <w:szCs w:val="2"/>
                <w:color w:val="auto"/>
              </w:rPr>
            </w:pPr>
          </w:p>
        </w:tc>
        <w:tc>
          <w:tcPr>
            <w:tcW w:w="220" w:type="dxa"/>
            <w:vAlign w:val="bottom"/>
            <w:shd w:val="clear" w:color="auto" w:fill="FDF9F2"/>
          </w:tcPr>
          <w:p>
            <w:pPr>
              <w:spacing w:after="0"/>
              <w:rPr>
                <w:sz w:val="2"/>
                <w:szCs w:val="2"/>
                <w:color w:val="auto"/>
              </w:rPr>
            </w:pPr>
          </w:p>
        </w:tc>
        <w:tc>
          <w:tcPr>
            <w:tcW w:w="860" w:type="dxa"/>
            <w:vAlign w:val="bottom"/>
            <w:shd w:val="clear" w:color="auto" w:fill="FDF9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320" w:right="40" w:hanging="4"/>
        <w:spacing w:after="0" w:line="239" w:lineRule="auto"/>
        <w:tabs>
          <w:tab w:leader="none" w:pos="502" w:val="left"/>
        </w:tabs>
        <w:numPr>
          <w:ilvl w:val="0"/>
          <w:numId w:val="42"/>
        </w:numPr>
        <w:rPr>
          <w:rFonts w:ascii="Arial" w:cs="Arial" w:eastAsia="Arial" w:hAnsi="Arial"/>
          <w:sz w:val="12"/>
          <w:szCs w:val="12"/>
          <w:color w:val="auto"/>
        </w:rPr>
      </w:pPr>
      <w:r>
        <w:rPr>
          <w:rFonts w:ascii="Arial" w:cs="Arial" w:eastAsia="Arial" w:hAnsi="Arial"/>
          <w:sz w:val="12"/>
          <w:szCs w:val="12"/>
          <w:color w:val="auto"/>
        </w:rPr>
        <w:t>On December 11, 2020, in recognition of additional responsibilities as members of the board of Wynn Interactive, Mr. Billings and Ms. Whittemore were granted options to acquire shares of Wynn Interactive Ltd, a majority-owned subsidiary of the Company. The options vest 25% each year on the anniversary date for four years subject to continued employment.</w:t>
      </w:r>
    </w:p>
    <w:p>
      <w:pPr>
        <w:spacing w:after="0" w:line="89" w:lineRule="exact"/>
        <w:rPr>
          <w:rFonts w:ascii="Arial" w:cs="Arial" w:eastAsia="Arial" w:hAnsi="Arial"/>
          <w:sz w:val="12"/>
          <w:szCs w:val="12"/>
          <w:color w:val="auto"/>
        </w:rPr>
      </w:pPr>
    </w:p>
    <w:p>
      <w:pPr>
        <w:ind w:left="320" w:right="160" w:hanging="4"/>
        <w:spacing w:after="0" w:line="233" w:lineRule="auto"/>
        <w:tabs>
          <w:tab w:leader="none" w:pos="502" w:val="left"/>
        </w:tabs>
        <w:numPr>
          <w:ilvl w:val="0"/>
          <w:numId w:val="42"/>
        </w:numPr>
        <w:rPr>
          <w:rFonts w:ascii="Arial" w:cs="Arial" w:eastAsia="Arial" w:hAnsi="Arial"/>
          <w:sz w:val="12"/>
          <w:szCs w:val="12"/>
          <w:color w:val="auto"/>
        </w:rPr>
      </w:pPr>
      <w:r>
        <w:rPr>
          <w:rFonts w:ascii="Arial" w:cs="Arial" w:eastAsia="Arial" w:hAnsi="Arial"/>
          <w:sz w:val="12"/>
          <w:szCs w:val="12"/>
          <w:color w:val="auto"/>
        </w:rPr>
        <w:t>7,332 shares will vest on March 1, 2023; 3,394 shares will vest on February 28, 2023, and 3,395 shares will vest on February 28, 2024; 8,741 shares will vest on February 28, 2023 and 2024, and 8,742 shares will vest on February 28, 2025, all of which are subject to continued employment and the achievement of pre-established property-level performance goals. 5,000 shares will vest on March 1, 2023; 3,394 shares will vest on January 11, 2023, and 3,395 shares will vest on January 11, 2024; 17,572 shares will vest on November 9, 2023 and 2024; 17,482 shares will vest on January 12, 2023, and 17,483 shares will vest on January 12, 2024 and 2025, all of which are subject to continued employment.</w:t>
      </w:r>
    </w:p>
    <w:p>
      <w:pPr>
        <w:spacing w:after="0" w:line="88" w:lineRule="exact"/>
        <w:rPr>
          <w:rFonts w:ascii="Arial" w:cs="Arial" w:eastAsia="Arial" w:hAnsi="Arial"/>
          <w:sz w:val="12"/>
          <w:szCs w:val="12"/>
          <w:color w:val="auto"/>
        </w:rPr>
      </w:pPr>
    </w:p>
    <w:p>
      <w:pPr>
        <w:jc w:val="both"/>
        <w:ind w:left="320" w:right="280" w:hanging="4"/>
        <w:spacing w:after="0" w:line="235" w:lineRule="auto"/>
        <w:tabs>
          <w:tab w:leader="none" w:pos="502" w:val="left"/>
        </w:tabs>
        <w:numPr>
          <w:ilvl w:val="0"/>
          <w:numId w:val="42"/>
        </w:numPr>
        <w:rPr>
          <w:rFonts w:ascii="Arial" w:cs="Arial" w:eastAsia="Arial" w:hAnsi="Arial"/>
          <w:sz w:val="12"/>
          <w:szCs w:val="12"/>
          <w:color w:val="auto"/>
        </w:rPr>
      </w:pPr>
      <w:r>
        <w:rPr>
          <w:rFonts w:ascii="Arial" w:cs="Arial" w:eastAsia="Arial" w:hAnsi="Arial"/>
          <w:sz w:val="12"/>
          <w:szCs w:val="12"/>
          <w:color w:val="auto"/>
        </w:rPr>
        <w:t>1,748 shares will vest on February 28, 2023 and 2024, 1,749 shares will vest on February 28, 2025, all of which are subject to continued employment and the achievement of pre-established property-level performance goals. 3,496 shares will vest on January 12, 2023, and 3,497 shares will vest on January 12, 2024 and 2025; 11,344 shares will vest on April 18, 2023 and 2024, and 11,345 shares will vest on April 18, 2025, all of which are subject to continued employment.</w:t>
      </w:r>
    </w:p>
    <w:p>
      <w:pPr>
        <w:spacing w:after="0" w:line="88" w:lineRule="exact"/>
        <w:rPr>
          <w:rFonts w:ascii="Arial" w:cs="Arial" w:eastAsia="Arial" w:hAnsi="Arial"/>
          <w:sz w:val="12"/>
          <w:szCs w:val="12"/>
          <w:color w:val="auto"/>
        </w:rPr>
      </w:pPr>
    </w:p>
    <w:p>
      <w:pPr>
        <w:jc w:val="both"/>
        <w:ind w:left="320" w:right="180" w:hanging="4"/>
        <w:spacing w:after="0" w:line="233" w:lineRule="auto"/>
        <w:tabs>
          <w:tab w:leader="none" w:pos="502" w:val="left"/>
        </w:tabs>
        <w:numPr>
          <w:ilvl w:val="0"/>
          <w:numId w:val="42"/>
        </w:numPr>
        <w:rPr>
          <w:rFonts w:ascii="Arial" w:cs="Arial" w:eastAsia="Arial" w:hAnsi="Arial"/>
          <w:sz w:val="12"/>
          <w:szCs w:val="12"/>
          <w:color w:val="auto"/>
        </w:rPr>
      </w:pPr>
      <w:r>
        <w:rPr>
          <w:rFonts w:ascii="Arial" w:cs="Arial" w:eastAsia="Arial" w:hAnsi="Arial"/>
          <w:sz w:val="12"/>
          <w:szCs w:val="12"/>
          <w:color w:val="auto"/>
        </w:rPr>
        <w:t>3,583 shares will vest on March 1, 2023; 1,658 shares will vest on February 28, 2023, and 1,660 shares will vest on February 28, 2024; 2,039 shares will vest on February 28, 2023, and 2,040 shares will vest on February 28, 2024 and 2025, all of which are subject to service during the performance period and the achievement of pre-established property-level performance goals. 3,583 shares will vest on January 14, 2023; 1,658 shares will vest on January 11, 2023, and 1,660 shares will vest on January 11, 2024; 4,079 shares will vest on January 12, 2023 and 2024, and 4,080 shares will vest on January 12, 2025, all of which are subject to continued employment.</w:t>
      </w:r>
    </w:p>
    <w:p>
      <w:pPr>
        <w:spacing w:after="0" w:line="88" w:lineRule="exact"/>
        <w:rPr>
          <w:rFonts w:ascii="Arial" w:cs="Arial" w:eastAsia="Arial" w:hAnsi="Arial"/>
          <w:sz w:val="12"/>
          <w:szCs w:val="12"/>
          <w:color w:val="auto"/>
        </w:rPr>
      </w:pPr>
    </w:p>
    <w:p>
      <w:pPr>
        <w:ind w:left="500" w:hanging="184"/>
        <w:spacing w:after="0"/>
        <w:tabs>
          <w:tab w:leader="none" w:pos="50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Amounts in this column are based upon the closing price of the Company’s stock at December 31, 2022, which was $82.47.</w:t>
      </w:r>
    </w:p>
    <w:p>
      <w:pPr>
        <w:spacing w:after="0" w:line="8"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48 //</w:t>
      </w:r>
    </w:p>
    <w:p>
      <w:pPr>
        <w:sectPr>
          <w:pgSz w:w="11900" w:h="16838" w:orient="portrait"/>
          <w:cols w:equalWidth="0" w:num="1">
            <w:col w:w="10940"/>
          </w:cols>
          <w:pgMar w:left="320" w:top="473" w:right="6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auto"/>
        </w:rPr>
        <w:t>Option exercises and stock vested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162560</wp:posOffset>
            </wp:positionV>
            <wp:extent cx="6740525" cy="16275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40525" cy="1627505"/>
                    </a:xfrm>
                    <a:prstGeom prst="rect">
                      <a:avLst/>
                    </a:prstGeom>
                    <a:noFill/>
                  </pic:spPr>
                </pic:pic>
              </a:graphicData>
            </a:graphic>
          </wp:anchor>
        </w:drawing>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83"/>
        </w:trPr>
        <w:tc>
          <w:tcPr>
            <w:tcW w:w="5080" w:type="dxa"/>
            <w:vAlign w:val="bottom"/>
            <w:shd w:val="clear" w:color="auto" w:fill="DEDBD3"/>
          </w:tcPr>
          <w:p>
            <w:pPr>
              <w:spacing w:after="0"/>
              <w:rPr>
                <w:sz w:val="24"/>
                <w:szCs w:val="24"/>
                <w:color w:val="auto"/>
              </w:rPr>
            </w:pPr>
          </w:p>
        </w:tc>
        <w:tc>
          <w:tcPr>
            <w:tcW w:w="1860" w:type="dxa"/>
            <w:vAlign w:val="bottom"/>
            <w:gridSpan w:val="2"/>
            <w:shd w:val="clear" w:color="auto" w:fill="DEDBD3"/>
          </w:tcPr>
          <w:p>
            <w:pPr>
              <w:jc w:val="center"/>
              <w:ind w:right="74"/>
              <w:spacing w:after="0"/>
              <w:rPr>
                <w:sz w:val="20"/>
                <w:szCs w:val="20"/>
                <w:color w:val="auto"/>
              </w:rPr>
            </w:pPr>
            <w:r>
              <w:rPr>
                <w:rFonts w:ascii="Arial" w:cs="Arial" w:eastAsia="Arial" w:hAnsi="Arial"/>
                <w:sz w:val="12"/>
                <w:szCs w:val="12"/>
                <w:b w:val="1"/>
                <w:bCs w:val="1"/>
                <w:color w:val="auto"/>
              </w:rPr>
              <w:t>OPTION AWARDS</w:t>
            </w:r>
          </w:p>
        </w:tc>
        <w:tc>
          <w:tcPr>
            <w:tcW w:w="1180" w:type="dxa"/>
            <w:vAlign w:val="bottom"/>
            <w:shd w:val="clear" w:color="auto" w:fill="DEDBD3"/>
          </w:tcPr>
          <w:p>
            <w:pPr>
              <w:spacing w:after="0"/>
              <w:rPr>
                <w:sz w:val="24"/>
                <w:szCs w:val="24"/>
                <w:color w:val="auto"/>
              </w:rPr>
            </w:pPr>
          </w:p>
        </w:tc>
        <w:tc>
          <w:tcPr>
            <w:tcW w:w="1380" w:type="dxa"/>
            <w:vAlign w:val="bottom"/>
            <w:shd w:val="clear" w:color="auto" w:fill="DEDBD3"/>
          </w:tcPr>
          <w:p>
            <w:pPr>
              <w:jc w:val="right"/>
              <w:ind w:right="235"/>
              <w:spacing w:after="0"/>
              <w:rPr>
                <w:sz w:val="20"/>
                <w:szCs w:val="20"/>
                <w:color w:val="auto"/>
              </w:rPr>
            </w:pPr>
            <w:r>
              <w:rPr>
                <w:rFonts w:ascii="Arial" w:cs="Arial" w:eastAsia="Arial" w:hAnsi="Arial"/>
                <w:sz w:val="12"/>
                <w:szCs w:val="12"/>
                <w:b w:val="1"/>
                <w:bCs w:val="1"/>
                <w:color w:val="auto"/>
              </w:rPr>
              <w:t>STOCK AWARDS</w:t>
            </w:r>
          </w:p>
        </w:tc>
        <w:tc>
          <w:tcPr>
            <w:tcW w:w="1120" w:type="dxa"/>
            <w:vAlign w:val="bottom"/>
            <w:shd w:val="clear" w:color="auto" w:fill="DEDBD3"/>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80" w:type="dxa"/>
            <w:vAlign w:val="bottom"/>
            <w:shd w:val="clear" w:color="auto" w:fill="DEDBD3"/>
          </w:tcPr>
          <w:p>
            <w:pPr>
              <w:spacing w:after="0"/>
              <w:rPr>
                <w:sz w:val="24"/>
                <w:szCs w:val="24"/>
                <w:color w:val="auto"/>
              </w:rPr>
            </w:pPr>
          </w:p>
        </w:tc>
        <w:tc>
          <w:tcPr>
            <w:tcW w:w="900" w:type="dxa"/>
            <w:vAlign w:val="bottom"/>
            <w:shd w:val="clear" w:color="auto" w:fill="DEDBD3"/>
          </w:tcPr>
          <w:p>
            <w:pPr>
              <w:jc w:val="center"/>
              <w:spacing w:after="0"/>
              <w:rPr>
                <w:sz w:val="20"/>
                <w:szCs w:val="20"/>
                <w:color w:val="auto"/>
              </w:rPr>
            </w:pPr>
            <w:r>
              <w:rPr>
                <w:rFonts w:ascii="Arial" w:cs="Arial" w:eastAsia="Arial" w:hAnsi="Arial"/>
                <w:sz w:val="12"/>
                <w:szCs w:val="12"/>
                <w:color w:val="auto"/>
              </w:rPr>
              <w:t>NUMBER OF</w:t>
            </w:r>
          </w:p>
        </w:tc>
        <w:tc>
          <w:tcPr>
            <w:tcW w:w="960" w:type="dxa"/>
            <w:vAlign w:val="bottom"/>
            <w:vMerge w:val="restart"/>
            <w:shd w:val="clear" w:color="auto" w:fill="DEDBD3"/>
          </w:tcPr>
          <w:p>
            <w:pPr>
              <w:jc w:val="center"/>
              <w:ind w:right="114"/>
              <w:spacing w:after="0"/>
              <w:rPr>
                <w:sz w:val="20"/>
                <w:szCs w:val="20"/>
                <w:color w:val="auto"/>
              </w:rPr>
            </w:pPr>
            <w:r>
              <w:rPr>
                <w:rFonts w:ascii="Arial" w:cs="Arial" w:eastAsia="Arial" w:hAnsi="Arial"/>
                <w:sz w:val="12"/>
                <w:szCs w:val="12"/>
                <w:color w:val="auto"/>
                <w:w w:val="96"/>
              </w:rPr>
              <w:t>VALUE</w:t>
            </w:r>
          </w:p>
        </w:tc>
        <w:tc>
          <w:tcPr>
            <w:tcW w:w="1180" w:type="dxa"/>
            <w:vAlign w:val="bottom"/>
            <w:vMerge w:val="restart"/>
            <w:shd w:val="clear" w:color="auto" w:fill="DEDBD3"/>
          </w:tcPr>
          <w:p>
            <w:pPr>
              <w:jc w:val="center"/>
              <w:spacing w:after="0"/>
              <w:rPr>
                <w:sz w:val="20"/>
                <w:szCs w:val="20"/>
                <w:color w:val="auto"/>
              </w:rPr>
            </w:pPr>
            <w:r>
              <w:rPr>
                <w:rFonts w:ascii="Arial" w:cs="Arial" w:eastAsia="Arial" w:hAnsi="Arial"/>
                <w:sz w:val="12"/>
                <w:szCs w:val="12"/>
                <w:color w:val="auto"/>
              </w:rPr>
              <w:t>NUMBER OF</w:t>
            </w:r>
          </w:p>
        </w:tc>
        <w:tc>
          <w:tcPr>
            <w:tcW w:w="2500" w:type="dxa"/>
            <w:vAlign w:val="bottom"/>
            <w:gridSpan w:val="2"/>
            <w:vMerge w:val="restart"/>
            <w:shd w:val="clear" w:color="auto" w:fill="DEDBD3"/>
          </w:tcPr>
          <w:p>
            <w:pPr>
              <w:jc w:val="center"/>
              <w:ind w:left="115"/>
              <w:spacing w:after="0"/>
              <w:rPr>
                <w:sz w:val="20"/>
                <w:szCs w:val="20"/>
                <w:color w:val="auto"/>
              </w:rPr>
            </w:pPr>
            <w:r>
              <w:rPr>
                <w:rFonts w:ascii="Arial" w:cs="Arial" w:eastAsia="Arial" w:hAnsi="Arial"/>
                <w:sz w:val="12"/>
                <w:szCs w:val="12"/>
                <w:color w:val="auto"/>
              </w:rPr>
              <w:t>VALUE</w:t>
            </w:r>
          </w:p>
        </w:tc>
        <w:tc>
          <w:tcPr>
            <w:tcW w:w="0" w:type="dxa"/>
            <w:vAlign w:val="bottom"/>
          </w:tcPr>
          <w:p>
            <w:pPr>
              <w:spacing w:after="0"/>
              <w:rPr>
                <w:sz w:val="1"/>
                <w:szCs w:val="1"/>
                <w:color w:val="auto"/>
              </w:rPr>
            </w:pPr>
          </w:p>
        </w:tc>
      </w:tr>
      <w:tr>
        <w:trPr>
          <w:trHeight w:val="78"/>
        </w:trPr>
        <w:tc>
          <w:tcPr>
            <w:tcW w:w="5080" w:type="dxa"/>
            <w:vAlign w:val="bottom"/>
            <w:vMerge w:val="restart"/>
            <w:shd w:val="clear" w:color="auto" w:fill="DEDBD3"/>
          </w:tcPr>
          <w:p>
            <w:pPr>
              <w:ind w:left="60"/>
              <w:spacing w:after="0"/>
              <w:rPr>
                <w:sz w:val="20"/>
                <w:szCs w:val="20"/>
                <w:color w:val="auto"/>
              </w:rPr>
            </w:pPr>
            <w:r>
              <w:rPr>
                <w:rFonts w:ascii="Arial" w:cs="Arial" w:eastAsia="Arial" w:hAnsi="Arial"/>
                <w:sz w:val="12"/>
                <w:szCs w:val="12"/>
                <w:b w:val="1"/>
                <w:bCs w:val="1"/>
                <w:color w:val="auto"/>
              </w:rPr>
              <w:t>NAMED EXECUTIVE</w:t>
            </w:r>
          </w:p>
        </w:tc>
        <w:tc>
          <w:tcPr>
            <w:tcW w:w="900" w:type="dxa"/>
            <w:vAlign w:val="bottom"/>
            <w:vMerge w:val="restart"/>
            <w:shd w:val="clear" w:color="auto" w:fill="DEDBD3"/>
          </w:tcPr>
          <w:p>
            <w:pPr>
              <w:jc w:val="center"/>
              <w:spacing w:after="0" w:line="130" w:lineRule="exact"/>
              <w:rPr>
                <w:sz w:val="20"/>
                <w:szCs w:val="20"/>
                <w:color w:val="auto"/>
              </w:rPr>
            </w:pPr>
            <w:r>
              <w:rPr>
                <w:rFonts w:ascii="Arial" w:cs="Arial" w:eastAsia="Arial" w:hAnsi="Arial"/>
                <w:sz w:val="12"/>
                <w:szCs w:val="12"/>
                <w:color w:val="auto"/>
              </w:rPr>
              <w:t>SHARES</w:t>
            </w:r>
          </w:p>
        </w:tc>
        <w:tc>
          <w:tcPr>
            <w:tcW w:w="960" w:type="dxa"/>
            <w:vAlign w:val="bottom"/>
            <w:vMerge w:val="continue"/>
            <w:shd w:val="clear" w:color="auto" w:fill="DEDBD3"/>
          </w:tcPr>
          <w:p>
            <w:pPr>
              <w:spacing w:after="0"/>
              <w:rPr>
                <w:sz w:val="6"/>
                <w:szCs w:val="6"/>
                <w:color w:val="auto"/>
              </w:rPr>
            </w:pPr>
          </w:p>
        </w:tc>
        <w:tc>
          <w:tcPr>
            <w:tcW w:w="1180" w:type="dxa"/>
            <w:vAlign w:val="bottom"/>
            <w:vMerge w:val="continue"/>
            <w:shd w:val="clear" w:color="auto" w:fill="DEDBD3"/>
          </w:tcPr>
          <w:p>
            <w:pPr>
              <w:spacing w:after="0"/>
              <w:rPr>
                <w:sz w:val="6"/>
                <w:szCs w:val="6"/>
                <w:color w:val="auto"/>
              </w:rPr>
            </w:pPr>
          </w:p>
        </w:tc>
        <w:tc>
          <w:tcPr>
            <w:tcW w:w="2500" w:type="dxa"/>
            <w:vAlign w:val="bottom"/>
            <w:gridSpan w:val="2"/>
            <w:vMerge w:val="continue"/>
            <w:shd w:val="clear" w:color="auto" w:fill="DEDBD3"/>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5080" w:type="dxa"/>
            <w:vAlign w:val="bottom"/>
            <w:vMerge w:val="continue"/>
            <w:shd w:val="clear" w:color="auto" w:fill="DEDBD3"/>
          </w:tcPr>
          <w:p>
            <w:pPr>
              <w:spacing w:after="0"/>
              <w:rPr>
                <w:sz w:val="4"/>
                <w:szCs w:val="4"/>
                <w:color w:val="auto"/>
              </w:rPr>
            </w:pPr>
          </w:p>
        </w:tc>
        <w:tc>
          <w:tcPr>
            <w:tcW w:w="900" w:type="dxa"/>
            <w:vAlign w:val="bottom"/>
            <w:vMerge w:val="continue"/>
            <w:shd w:val="clear" w:color="auto" w:fill="DEDBD3"/>
          </w:tcPr>
          <w:p>
            <w:pPr>
              <w:spacing w:after="0"/>
              <w:rPr>
                <w:sz w:val="4"/>
                <w:szCs w:val="4"/>
                <w:color w:val="auto"/>
              </w:rPr>
            </w:pPr>
          </w:p>
        </w:tc>
        <w:tc>
          <w:tcPr>
            <w:tcW w:w="960" w:type="dxa"/>
            <w:vAlign w:val="bottom"/>
            <w:vMerge w:val="restart"/>
            <w:shd w:val="clear" w:color="auto" w:fill="DEDBD3"/>
          </w:tcPr>
          <w:p>
            <w:pPr>
              <w:jc w:val="center"/>
              <w:ind w:right="114"/>
              <w:spacing w:after="0" w:line="116" w:lineRule="exact"/>
              <w:rPr>
                <w:sz w:val="20"/>
                <w:szCs w:val="20"/>
                <w:color w:val="auto"/>
              </w:rPr>
            </w:pPr>
            <w:r>
              <w:rPr>
                <w:rFonts w:ascii="Arial" w:cs="Arial" w:eastAsia="Arial" w:hAnsi="Arial"/>
                <w:sz w:val="12"/>
                <w:szCs w:val="12"/>
                <w:color w:val="auto"/>
                <w:w w:val="98"/>
              </w:rPr>
              <w:t>REALIZED</w:t>
            </w:r>
          </w:p>
        </w:tc>
        <w:tc>
          <w:tcPr>
            <w:tcW w:w="1180" w:type="dxa"/>
            <w:vAlign w:val="bottom"/>
            <w:vMerge w:val="restart"/>
            <w:shd w:val="clear" w:color="auto" w:fill="DEDBD3"/>
          </w:tcPr>
          <w:p>
            <w:pPr>
              <w:jc w:val="center"/>
              <w:spacing w:after="0" w:line="116" w:lineRule="exact"/>
              <w:rPr>
                <w:sz w:val="20"/>
                <w:szCs w:val="20"/>
                <w:color w:val="auto"/>
              </w:rPr>
            </w:pPr>
            <w:r>
              <w:rPr>
                <w:rFonts w:ascii="Arial" w:cs="Arial" w:eastAsia="Arial" w:hAnsi="Arial"/>
                <w:sz w:val="12"/>
                <w:szCs w:val="12"/>
                <w:color w:val="auto"/>
              </w:rPr>
              <w:t>SHARES</w:t>
            </w:r>
          </w:p>
        </w:tc>
        <w:tc>
          <w:tcPr>
            <w:tcW w:w="2500" w:type="dxa"/>
            <w:vAlign w:val="bottom"/>
            <w:gridSpan w:val="2"/>
            <w:vMerge w:val="restart"/>
            <w:shd w:val="clear" w:color="auto" w:fill="DEDBD3"/>
          </w:tcPr>
          <w:p>
            <w:pPr>
              <w:jc w:val="center"/>
              <w:ind w:left="115"/>
              <w:spacing w:after="0" w:line="116" w:lineRule="exact"/>
              <w:rPr>
                <w:sz w:val="20"/>
                <w:szCs w:val="20"/>
                <w:color w:val="auto"/>
              </w:rPr>
            </w:pPr>
            <w:r>
              <w:rPr>
                <w:rFonts w:ascii="Arial" w:cs="Arial" w:eastAsia="Arial" w:hAnsi="Arial"/>
                <w:sz w:val="12"/>
                <w:szCs w:val="12"/>
                <w:color w:val="auto"/>
              </w:rPr>
              <w:t>REALIZED</w:t>
            </w:r>
          </w:p>
        </w:tc>
        <w:tc>
          <w:tcPr>
            <w:tcW w:w="0" w:type="dxa"/>
            <w:vAlign w:val="bottom"/>
          </w:tcPr>
          <w:p>
            <w:pPr>
              <w:spacing w:after="0"/>
              <w:rPr>
                <w:sz w:val="1"/>
                <w:szCs w:val="1"/>
                <w:color w:val="auto"/>
              </w:rPr>
            </w:pPr>
          </w:p>
        </w:tc>
      </w:tr>
      <w:tr>
        <w:trPr>
          <w:trHeight w:val="64"/>
        </w:trPr>
        <w:tc>
          <w:tcPr>
            <w:tcW w:w="5080" w:type="dxa"/>
            <w:vAlign w:val="bottom"/>
            <w:vMerge w:val="continue"/>
            <w:shd w:val="clear" w:color="auto" w:fill="DEDBD3"/>
          </w:tcPr>
          <w:p>
            <w:pPr>
              <w:spacing w:after="0"/>
              <w:rPr>
                <w:sz w:val="5"/>
                <w:szCs w:val="5"/>
                <w:color w:val="auto"/>
              </w:rPr>
            </w:pPr>
          </w:p>
        </w:tc>
        <w:tc>
          <w:tcPr>
            <w:tcW w:w="900" w:type="dxa"/>
            <w:vAlign w:val="bottom"/>
            <w:vMerge w:val="restart"/>
            <w:shd w:val="clear" w:color="auto" w:fill="DEDBD3"/>
          </w:tcPr>
          <w:p>
            <w:pPr>
              <w:jc w:val="center"/>
              <w:spacing w:after="0" w:line="110" w:lineRule="exact"/>
              <w:rPr>
                <w:sz w:val="20"/>
                <w:szCs w:val="20"/>
                <w:color w:val="auto"/>
              </w:rPr>
            </w:pPr>
            <w:r>
              <w:rPr>
                <w:rFonts w:ascii="Arial" w:cs="Arial" w:eastAsia="Arial" w:hAnsi="Arial"/>
                <w:sz w:val="12"/>
                <w:szCs w:val="12"/>
                <w:color w:val="auto"/>
              </w:rPr>
              <w:t>ACQUIRED</w:t>
            </w:r>
          </w:p>
        </w:tc>
        <w:tc>
          <w:tcPr>
            <w:tcW w:w="960" w:type="dxa"/>
            <w:vAlign w:val="bottom"/>
            <w:vMerge w:val="continue"/>
            <w:shd w:val="clear" w:color="auto" w:fill="DEDBD3"/>
          </w:tcPr>
          <w:p>
            <w:pPr>
              <w:spacing w:after="0"/>
              <w:rPr>
                <w:sz w:val="5"/>
                <w:szCs w:val="5"/>
                <w:color w:val="auto"/>
              </w:rPr>
            </w:pPr>
          </w:p>
        </w:tc>
        <w:tc>
          <w:tcPr>
            <w:tcW w:w="1180" w:type="dxa"/>
            <w:vAlign w:val="bottom"/>
            <w:vMerge w:val="continue"/>
            <w:shd w:val="clear" w:color="auto" w:fill="DEDBD3"/>
          </w:tcPr>
          <w:p>
            <w:pPr>
              <w:spacing w:after="0"/>
              <w:rPr>
                <w:sz w:val="5"/>
                <w:szCs w:val="5"/>
                <w:color w:val="auto"/>
              </w:rPr>
            </w:pPr>
          </w:p>
        </w:tc>
        <w:tc>
          <w:tcPr>
            <w:tcW w:w="2500" w:type="dxa"/>
            <w:vAlign w:val="bottom"/>
            <w:gridSpan w:val="2"/>
            <w:vMerge w:val="continue"/>
            <w:shd w:val="clear" w:color="auto" w:fill="DEDBD3"/>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5080" w:type="dxa"/>
            <w:vAlign w:val="bottom"/>
            <w:vMerge w:val="restart"/>
            <w:shd w:val="clear" w:color="auto" w:fill="DEDBD3"/>
          </w:tcPr>
          <w:p>
            <w:pPr>
              <w:ind w:left="60"/>
              <w:spacing w:after="0"/>
              <w:rPr>
                <w:sz w:val="20"/>
                <w:szCs w:val="20"/>
                <w:color w:val="auto"/>
              </w:rPr>
            </w:pPr>
            <w:r>
              <w:rPr>
                <w:rFonts w:ascii="Arial" w:cs="Arial" w:eastAsia="Arial" w:hAnsi="Arial"/>
                <w:sz w:val="12"/>
                <w:szCs w:val="12"/>
                <w:b w:val="1"/>
                <w:bCs w:val="1"/>
                <w:color w:val="auto"/>
              </w:rPr>
              <w:t>OFFICER</w:t>
            </w:r>
          </w:p>
        </w:tc>
        <w:tc>
          <w:tcPr>
            <w:tcW w:w="900" w:type="dxa"/>
            <w:vAlign w:val="bottom"/>
            <w:vMerge w:val="continue"/>
            <w:shd w:val="clear" w:color="auto" w:fill="DEDBD3"/>
          </w:tcPr>
          <w:p>
            <w:pPr>
              <w:spacing w:after="0"/>
              <w:rPr>
                <w:sz w:val="3"/>
                <w:szCs w:val="3"/>
                <w:color w:val="auto"/>
              </w:rPr>
            </w:pPr>
          </w:p>
        </w:tc>
        <w:tc>
          <w:tcPr>
            <w:tcW w:w="960" w:type="dxa"/>
            <w:vAlign w:val="bottom"/>
            <w:shd w:val="clear" w:color="auto" w:fill="DEDBD3"/>
          </w:tcPr>
          <w:p>
            <w:pPr>
              <w:spacing w:after="0"/>
              <w:rPr>
                <w:sz w:val="3"/>
                <w:szCs w:val="3"/>
                <w:color w:val="auto"/>
              </w:rPr>
            </w:pPr>
          </w:p>
        </w:tc>
        <w:tc>
          <w:tcPr>
            <w:tcW w:w="1180" w:type="dxa"/>
            <w:vAlign w:val="bottom"/>
            <w:shd w:val="clear" w:color="auto" w:fill="DEDBD3"/>
          </w:tcPr>
          <w:p>
            <w:pPr>
              <w:spacing w:after="0"/>
              <w:rPr>
                <w:sz w:val="3"/>
                <w:szCs w:val="3"/>
                <w:color w:val="auto"/>
              </w:rPr>
            </w:pPr>
          </w:p>
        </w:tc>
        <w:tc>
          <w:tcPr>
            <w:tcW w:w="1380" w:type="dxa"/>
            <w:vAlign w:val="bottom"/>
            <w:shd w:val="clear" w:color="auto" w:fill="DEDBD3"/>
          </w:tcPr>
          <w:p>
            <w:pPr>
              <w:spacing w:after="0"/>
              <w:rPr>
                <w:sz w:val="3"/>
                <w:szCs w:val="3"/>
                <w:color w:val="auto"/>
              </w:rPr>
            </w:pPr>
          </w:p>
        </w:tc>
        <w:tc>
          <w:tcPr>
            <w:tcW w:w="1120" w:type="dxa"/>
            <w:vAlign w:val="bottom"/>
            <w:shd w:val="clear" w:color="auto" w:fill="DEDBD3"/>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5080" w:type="dxa"/>
            <w:vAlign w:val="bottom"/>
            <w:vMerge w:val="continue"/>
            <w:shd w:val="clear" w:color="auto" w:fill="DEDBD3"/>
          </w:tcPr>
          <w:p>
            <w:pPr>
              <w:spacing w:after="0"/>
              <w:rPr>
                <w:sz w:val="11"/>
                <w:szCs w:val="11"/>
                <w:color w:val="auto"/>
              </w:rPr>
            </w:pPr>
          </w:p>
        </w:tc>
        <w:tc>
          <w:tcPr>
            <w:tcW w:w="1860" w:type="dxa"/>
            <w:vAlign w:val="bottom"/>
            <w:gridSpan w:val="2"/>
            <w:shd w:val="clear" w:color="auto" w:fill="DEDBD3"/>
          </w:tcPr>
          <w:p>
            <w:pPr>
              <w:jc w:val="center"/>
              <w:ind w:right="74"/>
              <w:spacing w:after="0" w:line="131" w:lineRule="exact"/>
              <w:rPr>
                <w:sz w:val="20"/>
                <w:szCs w:val="20"/>
                <w:color w:val="auto"/>
              </w:rPr>
            </w:pPr>
            <w:r>
              <w:rPr>
                <w:rFonts w:ascii="Arial" w:cs="Arial" w:eastAsia="Arial" w:hAnsi="Arial"/>
                <w:sz w:val="9"/>
                <w:szCs w:val="9"/>
                <w:color w:val="auto"/>
              </w:rPr>
              <w:t xml:space="preserve">ON EXERCISE </w:t>
            </w:r>
            <w:r>
              <w:rPr>
                <w:rFonts w:ascii="Arial" w:cs="Arial" w:eastAsia="Arial" w:hAnsi="Arial"/>
                <w:sz w:val="15"/>
                <w:szCs w:val="15"/>
                <w:color w:val="auto"/>
                <w:vertAlign w:val="superscript"/>
              </w:rPr>
              <w:t>ON EXERCISE</w:t>
            </w:r>
          </w:p>
        </w:tc>
        <w:tc>
          <w:tcPr>
            <w:tcW w:w="1180" w:type="dxa"/>
            <w:vAlign w:val="bottom"/>
            <w:shd w:val="clear" w:color="auto" w:fill="DEDBD3"/>
          </w:tcPr>
          <w:p>
            <w:pPr>
              <w:jc w:val="center"/>
              <w:spacing w:after="0" w:line="130" w:lineRule="exact"/>
              <w:rPr>
                <w:sz w:val="20"/>
                <w:szCs w:val="20"/>
                <w:color w:val="auto"/>
              </w:rPr>
            </w:pPr>
            <w:r>
              <w:rPr>
                <w:rFonts w:ascii="Arial" w:cs="Arial" w:eastAsia="Arial" w:hAnsi="Arial"/>
                <w:sz w:val="12"/>
                <w:szCs w:val="12"/>
                <w:color w:val="auto"/>
              </w:rPr>
              <w:t>ACQUIRED</w:t>
            </w:r>
          </w:p>
        </w:tc>
        <w:tc>
          <w:tcPr>
            <w:tcW w:w="2500" w:type="dxa"/>
            <w:vAlign w:val="bottom"/>
            <w:gridSpan w:val="2"/>
            <w:shd w:val="clear" w:color="auto" w:fill="DEDBD3"/>
          </w:tcPr>
          <w:p>
            <w:pPr>
              <w:jc w:val="center"/>
              <w:ind w:left="75"/>
              <w:spacing w:after="0" w:line="130" w:lineRule="exact"/>
              <w:rPr>
                <w:sz w:val="20"/>
                <w:szCs w:val="20"/>
                <w:color w:val="auto"/>
              </w:rPr>
            </w:pPr>
            <w:r>
              <w:rPr>
                <w:rFonts w:ascii="Arial" w:cs="Arial" w:eastAsia="Arial" w:hAnsi="Arial"/>
                <w:sz w:val="12"/>
                <w:szCs w:val="12"/>
                <w:color w:val="auto"/>
              </w:rPr>
              <w:t>ON VESTING</w:t>
            </w:r>
          </w:p>
        </w:tc>
        <w:tc>
          <w:tcPr>
            <w:tcW w:w="0" w:type="dxa"/>
            <w:vAlign w:val="bottom"/>
          </w:tcPr>
          <w:p>
            <w:pPr>
              <w:spacing w:after="0"/>
              <w:rPr>
                <w:sz w:val="1"/>
                <w:szCs w:val="1"/>
                <w:color w:val="auto"/>
              </w:rPr>
            </w:pPr>
          </w:p>
        </w:tc>
      </w:tr>
      <w:tr>
        <w:trPr>
          <w:trHeight w:val="130"/>
        </w:trPr>
        <w:tc>
          <w:tcPr>
            <w:tcW w:w="5080" w:type="dxa"/>
            <w:vAlign w:val="bottom"/>
            <w:shd w:val="clear" w:color="auto" w:fill="DEDBD3"/>
          </w:tcPr>
          <w:p>
            <w:pPr>
              <w:spacing w:after="0"/>
              <w:rPr>
                <w:sz w:val="11"/>
                <w:szCs w:val="11"/>
                <w:color w:val="auto"/>
              </w:rPr>
            </w:pPr>
          </w:p>
        </w:tc>
        <w:tc>
          <w:tcPr>
            <w:tcW w:w="900" w:type="dxa"/>
            <w:vAlign w:val="bottom"/>
            <w:vMerge w:val="restart"/>
            <w:shd w:val="clear" w:color="auto" w:fill="DEDBD3"/>
          </w:tcPr>
          <w:p>
            <w:pPr>
              <w:jc w:val="center"/>
              <w:spacing w:after="0"/>
              <w:rPr>
                <w:sz w:val="20"/>
                <w:szCs w:val="20"/>
                <w:color w:val="auto"/>
              </w:rPr>
            </w:pPr>
            <w:r>
              <w:rPr>
                <w:rFonts w:ascii="Arial" w:cs="Arial" w:eastAsia="Arial" w:hAnsi="Arial"/>
                <w:sz w:val="12"/>
                <w:szCs w:val="12"/>
                <w:color w:val="auto"/>
                <w:w w:val="95"/>
              </w:rPr>
              <w:t>(#)</w:t>
            </w:r>
          </w:p>
        </w:tc>
        <w:tc>
          <w:tcPr>
            <w:tcW w:w="960" w:type="dxa"/>
            <w:vAlign w:val="bottom"/>
            <w:shd w:val="clear" w:color="auto" w:fill="DEDBD3"/>
          </w:tcPr>
          <w:p>
            <w:pPr>
              <w:jc w:val="center"/>
              <w:ind w:right="114"/>
              <w:spacing w:after="0" w:line="130" w:lineRule="exact"/>
              <w:rPr>
                <w:sz w:val="20"/>
                <w:szCs w:val="20"/>
                <w:color w:val="auto"/>
              </w:rPr>
            </w:pPr>
            <w:r>
              <w:rPr>
                <w:rFonts w:ascii="Arial" w:cs="Arial" w:eastAsia="Arial" w:hAnsi="Arial"/>
                <w:sz w:val="12"/>
                <w:szCs w:val="12"/>
                <w:color w:val="auto"/>
                <w:w w:val="95"/>
              </w:rPr>
              <w:t>($)</w:t>
            </w:r>
          </w:p>
        </w:tc>
        <w:tc>
          <w:tcPr>
            <w:tcW w:w="1180" w:type="dxa"/>
            <w:vAlign w:val="bottom"/>
            <w:shd w:val="clear" w:color="auto" w:fill="DEDBD3"/>
          </w:tcPr>
          <w:p>
            <w:pPr>
              <w:jc w:val="center"/>
              <w:spacing w:after="0" w:line="130" w:lineRule="exact"/>
              <w:rPr>
                <w:sz w:val="20"/>
                <w:szCs w:val="20"/>
                <w:color w:val="auto"/>
              </w:rPr>
            </w:pPr>
            <w:r>
              <w:rPr>
                <w:rFonts w:ascii="Arial" w:cs="Arial" w:eastAsia="Arial" w:hAnsi="Arial"/>
                <w:sz w:val="12"/>
                <w:szCs w:val="12"/>
                <w:color w:val="auto"/>
              </w:rPr>
              <w:t>ON VESTING (#)</w:t>
            </w:r>
          </w:p>
        </w:tc>
        <w:tc>
          <w:tcPr>
            <w:tcW w:w="1380" w:type="dxa"/>
            <w:vAlign w:val="bottom"/>
            <w:shd w:val="clear" w:color="auto" w:fill="DEDBD3"/>
          </w:tcPr>
          <w:p>
            <w:pPr>
              <w:jc w:val="center"/>
              <w:ind w:left="1195"/>
              <w:spacing w:after="0" w:line="130" w:lineRule="exact"/>
              <w:rPr>
                <w:sz w:val="20"/>
                <w:szCs w:val="20"/>
                <w:color w:val="auto"/>
              </w:rPr>
            </w:pPr>
            <w:r>
              <w:rPr>
                <w:rFonts w:ascii="Arial" w:cs="Arial" w:eastAsia="Arial" w:hAnsi="Arial"/>
                <w:sz w:val="12"/>
                <w:szCs w:val="12"/>
                <w:color w:val="auto"/>
              </w:rPr>
              <w:t>($</w:t>
            </w:r>
          </w:p>
        </w:tc>
        <w:tc>
          <w:tcPr>
            <w:tcW w:w="1120" w:type="dxa"/>
            <w:vAlign w:val="bottom"/>
            <w:shd w:val="clear" w:color="auto" w:fill="DEDBD3"/>
          </w:tcPr>
          <w:p>
            <w:pPr>
              <w:jc w:val="right"/>
              <w:ind w:right="1016"/>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58"/>
        </w:trPr>
        <w:tc>
          <w:tcPr>
            <w:tcW w:w="5080" w:type="dxa"/>
            <w:vAlign w:val="bottom"/>
            <w:tcBorders>
              <w:bottom w:val="single" w:sz="8" w:color="DEDBD3"/>
            </w:tcBorders>
            <w:shd w:val="clear" w:color="auto" w:fill="DEDBD3"/>
          </w:tcPr>
          <w:p>
            <w:pPr>
              <w:spacing w:after="0"/>
              <w:rPr>
                <w:sz w:val="5"/>
                <w:szCs w:val="5"/>
                <w:color w:val="auto"/>
              </w:rPr>
            </w:pPr>
          </w:p>
        </w:tc>
        <w:tc>
          <w:tcPr>
            <w:tcW w:w="900" w:type="dxa"/>
            <w:vAlign w:val="bottom"/>
            <w:tcBorders>
              <w:bottom w:val="single" w:sz="8" w:color="DEDBD3"/>
            </w:tcBorders>
            <w:vMerge w:val="continue"/>
            <w:shd w:val="clear" w:color="auto" w:fill="DEDBD3"/>
          </w:tcPr>
          <w:p>
            <w:pPr>
              <w:spacing w:after="0"/>
              <w:rPr>
                <w:sz w:val="5"/>
                <w:szCs w:val="5"/>
                <w:color w:val="auto"/>
              </w:rPr>
            </w:pPr>
          </w:p>
        </w:tc>
        <w:tc>
          <w:tcPr>
            <w:tcW w:w="960" w:type="dxa"/>
            <w:vAlign w:val="bottom"/>
            <w:tcBorders>
              <w:bottom w:val="single" w:sz="8" w:color="DEDBD3"/>
            </w:tcBorders>
            <w:shd w:val="clear" w:color="auto" w:fill="DEDBD3"/>
          </w:tcPr>
          <w:p>
            <w:pPr>
              <w:spacing w:after="0"/>
              <w:rPr>
                <w:sz w:val="5"/>
                <w:szCs w:val="5"/>
                <w:color w:val="auto"/>
              </w:rPr>
            </w:pPr>
          </w:p>
        </w:tc>
        <w:tc>
          <w:tcPr>
            <w:tcW w:w="1180" w:type="dxa"/>
            <w:vAlign w:val="bottom"/>
            <w:tcBorders>
              <w:bottom w:val="single" w:sz="8" w:color="DEDBD3"/>
            </w:tcBorders>
            <w:shd w:val="clear" w:color="auto" w:fill="DEDBD3"/>
          </w:tcPr>
          <w:p>
            <w:pPr>
              <w:spacing w:after="0"/>
              <w:rPr>
                <w:sz w:val="5"/>
                <w:szCs w:val="5"/>
                <w:color w:val="auto"/>
              </w:rPr>
            </w:pPr>
          </w:p>
        </w:tc>
        <w:tc>
          <w:tcPr>
            <w:tcW w:w="1380" w:type="dxa"/>
            <w:vAlign w:val="bottom"/>
            <w:tcBorders>
              <w:bottom w:val="single" w:sz="8" w:color="DEDBD3"/>
            </w:tcBorders>
            <w:shd w:val="clear" w:color="auto" w:fill="DEDBD3"/>
          </w:tcPr>
          <w:p>
            <w:pPr>
              <w:spacing w:after="0"/>
              <w:rPr>
                <w:sz w:val="5"/>
                <w:szCs w:val="5"/>
                <w:color w:val="auto"/>
              </w:rPr>
            </w:pPr>
          </w:p>
        </w:tc>
        <w:tc>
          <w:tcPr>
            <w:tcW w:w="1120" w:type="dxa"/>
            <w:vAlign w:val="bottom"/>
            <w:tcBorders>
              <w:bottom w:val="single" w:sz="8" w:color="DEDBD3"/>
            </w:tcBorders>
            <w:shd w:val="clear" w:color="auto" w:fill="DEDBD3"/>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5080" w:type="dxa"/>
            <w:vAlign w:val="bottom"/>
            <w:shd w:val="clear" w:color="auto" w:fill="FDF9F2"/>
          </w:tcPr>
          <w:p>
            <w:pPr>
              <w:ind w:left="60"/>
              <w:spacing w:after="0"/>
              <w:rPr>
                <w:sz w:val="20"/>
                <w:szCs w:val="20"/>
                <w:color w:val="auto"/>
              </w:rPr>
            </w:pPr>
            <w:r>
              <w:rPr>
                <w:rFonts w:ascii="Arial" w:cs="Arial" w:eastAsia="Arial" w:hAnsi="Arial"/>
                <w:sz w:val="12"/>
                <w:szCs w:val="12"/>
                <w:b w:val="1"/>
                <w:bCs w:val="1"/>
                <w:color w:val="auto"/>
              </w:rPr>
              <w:t>Craig S. Billings</w:t>
            </w:r>
          </w:p>
        </w:tc>
        <w:tc>
          <w:tcPr>
            <w:tcW w:w="900" w:type="dxa"/>
            <w:vAlign w:val="bottom"/>
            <w:shd w:val="clear" w:color="auto" w:fill="FDF9F2"/>
          </w:tcPr>
          <w:p>
            <w:pPr>
              <w:jc w:val="center"/>
              <w:spacing w:after="0"/>
              <w:rPr>
                <w:sz w:val="20"/>
                <w:szCs w:val="20"/>
                <w:color w:val="auto"/>
              </w:rPr>
            </w:pPr>
            <w:r>
              <w:rPr>
                <w:rFonts w:ascii="Arial" w:cs="Arial" w:eastAsia="Arial" w:hAnsi="Arial"/>
                <w:sz w:val="14"/>
                <w:szCs w:val="14"/>
                <w:color w:val="auto"/>
              </w:rPr>
              <w:t>-</w:t>
            </w:r>
          </w:p>
        </w:tc>
        <w:tc>
          <w:tcPr>
            <w:tcW w:w="960" w:type="dxa"/>
            <w:vAlign w:val="bottom"/>
            <w:shd w:val="clear" w:color="auto" w:fill="FDF9F2"/>
          </w:tcPr>
          <w:p>
            <w:pPr>
              <w:jc w:val="center"/>
              <w:ind w:right="114"/>
              <w:spacing w:after="0"/>
              <w:rPr>
                <w:sz w:val="20"/>
                <w:szCs w:val="20"/>
                <w:color w:val="auto"/>
              </w:rPr>
            </w:pPr>
            <w:r>
              <w:rPr>
                <w:rFonts w:ascii="Arial" w:cs="Arial" w:eastAsia="Arial" w:hAnsi="Arial"/>
                <w:sz w:val="14"/>
                <w:szCs w:val="14"/>
                <w:color w:val="auto"/>
              </w:rPr>
              <w:t>$-</w:t>
            </w:r>
          </w:p>
        </w:tc>
        <w:tc>
          <w:tcPr>
            <w:tcW w:w="118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7"/>
              </w:rPr>
              <w:t>56,783</w:t>
            </w:r>
          </w:p>
        </w:tc>
        <w:tc>
          <w:tcPr>
            <w:tcW w:w="1380" w:type="dxa"/>
            <w:vAlign w:val="bottom"/>
            <w:shd w:val="clear" w:color="auto" w:fill="FDF9F2"/>
          </w:tcPr>
          <w:p>
            <w:pPr>
              <w:jc w:val="right"/>
              <w:ind w:right="715"/>
              <w:spacing w:after="0"/>
              <w:rPr>
                <w:sz w:val="20"/>
                <w:szCs w:val="20"/>
                <w:color w:val="auto"/>
              </w:rPr>
            </w:pPr>
            <w:r>
              <w:rPr>
                <w:rFonts w:ascii="Arial" w:cs="Arial" w:eastAsia="Arial" w:hAnsi="Arial"/>
                <w:sz w:val="14"/>
                <w:szCs w:val="14"/>
                <w:color w:val="auto"/>
              </w:rPr>
              <w:t>$</w:t>
            </w:r>
          </w:p>
        </w:tc>
        <w:tc>
          <w:tcPr>
            <w:tcW w:w="1120" w:type="dxa"/>
            <w:vAlign w:val="bottom"/>
            <w:shd w:val="clear" w:color="auto" w:fill="FDF9F2"/>
          </w:tcPr>
          <w:p>
            <w:pPr>
              <w:jc w:val="right"/>
              <w:ind w:right="276"/>
              <w:spacing w:after="0"/>
              <w:rPr>
                <w:sz w:val="20"/>
                <w:szCs w:val="20"/>
                <w:color w:val="auto"/>
              </w:rPr>
            </w:pPr>
            <w:r>
              <w:rPr>
                <w:rFonts w:ascii="Arial" w:cs="Arial" w:eastAsia="Arial" w:hAnsi="Arial"/>
                <w:sz w:val="14"/>
                <w:szCs w:val="14"/>
                <w:color w:val="auto"/>
              </w:rPr>
              <w:t>4,634,536</w:t>
            </w:r>
          </w:p>
        </w:tc>
        <w:tc>
          <w:tcPr>
            <w:tcW w:w="0" w:type="dxa"/>
            <w:vAlign w:val="bottom"/>
          </w:tcPr>
          <w:p>
            <w:pPr>
              <w:spacing w:after="0"/>
              <w:rPr>
                <w:sz w:val="1"/>
                <w:szCs w:val="1"/>
                <w:color w:val="auto"/>
              </w:rPr>
            </w:pPr>
          </w:p>
        </w:tc>
      </w:tr>
      <w:tr>
        <w:trPr>
          <w:trHeight w:val="64"/>
        </w:trPr>
        <w:tc>
          <w:tcPr>
            <w:tcW w:w="5080" w:type="dxa"/>
            <w:vAlign w:val="bottom"/>
            <w:shd w:val="clear" w:color="auto" w:fill="FDF9F2"/>
          </w:tcPr>
          <w:p>
            <w:pPr>
              <w:spacing w:after="0"/>
              <w:rPr>
                <w:sz w:val="5"/>
                <w:szCs w:val="5"/>
                <w:color w:val="auto"/>
              </w:rPr>
            </w:pPr>
          </w:p>
        </w:tc>
        <w:tc>
          <w:tcPr>
            <w:tcW w:w="900" w:type="dxa"/>
            <w:vAlign w:val="bottom"/>
            <w:shd w:val="clear" w:color="auto" w:fill="FDF9F2"/>
          </w:tcPr>
          <w:p>
            <w:pPr>
              <w:spacing w:after="0"/>
              <w:rPr>
                <w:sz w:val="5"/>
                <w:szCs w:val="5"/>
                <w:color w:val="auto"/>
              </w:rPr>
            </w:pPr>
          </w:p>
        </w:tc>
        <w:tc>
          <w:tcPr>
            <w:tcW w:w="960" w:type="dxa"/>
            <w:vAlign w:val="bottom"/>
            <w:shd w:val="clear" w:color="auto" w:fill="FDF9F2"/>
          </w:tcPr>
          <w:p>
            <w:pPr>
              <w:spacing w:after="0"/>
              <w:rPr>
                <w:sz w:val="5"/>
                <w:szCs w:val="5"/>
                <w:color w:val="auto"/>
              </w:rPr>
            </w:pPr>
          </w:p>
        </w:tc>
        <w:tc>
          <w:tcPr>
            <w:tcW w:w="1180" w:type="dxa"/>
            <w:vAlign w:val="bottom"/>
            <w:shd w:val="clear" w:color="auto" w:fill="FDF9F2"/>
          </w:tcPr>
          <w:p>
            <w:pPr>
              <w:spacing w:after="0"/>
              <w:rPr>
                <w:sz w:val="5"/>
                <w:szCs w:val="5"/>
                <w:color w:val="auto"/>
              </w:rPr>
            </w:pPr>
          </w:p>
        </w:tc>
        <w:tc>
          <w:tcPr>
            <w:tcW w:w="1380" w:type="dxa"/>
            <w:vAlign w:val="bottom"/>
            <w:shd w:val="clear" w:color="auto" w:fill="FDF9F2"/>
          </w:tcPr>
          <w:p>
            <w:pPr>
              <w:spacing w:after="0"/>
              <w:rPr>
                <w:sz w:val="5"/>
                <w:szCs w:val="5"/>
                <w:color w:val="auto"/>
              </w:rPr>
            </w:pPr>
          </w:p>
        </w:tc>
        <w:tc>
          <w:tcPr>
            <w:tcW w:w="1120" w:type="dxa"/>
            <w:vAlign w:val="bottom"/>
            <w:shd w:val="clear" w:color="auto" w:fill="FDF9F2"/>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5080" w:type="dxa"/>
            <w:vAlign w:val="bottom"/>
            <w:shd w:val="clear" w:color="auto" w:fill="DEDBD3"/>
          </w:tcPr>
          <w:p>
            <w:pPr>
              <w:ind w:left="60"/>
              <w:spacing w:after="0"/>
              <w:rPr>
                <w:sz w:val="20"/>
                <w:szCs w:val="20"/>
                <w:color w:val="auto"/>
              </w:rPr>
            </w:pPr>
            <w:r>
              <w:rPr>
                <w:rFonts w:ascii="Arial" w:cs="Arial" w:eastAsia="Arial" w:hAnsi="Arial"/>
                <w:sz w:val="12"/>
                <w:szCs w:val="12"/>
                <w:b w:val="1"/>
                <w:bCs w:val="1"/>
                <w:color w:val="auto"/>
              </w:rPr>
              <w:t>Julie M. Cameron-Doe</w:t>
            </w:r>
          </w:p>
        </w:tc>
        <w:tc>
          <w:tcPr>
            <w:tcW w:w="900" w:type="dxa"/>
            <w:vAlign w:val="bottom"/>
            <w:shd w:val="clear" w:color="auto" w:fill="DEDBD3"/>
          </w:tcPr>
          <w:p>
            <w:pPr>
              <w:jc w:val="center"/>
              <w:spacing w:after="0"/>
              <w:rPr>
                <w:sz w:val="20"/>
                <w:szCs w:val="20"/>
                <w:color w:val="auto"/>
              </w:rPr>
            </w:pPr>
            <w:r>
              <w:rPr>
                <w:rFonts w:ascii="Arial" w:cs="Arial" w:eastAsia="Arial" w:hAnsi="Arial"/>
                <w:sz w:val="14"/>
                <w:szCs w:val="14"/>
                <w:color w:val="auto"/>
              </w:rPr>
              <w:t>-</w:t>
            </w:r>
          </w:p>
        </w:tc>
        <w:tc>
          <w:tcPr>
            <w:tcW w:w="960" w:type="dxa"/>
            <w:vAlign w:val="bottom"/>
            <w:shd w:val="clear" w:color="auto" w:fill="DEDBD3"/>
          </w:tcPr>
          <w:p>
            <w:pPr>
              <w:jc w:val="center"/>
              <w:ind w:right="114"/>
              <w:spacing w:after="0"/>
              <w:rPr>
                <w:sz w:val="20"/>
                <w:szCs w:val="20"/>
                <w:color w:val="auto"/>
              </w:rPr>
            </w:pPr>
            <w:r>
              <w:rPr>
                <w:rFonts w:ascii="Arial" w:cs="Arial" w:eastAsia="Arial" w:hAnsi="Arial"/>
                <w:sz w:val="14"/>
                <w:szCs w:val="14"/>
                <w:color w:val="auto"/>
              </w:rPr>
              <w:t>$-</w:t>
            </w:r>
          </w:p>
        </w:tc>
        <w:tc>
          <w:tcPr>
            <w:tcW w:w="1180" w:type="dxa"/>
            <w:vAlign w:val="bottom"/>
            <w:shd w:val="clear" w:color="auto" w:fill="DEDBD3"/>
          </w:tcPr>
          <w:p>
            <w:pPr>
              <w:jc w:val="center"/>
              <w:spacing w:after="0"/>
              <w:rPr>
                <w:sz w:val="20"/>
                <w:szCs w:val="20"/>
                <w:color w:val="auto"/>
              </w:rPr>
            </w:pPr>
            <w:r>
              <w:rPr>
                <w:rFonts w:ascii="Arial" w:cs="Arial" w:eastAsia="Arial" w:hAnsi="Arial"/>
                <w:sz w:val="14"/>
                <w:szCs w:val="14"/>
                <w:color w:val="auto"/>
              </w:rPr>
              <w:t>-</w:t>
            </w:r>
          </w:p>
        </w:tc>
        <w:tc>
          <w:tcPr>
            <w:tcW w:w="1380" w:type="dxa"/>
            <w:vAlign w:val="bottom"/>
            <w:shd w:val="clear" w:color="auto" w:fill="DEDBD3"/>
          </w:tcPr>
          <w:p>
            <w:pPr>
              <w:jc w:val="right"/>
              <w:ind w:right="715"/>
              <w:spacing w:after="0"/>
              <w:rPr>
                <w:sz w:val="20"/>
                <w:szCs w:val="20"/>
                <w:color w:val="auto"/>
              </w:rPr>
            </w:pPr>
            <w:r>
              <w:rPr>
                <w:rFonts w:ascii="Arial" w:cs="Arial" w:eastAsia="Arial" w:hAnsi="Arial"/>
                <w:sz w:val="14"/>
                <w:szCs w:val="14"/>
                <w:color w:val="auto"/>
              </w:rPr>
              <w:t>$</w:t>
            </w:r>
          </w:p>
        </w:tc>
        <w:tc>
          <w:tcPr>
            <w:tcW w:w="1120" w:type="dxa"/>
            <w:vAlign w:val="bottom"/>
            <w:shd w:val="clear" w:color="auto" w:fill="DEDBD3"/>
          </w:tcPr>
          <w:p>
            <w:pPr>
              <w:jc w:val="right"/>
              <w:ind w:right="27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4"/>
        </w:trPr>
        <w:tc>
          <w:tcPr>
            <w:tcW w:w="5080" w:type="dxa"/>
            <w:vAlign w:val="bottom"/>
            <w:shd w:val="clear" w:color="auto" w:fill="DEDBD3"/>
          </w:tcPr>
          <w:p>
            <w:pPr>
              <w:spacing w:after="0"/>
              <w:rPr>
                <w:sz w:val="5"/>
                <w:szCs w:val="5"/>
                <w:color w:val="auto"/>
              </w:rPr>
            </w:pPr>
          </w:p>
        </w:tc>
        <w:tc>
          <w:tcPr>
            <w:tcW w:w="900" w:type="dxa"/>
            <w:vAlign w:val="bottom"/>
            <w:shd w:val="clear" w:color="auto" w:fill="DEDBD3"/>
          </w:tcPr>
          <w:p>
            <w:pPr>
              <w:spacing w:after="0"/>
              <w:rPr>
                <w:sz w:val="5"/>
                <w:szCs w:val="5"/>
                <w:color w:val="auto"/>
              </w:rPr>
            </w:pPr>
          </w:p>
        </w:tc>
        <w:tc>
          <w:tcPr>
            <w:tcW w:w="960" w:type="dxa"/>
            <w:vAlign w:val="bottom"/>
            <w:shd w:val="clear" w:color="auto" w:fill="DEDBD3"/>
          </w:tcPr>
          <w:p>
            <w:pPr>
              <w:spacing w:after="0"/>
              <w:rPr>
                <w:sz w:val="5"/>
                <w:szCs w:val="5"/>
                <w:color w:val="auto"/>
              </w:rPr>
            </w:pPr>
          </w:p>
        </w:tc>
        <w:tc>
          <w:tcPr>
            <w:tcW w:w="1180" w:type="dxa"/>
            <w:vAlign w:val="bottom"/>
            <w:shd w:val="clear" w:color="auto" w:fill="DEDBD3"/>
          </w:tcPr>
          <w:p>
            <w:pPr>
              <w:spacing w:after="0"/>
              <w:rPr>
                <w:sz w:val="5"/>
                <w:szCs w:val="5"/>
                <w:color w:val="auto"/>
              </w:rPr>
            </w:pPr>
          </w:p>
        </w:tc>
        <w:tc>
          <w:tcPr>
            <w:tcW w:w="1380" w:type="dxa"/>
            <w:vAlign w:val="bottom"/>
            <w:shd w:val="clear" w:color="auto" w:fill="DEDBD3"/>
          </w:tcPr>
          <w:p>
            <w:pPr>
              <w:spacing w:after="0"/>
              <w:rPr>
                <w:sz w:val="5"/>
                <w:szCs w:val="5"/>
                <w:color w:val="auto"/>
              </w:rPr>
            </w:pPr>
          </w:p>
        </w:tc>
        <w:tc>
          <w:tcPr>
            <w:tcW w:w="1120" w:type="dxa"/>
            <w:vAlign w:val="bottom"/>
            <w:shd w:val="clear" w:color="auto" w:fill="DEDBD3"/>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5080" w:type="dxa"/>
            <w:vAlign w:val="bottom"/>
            <w:shd w:val="clear" w:color="auto" w:fill="FDF9F2"/>
          </w:tcPr>
          <w:p>
            <w:pPr>
              <w:ind w:left="60"/>
              <w:spacing w:after="0"/>
              <w:rPr>
                <w:sz w:val="20"/>
                <w:szCs w:val="20"/>
                <w:color w:val="auto"/>
              </w:rPr>
            </w:pPr>
            <w:r>
              <w:rPr>
                <w:rFonts w:ascii="Arial" w:cs="Arial" w:eastAsia="Arial" w:hAnsi="Arial"/>
                <w:sz w:val="12"/>
                <w:szCs w:val="12"/>
                <w:b w:val="1"/>
                <w:bCs w:val="1"/>
                <w:color w:val="auto"/>
              </w:rPr>
              <w:t>Ellen F. Whittemore</w:t>
            </w:r>
          </w:p>
        </w:tc>
        <w:tc>
          <w:tcPr>
            <w:tcW w:w="900" w:type="dxa"/>
            <w:vAlign w:val="bottom"/>
            <w:shd w:val="clear" w:color="auto" w:fill="FDF9F2"/>
          </w:tcPr>
          <w:p>
            <w:pPr>
              <w:jc w:val="center"/>
              <w:spacing w:after="0"/>
              <w:rPr>
                <w:sz w:val="20"/>
                <w:szCs w:val="20"/>
                <w:color w:val="auto"/>
              </w:rPr>
            </w:pPr>
            <w:r>
              <w:rPr>
                <w:rFonts w:ascii="Arial" w:cs="Arial" w:eastAsia="Arial" w:hAnsi="Arial"/>
                <w:sz w:val="14"/>
                <w:szCs w:val="14"/>
                <w:color w:val="auto"/>
              </w:rPr>
              <w:t>-</w:t>
            </w:r>
          </w:p>
        </w:tc>
        <w:tc>
          <w:tcPr>
            <w:tcW w:w="960" w:type="dxa"/>
            <w:vAlign w:val="bottom"/>
            <w:shd w:val="clear" w:color="auto" w:fill="FDF9F2"/>
          </w:tcPr>
          <w:p>
            <w:pPr>
              <w:jc w:val="center"/>
              <w:ind w:right="114"/>
              <w:spacing w:after="0"/>
              <w:rPr>
                <w:sz w:val="20"/>
                <w:szCs w:val="20"/>
                <w:color w:val="auto"/>
              </w:rPr>
            </w:pPr>
            <w:r>
              <w:rPr>
                <w:rFonts w:ascii="Arial" w:cs="Arial" w:eastAsia="Arial" w:hAnsi="Arial"/>
                <w:sz w:val="14"/>
                <w:szCs w:val="14"/>
                <w:color w:val="auto"/>
              </w:rPr>
              <w:t>$-</w:t>
            </w:r>
          </w:p>
        </w:tc>
        <w:tc>
          <w:tcPr>
            <w:tcW w:w="118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7"/>
              </w:rPr>
              <w:t>11,766</w:t>
            </w:r>
          </w:p>
        </w:tc>
        <w:tc>
          <w:tcPr>
            <w:tcW w:w="1380" w:type="dxa"/>
            <w:vAlign w:val="bottom"/>
            <w:shd w:val="clear" w:color="auto" w:fill="FDF9F2"/>
          </w:tcPr>
          <w:p>
            <w:pPr>
              <w:jc w:val="right"/>
              <w:ind w:right="715"/>
              <w:spacing w:after="0"/>
              <w:rPr>
                <w:sz w:val="20"/>
                <w:szCs w:val="20"/>
                <w:color w:val="auto"/>
              </w:rPr>
            </w:pPr>
            <w:r>
              <w:rPr>
                <w:rFonts w:ascii="Arial" w:cs="Arial" w:eastAsia="Arial" w:hAnsi="Arial"/>
                <w:sz w:val="14"/>
                <w:szCs w:val="14"/>
                <w:color w:val="auto"/>
              </w:rPr>
              <w:t>$</w:t>
            </w:r>
          </w:p>
        </w:tc>
        <w:tc>
          <w:tcPr>
            <w:tcW w:w="1120" w:type="dxa"/>
            <w:vAlign w:val="bottom"/>
            <w:shd w:val="clear" w:color="auto" w:fill="FDF9F2"/>
          </w:tcPr>
          <w:p>
            <w:pPr>
              <w:jc w:val="right"/>
              <w:ind w:right="276"/>
              <w:spacing w:after="0"/>
              <w:rPr>
                <w:sz w:val="20"/>
                <w:szCs w:val="20"/>
                <w:color w:val="auto"/>
              </w:rPr>
            </w:pPr>
            <w:r>
              <w:rPr>
                <w:rFonts w:ascii="Arial" w:cs="Arial" w:eastAsia="Arial" w:hAnsi="Arial"/>
                <w:sz w:val="14"/>
                <w:szCs w:val="14"/>
                <w:color w:val="auto"/>
              </w:rPr>
              <w:t>995,467</w:t>
            </w:r>
          </w:p>
        </w:tc>
        <w:tc>
          <w:tcPr>
            <w:tcW w:w="0" w:type="dxa"/>
            <w:vAlign w:val="bottom"/>
          </w:tcPr>
          <w:p>
            <w:pPr>
              <w:spacing w:after="0"/>
              <w:rPr>
                <w:sz w:val="1"/>
                <w:szCs w:val="1"/>
                <w:color w:val="auto"/>
              </w:rPr>
            </w:pPr>
          </w:p>
        </w:tc>
      </w:tr>
      <w:tr>
        <w:trPr>
          <w:trHeight w:val="64"/>
        </w:trPr>
        <w:tc>
          <w:tcPr>
            <w:tcW w:w="5080" w:type="dxa"/>
            <w:vAlign w:val="bottom"/>
            <w:shd w:val="clear" w:color="auto" w:fill="FDF9F2"/>
          </w:tcPr>
          <w:p>
            <w:pPr>
              <w:spacing w:after="0"/>
              <w:rPr>
                <w:sz w:val="5"/>
                <w:szCs w:val="5"/>
                <w:color w:val="auto"/>
              </w:rPr>
            </w:pPr>
          </w:p>
        </w:tc>
        <w:tc>
          <w:tcPr>
            <w:tcW w:w="900" w:type="dxa"/>
            <w:vAlign w:val="bottom"/>
            <w:shd w:val="clear" w:color="auto" w:fill="FDF9F2"/>
          </w:tcPr>
          <w:p>
            <w:pPr>
              <w:spacing w:after="0"/>
              <w:rPr>
                <w:sz w:val="5"/>
                <w:szCs w:val="5"/>
                <w:color w:val="auto"/>
              </w:rPr>
            </w:pPr>
          </w:p>
        </w:tc>
        <w:tc>
          <w:tcPr>
            <w:tcW w:w="960" w:type="dxa"/>
            <w:vAlign w:val="bottom"/>
            <w:shd w:val="clear" w:color="auto" w:fill="FDF9F2"/>
          </w:tcPr>
          <w:p>
            <w:pPr>
              <w:spacing w:after="0"/>
              <w:rPr>
                <w:sz w:val="5"/>
                <w:szCs w:val="5"/>
                <w:color w:val="auto"/>
              </w:rPr>
            </w:pPr>
          </w:p>
        </w:tc>
        <w:tc>
          <w:tcPr>
            <w:tcW w:w="1180" w:type="dxa"/>
            <w:vAlign w:val="bottom"/>
            <w:shd w:val="clear" w:color="auto" w:fill="FDF9F2"/>
          </w:tcPr>
          <w:p>
            <w:pPr>
              <w:spacing w:after="0"/>
              <w:rPr>
                <w:sz w:val="5"/>
                <w:szCs w:val="5"/>
                <w:color w:val="auto"/>
              </w:rPr>
            </w:pPr>
          </w:p>
        </w:tc>
        <w:tc>
          <w:tcPr>
            <w:tcW w:w="1380" w:type="dxa"/>
            <w:vAlign w:val="bottom"/>
            <w:shd w:val="clear" w:color="auto" w:fill="FDF9F2"/>
          </w:tcPr>
          <w:p>
            <w:pPr>
              <w:spacing w:after="0"/>
              <w:rPr>
                <w:sz w:val="5"/>
                <w:szCs w:val="5"/>
                <w:color w:val="auto"/>
              </w:rPr>
            </w:pPr>
          </w:p>
        </w:tc>
        <w:tc>
          <w:tcPr>
            <w:tcW w:w="1120" w:type="dxa"/>
            <w:vAlign w:val="bottom"/>
            <w:shd w:val="clear" w:color="auto" w:fill="FDF9F2"/>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5080" w:type="dxa"/>
            <w:vAlign w:val="bottom"/>
            <w:shd w:val="clear" w:color="auto" w:fill="DEDBD3"/>
          </w:tcPr>
          <w:p>
            <w:pPr>
              <w:ind w:left="60"/>
              <w:spacing w:after="0"/>
              <w:rPr>
                <w:sz w:val="20"/>
                <w:szCs w:val="20"/>
                <w:color w:val="auto"/>
              </w:rPr>
            </w:pPr>
            <w:r>
              <w:rPr>
                <w:rFonts w:ascii="Arial" w:cs="Arial" w:eastAsia="Arial" w:hAnsi="Arial"/>
                <w:sz w:val="12"/>
                <w:szCs w:val="12"/>
                <w:b w:val="1"/>
                <w:bCs w:val="1"/>
                <w:color w:val="auto"/>
              </w:rPr>
              <w:t>Matt Maddox(1)</w:t>
            </w:r>
          </w:p>
        </w:tc>
        <w:tc>
          <w:tcPr>
            <w:tcW w:w="900" w:type="dxa"/>
            <w:vAlign w:val="bottom"/>
            <w:shd w:val="clear" w:color="auto" w:fill="DEDBD3"/>
          </w:tcPr>
          <w:p>
            <w:pPr>
              <w:jc w:val="center"/>
              <w:spacing w:after="0"/>
              <w:rPr>
                <w:sz w:val="20"/>
                <w:szCs w:val="20"/>
                <w:color w:val="auto"/>
              </w:rPr>
            </w:pPr>
            <w:r>
              <w:rPr>
                <w:rFonts w:ascii="Arial" w:cs="Arial" w:eastAsia="Arial" w:hAnsi="Arial"/>
                <w:sz w:val="14"/>
                <w:szCs w:val="14"/>
                <w:color w:val="auto"/>
              </w:rPr>
              <w:t>-</w:t>
            </w:r>
          </w:p>
        </w:tc>
        <w:tc>
          <w:tcPr>
            <w:tcW w:w="960" w:type="dxa"/>
            <w:vAlign w:val="bottom"/>
            <w:shd w:val="clear" w:color="auto" w:fill="DEDBD3"/>
          </w:tcPr>
          <w:p>
            <w:pPr>
              <w:jc w:val="center"/>
              <w:ind w:right="114"/>
              <w:spacing w:after="0"/>
              <w:rPr>
                <w:sz w:val="20"/>
                <w:szCs w:val="20"/>
                <w:color w:val="auto"/>
              </w:rPr>
            </w:pPr>
            <w:r>
              <w:rPr>
                <w:rFonts w:ascii="Arial" w:cs="Arial" w:eastAsia="Arial" w:hAnsi="Arial"/>
                <w:sz w:val="14"/>
                <w:szCs w:val="14"/>
                <w:color w:val="auto"/>
              </w:rPr>
              <w:t>$-</w:t>
            </w:r>
          </w:p>
        </w:tc>
        <w:tc>
          <w:tcPr>
            <w:tcW w:w="118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6"/>
              </w:rPr>
              <w:t>117,916</w:t>
            </w:r>
            <w:r>
              <w:rPr>
                <w:rFonts w:ascii="Arial" w:cs="Arial" w:eastAsia="Arial" w:hAnsi="Arial"/>
                <w:sz w:val="17"/>
                <w:szCs w:val="17"/>
                <w:color w:val="auto"/>
                <w:w w:val="96"/>
                <w:vertAlign w:val="superscript"/>
              </w:rPr>
              <w:t>(1)</w:t>
            </w:r>
          </w:p>
        </w:tc>
        <w:tc>
          <w:tcPr>
            <w:tcW w:w="1380" w:type="dxa"/>
            <w:vAlign w:val="bottom"/>
            <w:shd w:val="clear" w:color="auto" w:fill="DEDBD3"/>
          </w:tcPr>
          <w:p>
            <w:pPr>
              <w:jc w:val="right"/>
              <w:ind w:right="715"/>
              <w:spacing w:after="0"/>
              <w:rPr>
                <w:sz w:val="20"/>
                <w:szCs w:val="20"/>
                <w:color w:val="auto"/>
              </w:rPr>
            </w:pPr>
            <w:r>
              <w:rPr>
                <w:rFonts w:ascii="Arial" w:cs="Arial" w:eastAsia="Arial" w:hAnsi="Arial"/>
                <w:sz w:val="14"/>
                <w:szCs w:val="14"/>
                <w:color w:val="auto"/>
              </w:rPr>
              <w:t>$</w:t>
            </w:r>
          </w:p>
        </w:tc>
        <w:tc>
          <w:tcPr>
            <w:tcW w:w="1120" w:type="dxa"/>
            <w:vAlign w:val="bottom"/>
            <w:shd w:val="clear" w:color="auto" w:fill="DEDBD3"/>
          </w:tcPr>
          <w:p>
            <w:pPr>
              <w:jc w:val="right"/>
              <w:ind w:right="276"/>
              <w:spacing w:after="0"/>
              <w:rPr>
                <w:sz w:val="20"/>
                <w:szCs w:val="20"/>
                <w:color w:val="auto"/>
              </w:rPr>
            </w:pPr>
            <w:r>
              <w:rPr>
                <w:rFonts w:ascii="Arial" w:cs="Arial" w:eastAsia="Arial" w:hAnsi="Arial"/>
                <w:sz w:val="14"/>
                <w:szCs w:val="14"/>
                <w:color w:val="auto"/>
              </w:rPr>
              <w:t>10,292,961</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20" w:right="160" w:hanging="4"/>
        <w:spacing w:after="0" w:line="239" w:lineRule="auto"/>
        <w:tabs>
          <w:tab w:leader="none" w:pos="502" w:val="left"/>
        </w:tabs>
        <w:numPr>
          <w:ilvl w:val="0"/>
          <w:numId w:val="43"/>
        </w:numPr>
        <w:rPr>
          <w:rFonts w:ascii="Arial" w:cs="Arial" w:eastAsia="Arial" w:hAnsi="Arial"/>
          <w:sz w:val="12"/>
          <w:szCs w:val="12"/>
          <w:color w:val="auto"/>
        </w:rPr>
      </w:pPr>
      <w:r>
        <w:rPr>
          <w:rFonts w:ascii="Arial" w:cs="Arial" w:eastAsia="Arial" w:hAnsi="Arial"/>
          <w:sz w:val="12"/>
          <w:szCs w:val="12"/>
          <w:color w:val="auto"/>
        </w:rPr>
        <w:t>35,678 shares vested in accordance with contractual vesting schedules and 82,238 vested in accordance with the Maddox Transition Agreement, as described in more detail under the heading “Maddox Transition Agreement” below.</w:t>
      </w:r>
    </w:p>
    <w:p>
      <w:pPr>
        <w:spacing w:after="0" w:line="172" w:lineRule="exact"/>
        <w:rPr>
          <w:sz w:val="20"/>
          <w:szCs w:val="20"/>
          <w:color w:val="auto"/>
        </w:rPr>
      </w:pPr>
    </w:p>
    <w:p>
      <w:pPr>
        <w:jc w:val="both"/>
        <w:ind w:left="320" w:right="300"/>
        <w:spacing w:after="0" w:line="247" w:lineRule="auto"/>
        <w:rPr>
          <w:sz w:val="20"/>
          <w:szCs w:val="20"/>
          <w:color w:val="auto"/>
        </w:rPr>
      </w:pPr>
      <w:r>
        <w:rPr>
          <w:rFonts w:ascii="Arial" w:cs="Arial" w:eastAsia="Arial" w:hAnsi="Arial"/>
          <w:sz w:val="17"/>
          <w:szCs w:val="17"/>
          <w:color w:val="auto"/>
        </w:rPr>
        <w:t>The amounts reported in the table above are based on the closing price of the Company’s Common Stock on the date the stock award vested. Upon vesting of the stock award, the executive also was paid an amount equal to the dividends that had accrued on the shares prior to their vesting.</w:t>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auto"/>
        </w:rPr>
        <w:t>Potential payments upon termination or change in control</w:t>
      </w:r>
    </w:p>
    <w:p>
      <w:pPr>
        <w:spacing w:after="0" w:line="47" w:lineRule="exact"/>
        <w:rPr>
          <w:sz w:val="20"/>
          <w:szCs w:val="20"/>
          <w:color w:val="auto"/>
        </w:rPr>
      </w:pPr>
    </w:p>
    <w:p>
      <w:pPr>
        <w:ind w:left="320" w:right="60"/>
        <w:spacing w:after="0" w:line="242" w:lineRule="auto"/>
        <w:rPr>
          <w:sz w:val="20"/>
          <w:szCs w:val="20"/>
          <w:color w:val="auto"/>
        </w:rPr>
      </w:pPr>
      <w:r>
        <w:rPr>
          <w:rFonts w:ascii="Arial" w:cs="Arial" w:eastAsia="Arial" w:hAnsi="Arial"/>
          <w:sz w:val="17"/>
          <w:szCs w:val="17"/>
          <w:color w:val="794500"/>
        </w:rPr>
        <w:t xml:space="preserve">PAYMENTS MADE UPON TERMINATION DUE TO DEATH, COMPLETE DISABILITY OR LICENSE REVOCATION. </w:t>
      </w:r>
      <w:r>
        <w:rPr>
          <w:rFonts w:ascii="Arial" w:cs="Arial" w:eastAsia="Arial" w:hAnsi="Arial"/>
          <w:sz w:val="17"/>
          <w:szCs w:val="17"/>
          <w:color w:val="000000"/>
        </w:rPr>
        <w:t>The Company’s</w:t>
      </w:r>
      <w:r>
        <w:rPr>
          <w:rFonts w:ascii="Arial" w:cs="Arial" w:eastAsia="Arial" w:hAnsi="Arial"/>
          <w:sz w:val="17"/>
          <w:szCs w:val="17"/>
          <w:color w:val="794500"/>
        </w:rPr>
        <w:t xml:space="preserve"> </w:t>
      </w:r>
      <w:r>
        <w:rPr>
          <w:rFonts w:ascii="Arial" w:cs="Arial" w:eastAsia="Arial" w:hAnsi="Arial"/>
          <w:sz w:val="17"/>
          <w:szCs w:val="17"/>
          <w:color w:val="000000"/>
        </w:rPr>
        <w:t>employment agreements with its current NEOs provide that such agreements terminate automatically upon death or complete disability of the employee, as well as upon failure of the employee to obtain or maintain any required gaming licenses. Upon such termination, such NEO is entitled to a lump sum payment of accrued and unpaid base salary and vacation pay through the termination date. Pursuant to the terms of the applicable stock option agreements and restricted stock grant agreements, all of the unvested options and restricted stock held by such NEOs would vest upon termination as a result of such NEO’s death or complete disability.</w:t>
      </w:r>
    </w:p>
    <w:p>
      <w:pPr>
        <w:spacing w:after="0" w:line="157" w:lineRule="exact"/>
        <w:rPr>
          <w:sz w:val="20"/>
          <w:szCs w:val="20"/>
          <w:color w:val="auto"/>
        </w:rPr>
      </w:pPr>
    </w:p>
    <w:p>
      <w:pPr>
        <w:ind w:left="320" w:right="40"/>
        <w:spacing w:after="0"/>
        <w:rPr>
          <w:sz w:val="20"/>
          <w:szCs w:val="20"/>
          <w:color w:val="auto"/>
        </w:rPr>
      </w:pPr>
      <w:r>
        <w:rPr>
          <w:rFonts w:ascii="Arial" w:cs="Arial" w:eastAsia="Arial" w:hAnsi="Arial"/>
          <w:sz w:val="17"/>
          <w:szCs w:val="17"/>
          <w:color w:val="794500"/>
        </w:rPr>
        <w:t>PAYMENTS MADE UPON TERMINATION WITHOUT CAUSE AT EMPLOYER’S ELECTION OR AT EMPLOYEE’S ELECTION UPON COMPANY MATERIAL BREACH DURING THE TERM</w:t>
      </w:r>
      <w:r>
        <w:rPr>
          <w:rFonts w:ascii="Arial" w:cs="Arial" w:eastAsia="Arial" w:hAnsi="Arial"/>
          <w:sz w:val="17"/>
          <w:szCs w:val="17"/>
          <w:color w:val="000000"/>
        </w:rPr>
        <w:t>. The Company’s employment agreements with its current NEOs provide that such</w:t>
      </w:r>
      <w:r>
        <w:rPr>
          <w:rFonts w:ascii="Arial" w:cs="Arial" w:eastAsia="Arial" w:hAnsi="Arial"/>
          <w:sz w:val="17"/>
          <w:szCs w:val="17"/>
          <w:color w:val="794500"/>
        </w:rPr>
        <w:t xml:space="preserve"> </w:t>
      </w:r>
      <w:r>
        <w:rPr>
          <w:rFonts w:ascii="Arial" w:cs="Arial" w:eastAsia="Arial" w:hAnsi="Arial"/>
          <w:sz w:val="17"/>
          <w:szCs w:val="17"/>
          <w:color w:val="000000"/>
        </w:rPr>
        <w:t>agreements are terminable by the Company without cause upon notice to the employee, so long as a “separation payment” is paid as provided in such contracts, or by the employee upon written notice to the Company of the Company’s uncured material breach of the agreement. Cause is generally defined to include (i) inability or failure to secure and/or maintain any licenses or permits required by government agencies with jurisdiction over the business of the Company or its affiliates; (ii) willful destruction of property of the Company or an affiliate having a material value to the Company or such affiliate; (iii) fraud, embezzlement, theft, or comparable dishonest activity (excluding acts involving a de minimis dollar value and not related in any manner to the Company, its affiliates or their business); (iv) conviction of or entering a plea of guilty or nolo contendere to any crime constituting a felony; (v) material breach of employment agreement; (vi) neglect, refusal, or knowing failure to materially discharge duties (other than due to physical or mental illness) commensurate with title and function, or failure to comply with the lawful directions of the Company or its board; (vii) knowing material misrepresentation to the Company or its Board of Directors; (viii) failure to follow a material policy or procedure of the Company or an affiliate; or (ix) material breach of a statutory or common law duty of loyalty or fiduciary duty to the Company or an affiliate. Material breach is defined as (i) the Company’s failure to pay the employee’s base salary when due, (ii) the Company’s material reduction in the scope in the employee’s duties and responsibilities such that the employee’s remaining duties and responsibilities are materially inconsistent with duties and responsibilities generally associated with the employee’s position with the Company, or (iii) a material reduction in the employee’s base salary.</w:t>
      </w:r>
    </w:p>
    <w:p>
      <w:pPr>
        <w:spacing w:after="0" w:line="33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 49 //</w:t>
      </w:r>
    </w:p>
    <w:p>
      <w:pPr>
        <w:sectPr>
          <w:pgSz w:w="11900" w:h="16838" w:orient="portrait"/>
          <w:cols w:equalWidth="0" w:num="1">
            <w:col w:w="10940"/>
          </w:cols>
          <w:pgMar w:left="320" w:top="473" w:right="6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right="600"/>
        <w:spacing w:after="0" w:line="245" w:lineRule="auto"/>
        <w:rPr>
          <w:sz w:val="20"/>
          <w:szCs w:val="20"/>
          <w:color w:val="auto"/>
        </w:rPr>
      </w:pPr>
      <w:r>
        <w:rPr>
          <w:rFonts w:ascii="Arial" w:cs="Arial" w:eastAsia="Arial" w:hAnsi="Arial"/>
          <w:sz w:val="17"/>
          <w:szCs w:val="17"/>
          <w:color w:val="auto"/>
        </w:rPr>
        <w:t>The “separation payment” for all current NEOs equals the sum of (a) base salary for the remainder of the term of the employment agreement, but not less than 12 months (except for Mr. Billings which is not less than 18 months); (b) bonus projected for all bonus periods through the end of the term of the employment agreement (based upon the last bonus paid pursuant to the employment agreement), but not less than the preceding bonus that was paid; and (c) any accrued but unpaid vacation pay.</w:t>
      </w:r>
    </w:p>
    <w:p>
      <w:pPr>
        <w:spacing w:after="0" w:line="164" w:lineRule="exact"/>
        <w:rPr>
          <w:sz w:val="20"/>
          <w:szCs w:val="20"/>
          <w:color w:val="auto"/>
        </w:rPr>
      </w:pPr>
    </w:p>
    <w:p>
      <w:pPr>
        <w:ind w:left="320"/>
        <w:spacing w:after="0" w:line="241" w:lineRule="auto"/>
        <w:rPr>
          <w:sz w:val="20"/>
          <w:szCs w:val="20"/>
          <w:color w:val="auto"/>
        </w:rPr>
      </w:pPr>
      <w:r>
        <w:rPr>
          <w:rFonts w:ascii="Arial" w:cs="Arial" w:eastAsia="Arial" w:hAnsi="Arial"/>
          <w:sz w:val="17"/>
          <w:szCs w:val="17"/>
          <w:color w:val="auto"/>
        </w:rPr>
        <w:t>If Mr. Billings, Ms. Cameron-Doe or Ms. Whittemore is terminated by the Company without cause or resigns following the Company’s material breach of his or her employment agreement, then as a condition to receiving such separation payment, he/she must execute a written release-severance agreement that (1) releases the Company, its affiliates, and their officers, directors, agents and employees, from any claims or causes of action, and (2) provides that the terminated employee may not disclose either the terms of the release-severance agreement or the compensation paid. In addition, the NEOs are entitled to health benefits coverage under the same plan or arrangement as such NEO was covered immediately prior to termination. Mr. Billings is entitled to health benefits for the remainder of the term but not less than 18 months and for a period of twelve months thereafter. Ms. Whittemore is entitled to health benefits for the remainder of the original term but not less than 12 months and for a period of twelve months thereafter. Ms. Cameron-Doe is entitled to health benefits until the earlier of the remainder of the term or until she is covered by a plan of another employer. Pursuant to the terms of the applicable restricted stock grant agreements, all of the unvested restricted stock held by such NEOs would vest pro rata based on the number of months served since the grant date upon a termination of the NEO’s employment by the Company without “cause” or by the employee upon the Company’s material breach.</w:t>
      </w:r>
    </w:p>
    <w:p>
      <w:pPr>
        <w:spacing w:after="0" w:line="155" w:lineRule="exact"/>
        <w:rPr>
          <w:sz w:val="20"/>
          <w:szCs w:val="20"/>
          <w:color w:val="auto"/>
        </w:rPr>
      </w:pPr>
    </w:p>
    <w:p>
      <w:pPr>
        <w:ind w:left="320" w:right="60"/>
        <w:spacing w:after="0" w:line="239" w:lineRule="auto"/>
        <w:rPr>
          <w:sz w:val="20"/>
          <w:szCs w:val="20"/>
          <w:color w:val="auto"/>
        </w:rPr>
      </w:pPr>
      <w:r>
        <w:rPr>
          <w:rFonts w:ascii="Arial" w:cs="Arial" w:eastAsia="Arial" w:hAnsi="Arial"/>
          <w:sz w:val="17"/>
          <w:szCs w:val="17"/>
          <w:color w:val="794500"/>
        </w:rPr>
        <w:t>PAYMENTS MADE UPON TERMINATION BY EMPLOYEE FOR GOOD REASON AFTER CHANGE IN CONTROL</w:t>
      </w:r>
      <w:r>
        <w:rPr>
          <w:rFonts w:ascii="Arial" w:cs="Arial" w:eastAsia="Arial" w:hAnsi="Arial"/>
          <w:sz w:val="17"/>
          <w:szCs w:val="17"/>
          <w:color w:val="000000"/>
        </w:rPr>
        <w:t>. The Company’s</w:t>
      </w:r>
      <w:r>
        <w:rPr>
          <w:rFonts w:ascii="Arial" w:cs="Arial" w:eastAsia="Arial" w:hAnsi="Arial"/>
          <w:sz w:val="17"/>
          <w:szCs w:val="17"/>
          <w:color w:val="794500"/>
        </w:rPr>
        <w:t xml:space="preserve"> </w:t>
      </w:r>
      <w:r>
        <w:rPr>
          <w:rFonts w:ascii="Arial" w:cs="Arial" w:eastAsia="Arial" w:hAnsi="Arial"/>
          <w:sz w:val="17"/>
          <w:szCs w:val="17"/>
          <w:color w:val="000000"/>
        </w:rPr>
        <w:t>employment agreements with its current NEOs provide that such agreements are terminable by the employee for good reason after a change of control. A change of control is generally defined as (a) any person or group becomes the beneficial owner of more than 50% of the Company’s outstanding securities, (b) the existing directors of the Company (including those elected in the normal course and not including those elected as a result of an actual or threatened election contest) cease to constitute a majority of the Board of the Company, or (c) the consummation of a merger, consolidation or reorganization to which the Company is a party or the sale or disposition of substantially all of the assets of the Company. Good reason is defined as: (i) reduction of employee’s base salary; (ii) discontinuation of employer’s bonus plan without immediately replacing such bonus plan with a plan that is the substantial economic equivalent of such bonus plan, or amending such bonus plan so as to materially reduce employee’s potential bonus at any given level of economic performance of employer or its successor entity; (iii) material reduction in the aggregate benefits and perquisites to employee;</w:t>
      </w:r>
    </w:p>
    <w:p>
      <w:pPr>
        <w:spacing w:after="0" w:line="5" w:lineRule="exact"/>
        <w:rPr>
          <w:sz w:val="20"/>
          <w:szCs w:val="20"/>
          <w:color w:val="auto"/>
        </w:rPr>
      </w:pPr>
    </w:p>
    <w:p>
      <w:pPr>
        <w:ind w:left="320" w:right="340" w:hanging="4"/>
        <w:spacing w:after="0" w:line="247" w:lineRule="auto"/>
        <w:tabs>
          <w:tab w:leader="none" w:pos="609"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w:t>
      </w:r>
    </w:p>
    <w:p>
      <w:pPr>
        <w:spacing w:after="0" w:line="151" w:lineRule="exact"/>
        <w:rPr>
          <w:sz w:val="20"/>
          <w:szCs w:val="20"/>
          <w:color w:val="auto"/>
        </w:rPr>
      </w:pPr>
    </w:p>
    <w:p>
      <w:pPr>
        <w:ind w:left="320"/>
        <w:spacing w:after="0" w:line="242" w:lineRule="auto"/>
        <w:rPr>
          <w:sz w:val="20"/>
          <w:szCs w:val="20"/>
          <w:color w:val="auto"/>
        </w:rPr>
      </w:pPr>
      <w:r>
        <w:rPr>
          <w:rFonts w:ascii="Arial" w:cs="Arial" w:eastAsia="Arial" w:hAnsi="Arial"/>
          <w:sz w:val="17"/>
          <w:szCs w:val="17"/>
          <w:color w:val="auto"/>
        </w:rPr>
        <w:t>Upon termination by the employee pursuant to this provision, the employee is entitled to the “separation payment” described under “Payments Made Upon Termination Without Cause at Employer’s Election During the Term” above. Pursuant to the terms of the applicable stock option agreements, some or all of the unvested options held by the applicable current NEOs would immediately vest upon termination by the Company without cause or upon termination by the employee for good reason after a change of control. Pursuant to the terms of the applicable restricted stock grant agreements, all of the unvested restricted stock held by such NEOs would vest upon termination for “good reason” following a “change of control.”</w:t>
      </w:r>
    </w:p>
    <w:p>
      <w:pPr>
        <w:spacing w:after="0" w:line="170" w:lineRule="exact"/>
        <w:rPr>
          <w:sz w:val="20"/>
          <w:szCs w:val="20"/>
          <w:color w:val="auto"/>
        </w:rPr>
      </w:pPr>
    </w:p>
    <w:p>
      <w:pPr>
        <w:ind w:left="320" w:right="40"/>
        <w:spacing w:after="0" w:line="241" w:lineRule="auto"/>
        <w:rPr>
          <w:sz w:val="20"/>
          <w:szCs w:val="20"/>
          <w:color w:val="auto"/>
        </w:rPr>
      </w:pPr>
      <w:r>
        <w:rPr>
          <w:rFonts w:ascii="Arial" w:cs="Arial" w:eastAsia="Arial" w:hAnsi="Arial"/>
          <w:sz w:val="17"/>
          <w:szCs w:val="17"/>
          <w:color w:val="794500"/>
        </w:rPr>
        <w:t>PAYMENTS MADE UPON TERMINATION</w:t>
      </w:r>
      <w:r>
        <w:rPr>
          <w:rFonts w:ascii="Arial" w:cs="Arial" w:eastAsia="Arial" w:hAnsi="Arial"/>
          <w:sz w:val="17"/>
          <w:szCs w:val="17"/>
          <w:color w:val="000000"/>
        </w:rPr>
        <w:t>. The tables below reflect the amount of compensation that would become payable to each of</w:t>
      </w:r>
      <w:r>
        <w:rPr>
          <w:rFonts w:ascii="Arial" w:cs="Arial" w:eastAsia="Arial" w:hAnsi="Arial"/>
          <w:sz w:val="17"/>
          <w:szCs w:val="17"/>
          <w:color w:val="794500"/>
        </w:rPr>
        <w:t xml:space="preserve"> </w:t>
      </w:r>
      <w:r>
        <w:rPr>
          <w:rFonts w:ascii="Arial" w:cs="Arial" w:eastAsia="Arial" w:hAnsi="Arial"/>
          <w:sz w:val="17"/>
          <w:szCs w:val="17"/>
          <w:color w:val="000000"/>
        </w:rPr>
        <w:t>our current NEOs under existing agreements and arrangements if the NEO’s employment had terminated on December 31, 2022, based on the NEO’s compensation as of such date and, if applicable, the Company’s closing stock price on that date. These benefits are in addition to benefits available prior to the occurrence of any termination of employment, including benefits generally available to all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Compensation Committee determines appropriate. The actual amounts that would be paid upon an NEO’s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1"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50 //</w:t>
      </w:r>
    </w:p>
    <w:p>
      <w:pPr>
        <w:sectPr>
          <w:pgSz w:w="11900" w:h="16838" w:orient="portrait"/>
          <w:cols w:equalWidth="0" w:num="1">
            <w:col w:w="10920"/>
          </w:cols>
          <w:pgMar w:left="320" w:top="473" w:right="65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94500"/>
        </w:rPr>
        <w:t>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136525</wp:posOffset>
            </wp:positionV>
            <wp:extent cx="6740525" cy="1792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40525" cy="1792605"/>
                    </a:xfrm>
                    <a:prstGeom prst="rect">
                      <a:avLst/>
                    </a:prstGeom>
                    <a:noFill/>
                  </pic:spPr>
                </pic:pic>
              </a:graphicData>
            </a:graphic>
          </wp:anchor>
        </w:drawing>
      </w:r>
    </w:p>
    <w:p>
      <w:pPr>
        <w:spacing w:after="0" w:line="195"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3140" w:type="dxa"/>
            <w:vAlign w:val="bottom"/>
            <w:shd w:val="clear" w:color="auto" w:fill="DEDBD3"/>
          </w:tcPr>
          <w:p>
            <w:pPr>
              <w:spacing w:after="0"/>
              <w:rPr>
                <w:sz w:val="16"/>
                <w:szCs w:val="16"/>
                <w:color w:val="auto"/>
              </w:rPr>
            </w:pPr>
          </w:p>
        </w:tc>
        <w:tc>
          <w:tcPr>
            <w:tcW w:w="2560" w:type="dxa"/>
            <w:vAlign w:val="bottom"/>
            <w:shd w:val="clear" w:color="auto" w:fill="DEDBD3"/>
          </w:tcPr>
          <w:p>
            <w:pPr>
              <w:jc w:val="center"/>
              <w:ind w:right="16"/>
              <w:spacing w:after="0"/>
              <w:rPr>
                <w:sz w:val="20"/>
                <w:szCs w:val="20"/>
                <w:color w:val="auto"/>
              </w:rPr>
            </w:pPr>
            <w:r>
              <w:rPr>
                <w:rFonts w:ascii="Arial" w:cs="Arial" w:eastAsia="Arial" w:hAnsi="Arial"/>
                <w:sz w:val="10"/>
                <w:szCs w:val="10"/>
                <w:b w:val="1"/>
                <w:bCs w:val="1"/>
                <w:color w:val="auto"/>
              </w:rPr>
              <w:t>TERMINATION UPON</w:t>
            </w:r>
          </w:p>
        </w:tc>
        <w:tc>
          <w:tcPr>
            <w:tcW w:w="2420" w:type="dxa"/>
            <w:vAlign w:val="bottom"/>
            <w:shd w:val="clear" w:color="auto" w:fill="DEDBD3"/>
          </w:tcPr>
          <w:p>
            <w:pPr>
              <w:jc w:val="center"/>
              <w:ind w:left="57"/>
              <w:spacing w:after="0"/>
              <w:rPr>
                <w:sz w:val="20"/>
                <w:szCs w:val="20"/>
                <w:color w:val="auto"/>
              </w:rPr>
            </w:pPr>
            <w:r>
              <w:rPr>
                <w:rFonts w:ascii="Arial" w:cs="Arial" w:eastAsia="Arial" w:hAnsi="Arial"/>
                <w:sz w:val="10"/>
                <w:szCs w:val="10"/>
                <w:b w:val="1"/>
                <w:bCs w:val="1"/>
                <w:color w:val="auto"/>
              </w:rPr>
              <w:t>TERMINATION WITHOUT</w:t>
            </w:r>
          </w:p>
        </w:tc>
        <w:tc>
          <w:tcPr>
            <w:tcW w:w="2500" w:type="dxa"/>
            <w:vAlign w:val="bottom"/>
            <w:shd w:val="clear" w:color="auto" w:fill="DEDBD3"/>
          </w:tcPr>
          <w:p>
            <w:pPr>
              <w:jc w:val="center"/>
              <w:spacing w:after="0"/>
              <w:rPr>
                <w:sz w:val="20"/>
                <w:szCs w:val="20"/>
                <w:color w:val="auto"/>
              </w:rPr>
            </w:pPr>
            <w:r>
              <w:rPr>
                <w:rFonts w:ascii="Arial" w:cs="Arial" w:eastAsia="Arial" w:hAnsi="Arial"/>
                <w:sz w:val="10"/>
                <w:szCs w:val="10"/>
                <w:b w:val="1"/>
                <w:bCs w:val="1"/>
                <w:color w:val="auto"/>
              </w:rPr>
              <w:t>TERMINATION BY EMPLOYEE</w:t>
            </w:r>
          </w:p>
        </w:tc>
        <w:tc>
          <w:tcPr>
            <w:tcW w:w="0" w:type="dxa"/>
            <w:vAlign w:val="bottom"/>
          </w:tcPr>
          <w:p>
            <w:pPr>
              <w:spacing w:after="0"/>
              <w:rPr>
                <w:sz w:val="1"/>
                <w:szCs w:val="1"/>
                <w:color w:val="auto"/>
              </w:rPr>
            </w:pPr>
          </w:p>
        </w:tc>
      </w:tr>
      <w:tr>
        <w:trPr>
          <w:trHeight w:val="117"/>
        </w:trPr>
        <w:tc>
          <w:tcPr>
            <w:tcW w:w="3140" w:type="dxa"/>
            <w:vAlign w:val="bottom"/>
            <w:shd w:val="clear" w:color="auto" w:fill="DEDBD3"/>
          </w:tcPr>
          <w:p>
            <w:pPr>
              <w:spacing w:after="0"/>
              <w:rPr>
                <w:sz w:val="10"/>
                <w:szCs w:val="10"/>
                <w:color w:val="auto"/>
              </w:rPr>
            </w:pPr>
          </w:p>
        </w:tc>
        <w:tc>
          <w:tcPr>
            <w:tcW w:w="2560" w:type="dxa"/>
            <w:vAlign w:val="bottom"/>
            <w:shd w:val="clear" w:color="auto" w:fill="DEDBD3"/>
          </w:tcPr>
          <w:p>
            <w:pPr>
              <w:jc w:val="center"/>
              <w:ind w:right="16"/>
              <w:spacing w:after="0"/>
              <w:rPr>
                <w:sz w:val="20"/>
                <w:szCs w:val="20"/>
                <w:color w:val="auto"/>
              </w:rPr>
            </w:pPr>
            <w:r>
              <w:rPr>
                <w:rFonts w:ascii="Arial" w:cs="Arial" w:eastAsia="Arial" w:hAnsi="Arial"/>
                <w:sz w:val="10"/>
                <w:szCs w:val="10"/>
                <w:b w:val="1"/>
                <w:bCs w:val="1"/>
                <w:color w:val="auto"/>
              </w:rPr>
              <w:t>DEATH OR COMPLETE</w:t>
            </w:r>
          </w:p>
        </w:tc>
        <w:tc>
          <w:tcPr>
            <w:tcW w:w="2420" w:type="dxa"/>
            <w:vAlign w:val="bottom"/>
            <w:shd w:val="clear" w:color="auto" w:fill="DEDBD3"/>
          </w:tcPr>
          <w:p>
            <w:pPr>
              <w:jc w:val="center"/>
              <w:ind w:left="37"/>
              <w:spacing w:after="0"/>
              <w:rPr>
                <w:sz w:val="20"/>
                <w:szCs w:val="20"/>
                <w:color w:val="auto"/>
              </w:rPr>
            </w:pPr>
            <w:r>
              <w:rPr>
                <w:rFonts w:ascii="Arial" w:cs="Arial" w:eastAsia="Arial" w:hAnsi="Arial"/>
                <w:sz w:val="10"/>
                <w:szCs w:val="10"/>
                <w:b w:val="1"/>
                <w:bCs w:val="1"/>
                <w:color w:val="auto"/>
              </w:rPr>
              <w:t>CAUSE OR UPON</w:t>
            </w:r>
          </w:p>
        </w:tc>
        <w:tc>
          <w:tcPr>
            <w:tcW w:w="2500" w:type="dxa"/>
            <w:vAlign w:val="bottom"/>
            <w:shd w:val="clear" w:color="auto" w:fill="DEDBD3"/>
          </w:tcPr>
          <w:p>
            <w:pPr>
              <w:jc w:val="center"/>
              <w:spacing w:after="0"/>
              <w:rPr>
                <w:sz w:val="20"/>
                <w:szCs w:val="20"/>
                <w:color w:val="auto"/>
              </w:rPr>
            </w:pPr>
            <w:r>
              <w:rPr>
                <w:rFonts w:ascii="Arial" w:cs="Arial" w:eastAsia="Arial" w:hAnsi="Arial"/>
                <w:sz w:val="10"/>
                <w:szCs w:val="10"/>
                <w:b w:val="1"/>
                <w:bCs w:val="1"/>
                <w:color w:val="auto"/>
              </w:rPr>
              <w:t>FOR GOOD REASON AFTER</w:t>
            </w:r>
          </w:p>
        </w:tc>
        <w:tc>
          <w:tcPr>
            <w:tcW w:w="0" w:type="dxa"/>
            <w:vAlign w:val="bottom"/>
          </w:tcPr>
          <w:p>
            <w:pPr>
              <w:spacing w:after="0"/>
              <w:rPr>
                <w:sz w:val="1"/>
                <w:szCs w:val="1"/>
                <w:color w:val="auto"/>
              </w:rPr>
            </w:pPr>
          </w:p>
        </w:tc>
      </w:tr>
      <w:tr>
        <w:trPr>
          <w:trHeight w:val="151"/>
        </w:trPr>
        <w:tc>
          <w:tcPr>
            <w:tcW w:w="3140" w:type="dxa"/>
            <w:vAlign w:val="bottom"/>
            <w:tcBorders>
              <w:bottom w:val="single" w:sz="8" w:color="DEDBD3"/>
            </w:tcBorders>
            <w:shd w:val="clear" w:color="auto" w:fill="DEDBD3"/>
          </w:tcPr>
          <w:p>
            <w:pPr>
              <w:spacing w:after="0"/>
              <w:rPr>
                <w:sz w:val="13"/>
                <w:szCs w:val="13"/>
                <w:color w:val="auto"/>
              </w:rPr>
            </w:pPr>
          </w:p>
        </w:tc>
        <w:tc>
          <w:tcPr>
            <w:tcW w:w="2560" w:type="dxa"/>
            <w:vAlign w:val="bottom"/>
            <w:tcBorders>
              <w:bottom w:val="single" w:sz="8" w:color="DEDBD3"/>
            </w:tcBorders>
            <w:shd w:val="clear" w:color="auto" w:fill="DEDBD3"/>
          </w:tcPr>
          <w:p>
            <w:pPr>
              <w:jc w:val="center"/>
              <w:ind w:right="16"/>
              <w:spacing w:after="0"/>
              <w:rPr>
                <w:sz w:val="20"/>
                <w:szCs w:val="20"/>
                <w:color w:val="auto"/>
              </w:rPr>
            </w:pPr>
            <w:r>
              <w:rPr>
                <w:rFonts w:ascii="Arial" w:cs="Arial" w:eastAsia="Arial" w:hAnsi="Arial"/>
                <w:sz w:val="10"/>
                <w:szCs w:val="10"/>
                <w:b w:val="1"/>
                <w:bCs w:val="1"/>
                <w:color w:val="auto"/>
              </w:rPr>
              <w:t>DISABILITY</w:t>
            </w:r>
          </w:p>
        </w:tc>
        <w:tc>
          <w:tcPr>
            <w:tcW w:w="2420" w:type="dxa"/>
            <w:vAlign w:val="bottom"/>
            <w:tcBorders>
              <w:bottom w:val="single" w:sz="8" w:color="DEDBD3"/>
            </w:tcBorders>
            <w:shd w:val="clear" w:color="auto" w:fill="DEDBD3"/>
          </w:tcPr>
          <w:p>
            <w:pPr>
              <w:jc w:val="center"/>
              <w:ind w:left="37"/>
              <w:spacing w:after="0"/>
              <w:rPr>
                <w:sz w:val="20"/>
                <w:szCs w:val="20"/>
                <w:color w:val="auto"/>
              </w:rPr>
            </w:pPr>
            <w:r>
              <w:rPr>
                <w:rFonts w:ascii="Arial" w:cs="Arial" w:eastAsia="Arial" w:hAnsi="Arial"/>
                <w:sz w:val="10"/>
                <w:szCs w:val="10"/>
                <w:b w:val="1"/>
                <w:bCs w:val="1"/>
                <w:color w:val="auto"/>
              </w:rPr>
              <w:t>MATERIAL BREACH</w:t>
            </w:r>
          </w:p>
        </w:tc>
        <w:tc>
          <w:tcPr>
            <w:tcW w:w="2500" w:type="dxa"/>
            <w:vAlign w:val="bottom"/>
            <w:tcBorders>
              <w:bottom w:val="single" w:sz="8" w:color="DEDBD3"/>
            </w:tcBorders>
            <w:shd w:val="clear" w:color="auto" w:fill="DEDBD3"/>
          </w:tcPr>
          <w:p>
            <w:pPr>
              <w:jc w:val="center"/>
              <w:spacing w:after="0"/>
              <w:rPr>
                <w:sz w:val="20"/>
                <w:szCs w:val="20"/>
                <w:color w:val="auto"/>
              </w:rPr>
            </w:pPr>
            <w:r>
              <w:rPr>
                <w:rFonts w:ascii="Arial" w:cs="Arial" w:eastAsia="Arial" w:hAnsi="Arial"/>
                <w:sz w:val="10"/>
                <w:szCs w:val="10"/>
                <w:b w:val="1"/>
                <w:bCs w:val="1"/>
                <w:color w:val="auto"/>
              </w:rPr>
              <w:t>CHANGE IN CONTROL</w:t>
            </w:r>
          </w:p>
        </w:tc>
        <w:tc>
          <w:tcPr>
            <w:tcW w:w="0" w:type="dxa"/>
            <w:vAlign w:val="bottom"/>
          </w:tcPr>
          <w:p>
            <w:pPr>
              <w:spacing w:after="0"/>
              <w:rPr>
                <w:sz w:val="1"/>
                <w:szCs w:val="1"/>
                <w:color w:val="auto"/>
              </w:rPr>
            </w:pPr>
          </w:p>
        </w:tc>
      </w:tr>
      <w:tr>
        <w:trPr>
          <w:trHeight w:val="291"/>
        </w:trPr>
        <w:tc>
          <w:tcPr>
            <w:tcW w:w="3140" w:type="dxa"/>
            <w:vAlign w:val="bottom"/>
            <w:shd w:val="clear" w:color="auto" w:fill="FDF9F2"/>
          </w:tcPr>
          <w:p>
            <w:pPr>
              <w:spacing w:after="0"/>
              <w:rPr>
                <w:sz w:val="24"/>
                <w:szCs w:val="24"/>
                <w:color w:val="auto"/>
              </w:rPr>
            </w:pPr>
          </w:p>
        </w:tc>
        <w:tc>
          <w:tcPr>
            <w:tcW w:w="2560" w:type="dxa"/>
            <w:vAlign w:val="bottom"/>
            <w:shd w:val="clear" w:color="auto" w:fill="FDF9F2"/>
          </w:tcPr>
          <w:p>
            <w:pPr>
              <w:jc w:val="right"/>
              <w:ind w:right="596"/>
              <w:spacing w:after="0"/>
              <w:rPr>
                <w:sz w:val="20"/>
                <w:szCs w:val="20"/>
                <w:color w:val="auto"/>
              </w:rPr>
            </w:pPr>
            <w:r>
              <w:rPr>
                <w:rFonts w:ascii="Arial" w:cs="Arial" w:eastAsia="Arial" w:hAnsi="Arial"/>
                <w:sz w:val="14"/>
                <w:szCs w:val="14"/>
                <w:color w:val="auto"/>
              </w:rPr>
              <w:t>Amounts earned and</w:t>
            </w:r>
          </w:p>
        </w:tc>
        <w:tc>
          <w:tcPr>
            <w:tcW w:w="2420" w:type="dxa"/>
            <w:vAlign w:val="bottom"/>
            <w:vMerge w:val="restart"/>
            <w:shd w:val="clear" w:color="auto" w:fill="FDF9F2"/>
          </w:tcPr>
          <w:p>
            <w:pPr>
              <w:jc w:val="center"/>
              <w:spacing w:after="0"/>
              <w:rPr>
                <w:sz w:val="20"/>
                <w:szCs w:val="20"/>
                <w:color w:val="auto"/>
              </w:rPr>
            </w:pPr>
            <w:r>
              <w:rPr>
                <w:rFonts w:ascii="Arial" w:cs="Arial" w:eastAsia="Arial" w:hAnsi="Arial"/>
                <w:sz w:val="14"/>
                <w:szCs w:val="14"/>
                <w:color w:val="auto"/>
                <w:w w:val="99"/>
              </w:rPr>
              <w:t>$3,831,781</w:t>
            </w:r>
          </w:p>
        </w:tc>
        <w:tc>
          <w:tcPr>
            <w:tcW w:w="2500" w:type="dxa"/>
            <w:vAlign w:val="bottom"/>
            <w:vMerge w:val="restart"/>
            <w:shd w:val="clear" w:color="auto" w:fill="FDF9F2"/>
          </w:tcPr>
          <w:p>
            <w:pPr>
              <w:jc w:val="center"/>
              <w:ind w:right="37"/>
              <w:spacing w:after="0"/>
              <w:rPr>
                <w:sz w:val="20"/>
                <w:szCs w:val="20"/>
                <w:color w:val="auto"/>
              </w:rPr>
            </w:pPr>
            <w:r>
              <w:rPr>
                <w:rFonts w:ascii="Arial" w:cs="Arial" w:eastAsia="Arial" w:hAnsi="Arial"/>
                <w:sz w:val="14"/>
                <w:szCs w:val="14"/>
                <w:color w:val="auto"/>
                <w:w w:val="96"/>
              </w:rPr>
              <w:t>$3,831,781</w:t>
            </w:r>
          </w:p>
        </w:tc>
        <w:tc>
          <w:tcPr>
            <w:tcW w:w="0" w:type="dxa"/>
            <w:vAlign w:val="bottom"/>
          </w:tcPr>
          <w:p>
            <w:pPr>
              <w:spacing w:after="0"/>
              <w:rPr>
                <w:sz w:val="1"/>
                <w:szCs w:val="1"/>
                <w:color w:val="auto"/>
              </w:rPr>
            </w:pPr>
          </w:p>
        </w:tc>
      </w:tr>
      <w:tr>
        <w:trPr>
          <w:trHeight w:val="113"/>
        </w:trPr>
        <w:tc>
          <w:tcPr>
            <w:tcW w:w="3140" w:type="dxa"/>
            <w:vAlign w:val="bottom"/>
            <w:vMerge w:val="restart"/>
            <w:shd w:val="clear" w:color="auto" w:fill="FDF9F2"/>
          </w:tcPr>
          <w:p>
            <w:pPr>
              <w:ind w:left="60"/>
              <w:spacing w:after="0" w:line="156" w:lineRule="exact"/>
              <w:rPr>
                <w:sz w:val="20"/>
                <w:szCs w:val="20"/>
                <w:color w:val="auto"/>
              </w:rPr>
            </w:pPr>
            <w:r>
              <w:rPr>
                <w:rFonts w:ascii="Arial" w:cs="Arial" w:eastAsia="Arial" w:hAnsi="Arial"/>
                <w:sz w:val="14"/>
                <w:szCs w:val="14"/>
                <w:color w:val="auto"/>
              </w:rPr>
              <w:t>Base Salary</w:t>
            </w:r>
          </w:p>
        </w:tc>
        <w:tc>
          <w:tcPr>
            <w:tcW w:w="2560" w:type="dxa"/>
            <w:vAlign w:val="bottom"/>
            <w:vMerge w:val="restart"/>
            <w:shd w:val="clear" w:color="auto" w:fill="FDF9F2"/>
          </w:tcPr>
          <w:p>
            <w:pPr>
              <w:jc w:val="right"/>
              <w:ind w:right="596"/>
              <w:spacing w:after="0" w:line="156" w:lineRule="exact"/>
              <w:rPr>
                <w:sz w:val="20"/>
                <w:szCs w:val="20"/>
                <w:color w:val="auto"/>
              </w:rPr>
            </w:pPr>
            <w:r>
              <w:rPr>
                <w:rFonts w:ascii="Arial" w:cs="Arial" w:eastAsia="Arial" w:hAnsi="Arial"/>
                <w:sz w:val="14"/>
                <w:szCs w:val="14"/>
                <w:color w:val="auto"/>
              </w:rPr>
              <w:t>unpaid through the</w:t>
            </w:r>
          </w:p>
        </w:tc>
        <w:tc>
          <w:tcPr>
            <w:tcW w:w="2420" w:type="dxa"/>
            <w:vAlign w:val="bottom"/>
            <w:vMerge w:val="continue"/>
            <w:shd w:val="clear" w:color="auto" w:fill="FDF9F2"/>
          </w:tcPr>
          <w:p>
            <w:pPr>
              <w:spacing w:after="0"/>
              <w:rPr>
                <w:sz w:val="9"/>
                <w:szCs w:val="9"/>
                <w:color w:val="auto"/>
              </w:rPr>
            </w:pPr>
          </w:p>
        </w:tc>
        <w:tc>
          <w:tcPr>
            <w:tcW w:w="2500" w:type="dxa"/>
            <w:vAlign w:val="bottom"/>
            <w:vMerge w:val="continue"/>
            <w:shd w:val="clear" w:color="auto" w:fill="FDF9F2"/>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3140" w:type="dxa"/>
            <w:vAlign w:val="bottom"/>
            <w:vMerge w:val="continue"/>
            <w:shd w:val="clear" w:color="auto" w:fill="FDF9F2"/>
          </w:tcPr>
          <w:p>
            <w:pPr>
              <w:spacing w:after="0"/>
              <w:rPr>
                <w:sz w:val="3"/>
                <w:szCs w:val="3"/>
                <w:color w:val="auto"/>
              </w:rPr>
            </w:pPr>
          </w:p>
        </w:tc>
        <w:tc>
          <w:tcPr>
            <w:tcW w:w="2560" w:type="dxa"/>
            <w:vAlign w:val="bottom"/>
            <w:vMerge w:val="continue"/>
            <w:shd w:val="clear" w:color="auto" w:fill="FDF9F2"/>
          </w:tcPr>
          <w:p>
            <w:pPr>
              <w:spacing w:after="0"/>
              <w:rPr>
                <w:sz w:val="3"/>
                <w:szCs w:val="3"/>
                <w:color w:val="auto"/>
              </w:rPr>
            </w:pPr>
          </w:p>
        </w:tc>
        <w:tc>
          <w:tcPr>
            <w:tcW w:w="2420" w:type="dxa"/>
            <w:vAlign w:val="bottom"/>
            <w:shd w:val="clear" w:color="auto" w:fill="FDF9F2"/>
          </w:tcPr>
          <w:p>
            <w:pPr>
              <w:spacing w:after="0"/>
              <w:rPr>
                <w:sz w:val="3"/>
                <w:szCs w:val="3"/>
                <w:color w:val="auto"/>
              </w:rPr>
            </w:pPr>
          </w:p>
        </w:tc>
        <w:tc>
          <w:tcPr>
            <w:tcW w:w="2500" w:type="dxa"/>
            <w:vAlign w:val="bottom"/>
            <w:shd w:val="clear" w:color="auto" w:fill="FDF9F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140" w:type="dxa"/>
            <w:vAlign w:val="bottom"/>
            <w:shd w:val="clear" w:color="auto" w:fill="FDF9F2"/>
          </w:tcPr>
          <w:p>
            <w:pPr>
              <w:spacing w:after="0"/>
              <w:rPr>
                <w:sz w:val="14"/>
                <w:szCs w:val="14"/>
                <w:color w:val="auto"/>
              </w:rPr>
            </w:pPr>
          </w:p>
        </w:tc>
        <w:tc>
          <w:tcPr>
            <w:tcW w:w="2560" w:type="dxa"/>
            <w:vAlign w:val="bottom"/>
            <w:shd w:val="clear" w:color="auto" w:fill="FDF9F2"/>
          </w:tcPr>
          <w:p>
            <w:pPr>
              <w:jc w:val="right"/>
              <w:ind w:right="596"/>
              <w:spacing w:after="0"/>
              <w:rPr>
                <w:sz w:val="20"/>
                <w:szCs w:val="20"/>
                <w:color w:val="auto"/>
              </w:rPr>
            </w:pPr>
            <w:r>
              <w:rPr>
                <w:rFonts w:ascii="Arial" w:cs="Arial" w:eastAsia="Arial" w:hAnsi="Arial"/>
                <w:sz w:val="14"/>
                <w:szCs w:val="14"/>
                <w:color w:val="auto"/>
              </w:rPr>
              <w:t>date of termination</w:t>
            </w:r>
          </w:p>
        </w:tc>
        <w:tc>
          <w:tcPr>
            <w:tcW w:w="2420" w:type="dxa"/>
            <w:vAlign w:val="bottom"/>
            <w:shd w:val="clear" w:color="auto" w:fill="FDF9F2"/>
          </w:tcPr>
          <w:p>
            <w:pPr>
              <w:spacing w:after="0"/>
              <w:rPr>
                <w:sz w:val="14"/>
                <w:szCs w:val="14"/>
                <w:color w:val="auto"/>
              </w:rPr>
            </w:pPr>
          </w:p>
        </w:tc>
        <w:tc>
          <w:tcPr>
            <w:tcW w:w="2500" w:type="dxa"/>
            <w:vAlign w:val="bottom"/>
            <w:shd w:val="clear" w:color="auto" w:fill="FDF9F2"/>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3140" w:type="dxa"/>
            <w:vAlign w:val="bottom"/>
            <w:shd w:val="clear" w:color="auto" w:fill="FDF9F2"/>
          </w:tcPr>
          <w:p>
            <w:pPr>
              <w:spacing w:after="0"/>
              <w:rPr>
                <w:sz w:val="8"/>
                <w:szCs w:val="8"/>
                <w:color w:val="auto"/>
              </w:rPr>
            </w:pPr>
          </w:p>
        </w:tc>
        <w:tc>
          <w:tcPr>
            <w:tcW w:w="2560" w:type="dxa"/>
            <w:vAlign w:val="bottom"/>
            <w:shd w:val="clear" w:color="auto" w:fill="FDF9F2"/>
          </w:tcPr>
          <w:p>
            <w:pPr>
              <w:spacing w:after="0"/>
              <w:rPr>
                <w:sz w:val="8"/>
                <w:szCs w:val="8"/>
                <w:color w:val="auto"/>
              </w:rPr>
            </w:pPr>
          </w:p>
        </w:tc>
        <w:tc>
          <w:tcPr>
            <w:tcW w:w="2420" w:type="dxa"/>
            <w:vAlign w:val="bottom"/>
            <w:shd w:val="clear" w:color="auto" w:fill="FDF9F2"/>
          </w:tcPr>
          <w:p>
            <w:pPr>
              <w:spacing w:after="0"/>
              <w:rPr>
                <w:sz w:val="8"/>
                <w:szCs w:val="8"/>
                <w:color w:val="auto"/>
              </w:rPr>
            </w:pPr>
          </w:p>
        </w:tc>
        <w:tc>
          <w:tcPr>
            <w:tcW w:w="2500" w:type="dxa"/>
            <w:vAlign w:val="bottom"/>
            <w:shd w:val="clear" w:color="auto" w:fill="FDF9F2"/>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140" w:type="dxa"/>
            <w:vAlign w:val="bottom"/>
            <w:shd w:val="clear" w:color="auto" w:fill="DEDBD3"/>
          </w:tcPr>
          <w:p>
            <w:pPr>
              <w:ind w:left="60"/>
              <w:spacing w:after="0"/>
              <w:rPr>
                <w:sz w:val="20"/>
                <w:szCs w:val="20"/>
                <w:color w:val="auto"/>
              </w:rPr>
            </w:pPr>
            <w:r>
              <w:rPr>
                <w:rFonts w:ascii="Arial" w:cs="Arial" w:eastAsia="Arial" w:hAnsi="Arial"/>
                <w:sz w:val="14"/>
                <w:szCs w:val="14"/>
                <w:color w:val="auto"/>
              </w:rPr>
              <w:t>Bonus</w:t>
            </w:r>
          </w:p>
        </w:tc>
        <w:tc>
          <w:tcPr>
            <w:tcW w:w="256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6"/>
              </w:rPr>
              <w:t>$-</w:t>
            </w:r>
          </w:p>
        </w:tc>
        <w:tc>
          <w:tcPr>
            <w:tcW w:w="242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9"/>
              </w:rPr>
              <w:t>$7,302,860</w:t>
            </w:r>
          </w:p>
        </w:tc>
        <w:tc>
          <w:tcPr>
            <w:tcW w:w="2500" w:type="dxa"/>
            <w:vAlign w:val="bottom"/>
            <w:shd w:val="clear" w:color="auto" w:fill="DEDBD3"/>
          </w:tcPr>
          <w:p>
            <w:pPr>
              <w:jc w:val="center"/>
              <w:ind w:right="37"/>
              <w:spacing w:after="0"/>
              <w:rPr>
                <w:sz w:val="20"/>
                <w:szCs w:val="20"/>
                <w:color w:val="auto"/>
              </w:rPr>
            </w:pPr>
            <w:r>
              <w:rPr>
                <w:rFonts w:ascii="Arial" w:cs="Arial" w:eastAsia="Arial" w:hAnsi="Arial"/>
                <w:sz w:val="14"/>
                <w:szCs w:val="14"/>
                <w:color w:val="auto"/>
                <w:w w:val="96"/>
              </w:rPr>
              <w:t>$7,302,860</w:t>
            </w:r>
          </w:p>
        </w:tc>
        <w:tc>
          <w:tcPr>
            <w:tcW w:w="0" w:type="dxa"/>
            <w:vAlign w:val="bottom"/>
          </w:tcPr>
          <w:p>
            <w:pPr>
              <w:spacing w:after="0"/>
              <w:rPr>
                <w:sz w:val="1"/>
                <w:szCs w:val="1"/>
                <w:color w:val="auto"/>
              </w:rPr>
            </w:pPr>
          </w:p>
        </w:tc>
      </w:tr>
      <w:tr>
        <w:trPr>
          <w:trHeight w:val="103"/>
        </w:trPr>
        <w:tc>
          <w:tcPr>
            <w:tcW w:w="3140" w:type="dxa"/>
            <w:vAlign w:val="bottom"/>
            <w:shd w:val="clear" w:color="auto" w:fill="DEDBD3"/>
          </w:tcPr>
          <w:p>
            <w:pPr>
              <w:spacing w:after="0"/>
              <w:rPr>
                <w:sz w:val="8"/>
                <w:szCs w:val="8"/>
                <w:color w:val="auto"/>
              </w:rPr>
            </w:pPr>
          </w:p>
        </w:tc>
        <w:tc>
          <w:tcPr>
            <w:tcW w:w="2560" w:type="dxa"/>
            <w:vAlign w:val="bottom"/>
            <w:shd w:val="clear" w:color="auto" w:fill="DEDBD3"/>
          </w:tcPr>
          <w:p>
            <w:pPr>
              <w:spacing w:after="0"/>
              <w:rPr>
                <w:sz w:val="8"/>
                <w:szCs w:val="8"/>
                <w:color w:val="auto"/>
              </w:rPr>
            </w:pPr>
          </w:p>
        </w:tc>
        <w:tc>
          <w:tcPr>
            <w:tcW w:w="2420" w:type="dxa"/>
            <w:vAlign w:val="bottom"/>
            <w:shd w:val="clear" w:color="auto" w:fill="DEDBD3"/>
          </w:tcPr>
          <w:p>
            <w:pPr>
              <w:spacing w:after="0"/>
              <w:rPr>
                <w:sz w:val="8"/>
                <w:szCs w:val="8"/>
                <w:color w:val="auto"/>
              </w:rPr>
            </w:pPr>
          </w:p>
        </w:tc>
        <w:tc>
          <w:tcPr>
            <w:tcW w:w="2500" w:type="dxa"/>
            <w:vAlign w:val="bottom"/>
            <w:shd w:val="clear" w:color="auto" w:fill="DEDBD3"/>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140" w:type="dxa"/>
            <w:vAlign w:val="bottom"/>
            <w:shd w:val="clear" w:color="auto" w:fill="FDF9F2"/>
          </w:tcPr>
          <w:p>
            <w:pPr>
              <w:ind w:left="60"/>
              <w:spacing w:after="0"/>
              <w:rPr>
                <w:sz w:val="20"/>
                <w:szCs w:val="20"/>
                <w:color w:val="auto"/>
              </w:rPr>
            </w:pPr>
            <w:r>
              <w:rPr>
                <w:rFonts w:ascii="Arial" w:cs="Arial" w:eastAsia="Arial" w:hAnsi="Arial"/>
                <w:sz w:val="14"/>
                <w:szCs w:val="14"/>
                <w:color w:val="auto"/>
              </w:rPr>
              <w:t>Stock Options/Restricted Stock (1)(2)</w:t>
            </w:r>
          </w:p>
        </w:tc>
        <w:tc>
          <w:tcPr>
            <w:tcW w:w="256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7"/>
              </w:rPr>
              <w:t>$12,080,523</w:t>
            </w:r>
          </w:p>
        </w:tc>
        <w:tc>
          <w:tcPr>
            <w:tcW w:w="242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$4,048,360</w:t>
            </w:r>
          </w:p>
        </w:tc>
        <w:tc>
          <w:tcPr>
            <w:tcW w:w="2500" w:type="dxa"/>
            <w:vAlign w:val="bottom"/>
            <w:shd w:val="clear" w:color="auto" w:fill="FDF9F2"/>
          </w:tcPr>
          <w:p>
            <w:pPr>
              <w:jc w:val="center"/>
              <w:ind w:right="37"/>
              <w:spacing w:after="0"/>
              <w:rPr>
                <w:sz w:val="20"/>
                <w:szCs w:val="20"/>
                <w:color w:val="auto"/>
              </w:rPr>
            </w:pPr>
            <w:r>
              <w:rPr>
                <w:rFonts w:ascii="Arial" w:cs="Arial" w:eastAsia="Arial" w:hAnsi="Arial"/>
                <w:sz w:val="14"/>
                <w:szCs w:val="14"/>
                <w:color w:val="auto"/>
                <w:w w:val="97"/>
              </w:rPr>
              <w:t>$12,080,523</w:t>
            </w:r>
          </w:p>
        </w:tc>
        <w:tc>
          <w:tcPr>
            <w:tcW w:w="0" w:type="dxa"/>
            <w:vAlign w:val="bottom"/>
          </w:tcPr>
          <w:p>
            <w:pPr>
              <w:spacing w:after="0"/>
              <w:rPr>
                <w:sz w:val="1"/>
                <w:szCs w:val="1"/>
                <w:color w:val="auto"/>
              </w:rPr>
            </w:pPr>
          </w:p>
        </w:tc>
      </w:tr>
      <w:tr>
        <w:trPr>
          <w:trHeight w:val="103"/>
        </w:trPr>
        <w:tc>
          <w:tcPr>
            <w:tcW w:w="3140" w:type="dxa"/>
            <w:vAlign w:val="bottom"/>
            <w:shd w:val="clear" w:color="auto" w:fill="FDF9F2"/>
          </w:tcPr>
          <w:p>
            <w:pPr>
              <w:spacing w:after="0"/>
              <w:rPr>
                <w:sz w:val="8"/>
                <w:szCs w:val="8"/>
                <w:color w:val="auto"/>
              </w:rPr>
            </w:pPr>
          </w:p>
        </w:tc>
        <w:tc>
          <w:tcPr>
            <w:tcW w:w="2560" w:type="dxa"/>
            <w:vAlign w:val="bottom"/>
            <w:shd w:val="clear" w:color="auto" w:fill="FDF9F2"/>
          </w:tcPr>
          <w:p>
            <w:pPr>
              <w:spacing w:after="0"/>
              <w:rPr>
                <w:sz w:val="8"/>
                <w:szCs w:val="8"/>
                <w:color w:val="auto"/>
              </w:rPr>
            </w:pPr>
          </w:p>
        </w:tc>
        <w:tc>
          <w:tcPr>
            <w:tcW w:w="2420" w:type="dxa"/>
            <w:vAlign w:val="bottom"/>
            <w:shd w:val="clear" w:color="auto" w:fill="FDF9F2"/>
          </w:tcPr>
          <w:p>
            <w:pPr>
              <w:spacing w:after="0"/>
              <w:rPr>
                <w:sz w:val="8"/>
                <w:szCs w:val="8"/>
                <w:color w:val="auto"/>
              </w:rPr>
            </w:pPr>
          </w:p>
        </w:tc>
        <w:tc>
          <w:tcPr>
            <w:tcW w:w="2500" w:type="dxa"/>
            <w:vAlign w:val="bottom"/>
            <w:shd w:val="clear" w:color="auto" w:fill="FDF9F2"/>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140" w:type="dxa"/>
            <w:vAlign w:val="bottom"/>
            <w:shd w:val="clear" w:color="auto" w:fill="DEDBD3"/>
          </w:tcPr>
          <w:p>
            <w:pPr>
              <w:ind w:left="220"/>
              <w:spacing w:after="0"/>
              <w:rPr>
                <w:sz w:val="20"/>
                <w:szCs w:val="20"/>
                <w:color w:val="auto"/>
              </w:rPr>
            </w:pPr>
            <w:r>
              <w:rPr>
                <w:rFonts w:ascii="Arial" w:cs="Arial" w:eastAsia="Arial" w:hAnsi="Arial"/>
                <w:sz w:val="14"/>
                <w:szCs w:val="14"/>
                <w:color w:val="auto"/>
              </w:rPr>
              <w:t>Company Paid Life Insurance</w:t>
            </w:r>
          </w:p>
        </w:tc>
        <w:tc>
          <w:tcPr>
            <w:tcW w:w="256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6"/>
              </w:rPr>
              <w:t>$1,800,000</w:t>
            </w:r>
          </w:p>
        </w:tc>
        <w:tc>
          <w:tcPr>
            <w:tcW w:w="2420" w:type="dxa"/>
            <w:vAlign w:val="bottom"/>
            <w:shd w:val="clear" w:color="auto" w:fill="DEDBD3"/>
          </w:tcPr>
          <w:p>
            <w:pPr>
              <w:jc w:val="center"/>
              <w:spacing w:after="0"/>
              <w:rPr>
                <w:sz w:val="20"/>
                <w:szCs w:val="20"/>
                <w:color w:val="auto"/>
              </w:rPr>
            </w:pPr>
            <w:r>
              <w:rPr>
                <w:rFonts w:ascii="Arial" w:cs="Arial" w:eastAsia="Arial" w:hAnsi="Arial"/>
                <w:sz w:val="14"/>
                <w:szCs w:val="14"/>
                <w:color w:val="auto"/>
              </w:rPr>
              <w:t>$-</w:t>
            </w:r>
          </w:p>
        </w:tc>
        <w:tc>
          <w:tcPr>
            <w:tcW w:w="2500" w:type="dxa"/>
            <w:vAlign w:val="bottom"/>
            <w:shd w:val="clear" w:color="auto" w:fill="DEDBD3"/>
          </w:tcPr>
          <w:p>
            <w:pPr>
              <w:jc w:val="center"/>
              <w:ind w:right="37"/>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03"/>
        </w:trPr>
        <w:tc>
          <w:tcPr>
            <w:tcW w:w="3140" w:type="dxa"/>
            <w:vAlign w:val="bottom"/>
            <w:shd w:val="clear" w:color="auto" w:fill="DEDBD3"/>
          </w:tcPr>
          <w:p>
            <w:pPr>
              <w:spacing w:after="0"/>
              <w:rPr>
                <w:sz w:val="8"/>
                <w:szCs w:val="8"/>
                <w:color w:val="auto"/>
              </w:rPr>
            </w:pPr>
          </w:p>
        </w:tc>
        <w:tc>
          <w:tcPr>
            <w:tcW w:w="2560" w:type="dxa"/>
            <w:vAlign w:val="bottom"/>
            <w:shd w:val="clear" w:color="auto" w:fill="DEDBD3"/>
          </w:tcPr>
          <w:p>
            <w:pPr>
              <w:spacing w:after="0"/>
              <w:rPr>
                <w:sz w:val="8"/>
                <w:szCs w:val="8"/>
                <w:color w:val="auto"/>
              </w:rPr>
            </w:pPr>
          </w:p>
        </w:tc>
        <w:tc>
          <w:tcPr>
            <w:tcW w:w="2420" w:type="dxa"/>
            <w:vAlign w:val="bottom"/>
            <w:shd w:val="clear" w:color="auto" w:fill="DEDBD3"/>
          </w:tcPr>
          <w:p>
            <w:pPr>
              <w:spacing w:after="0"/>
              <w:rPr>
                <w:sz w:val="8"/>
                <w:szCs w:val="8"/>
                <w:color w:val="auto"/>
              </w:rPr>
            </w:pPr>
          </w:p>
        </w:tc>
        <w:tc>
          <w:tcPr>
            <w:tcW w:w="2500" w:type="dxa"/>
            <w:vAlign w:val="bottom"/>
            <w:shd w:val="clear" w:color="auto" w:fill="DEDBD3"/>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140" w:type="dxa"/>
            <w:vAlign w:val="bottom"/>
            <w:shd w:val="clear" w:color="auto" w:fill="FDF9F2"/>
          </w:tcPr>
          <w:p>
            <w:pPr>
              <w:ind w:left="60"/>
              <w:spacing w:after="0"/>
              <w:rPr>
                <w:sz w:val="20"/>
                <w:szCs w:val="20"/>
                <w:color w:val="auto"/>
              </w:rPr>
            </w:pPr>
            <w:r>
              <w:rPr>
                <w:rFonts w:ascii="Arial" w:cs="Arial" w:eastAsia="Arial" w:hAnsi="Arial"/>
                <w:sz w:val="14"/>
                <w:szCs w:val="14"/>
                <w:color w:val="auto"/>
              </w:rPr>
              <w:t>Benefits (3)</w:t>
            </w:r>
          </w:p>
        </w:tc>
        <w:tc>
          <w:tcPr>
            <w:tcW w:w="256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6"/>
              </w:rPr>
              <w:t>$-</w:t>
            </w:r>
          </w:p>
        </w:tc>
        <w:tc>
          <w:tcPr>
            <w:tcW w:w="242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8"/>
              </w:rPr>
              <w:t>$47,426</w:t>
            </w:r>
          </w:p>
        </w:tc>
        <w:tc>
          <w:tcPr>
            <w:tcW w:w="2500" w:type="dxa"/>
            <w:vAlign w:val="bottom"/>
            <w:shd w:val="clear" w:color="auto" w:fill="FDF9F2"/>
          </w:tcPr>
          <w:p>
            <w:pPr>
              <w:jc w:val="center"/>
              <w:ind w:right="17"/>
              <w:spacing w:after="0"/>
              <w:rPr>
                <w:sz w:val="20"/>
                <w:szCs w:val="20"/>
                <w:color w:val="auto"/>
              </w:rPr>
            </w:pPr>
            <w:r>
              <w:rPr>
                <w:rFonts w:ascii="Arial" w:cs="Arial" w:eastAsia="Arial" w:hAnsi="Arial"/>
                <w:sz w:val="14"/>
                <w:szCs w:val="14"/>
                <w:color w:val="auto"/>
                <w:w w:val="98"/>
              </w:rPr>
              <w:t>$47,426</w:t>
            </w:r>
          </w:p>
        </w:tc>
        <w:tc>
          <w:tcPr>
            <w:tcW w:w="0" w:type="dxa"/>
            <w:vAlign w:val="bottom"/>
          </w:tcPr>
          <w:p>
            <w:pPr>
              <w:spacing w:after="0"/>
              <w:rPr>
                <w:sz w:val="1"/>
                <w:szCs w:val="1"/>
                <w:color w:val="auto"/>
              </w:rPr>
            </w:pPr>
          </w:p>
        </w:tc>
      </w:tr>
      <w:tr>
        <w:trPr>
          <w:trHeight w:val="103"/>
        </w:trPr>
        <w:tc>
          <w:tcPr>
            <w:tcW w:w="3140" w:type="dxa"/>
            <w:vAlign w:val="bottom"/>
            <w:shd w:val="clear" w:color="auto" w:fill="FDF9F2"/>
          </w:tcPr>
          <w:p>
            <w:pPr>
              <w:spacing w:after="0"/>
              <w:rPr>
                <w:sz w:val="8"/>
                <w:szCs w:val="8"/>
                <w:color w:val="auto"/>
              </w:rPr>
            </w:pPr>
          </w:p>
        </w:tc>
        <w:tc>
          <w:tcPr>
            <w:tcW w:w="2560" w:type="dxa"/>
            <w:vAlign w:val="bottom"/>
            <w:shd w:val="clear" w:color="auto" w:fill="FDF9F2"/>
          </w:tcPr>
          <w:p>
            <w:pPr>
              <w:spacing w:after="0"/>
              <w:rPr>
                <w:sz w:val="8"/>
                <w:szCs w:val="8"/>
                <w:color w:val="auto"/>
              </w:rPr>
            </w:pPr>
          </w:p>
        </w:tc>
        <w:tc>
          <w:tcPr>
            <w:tcW w:w="2420" w:type="dxa"/>
            <w:vAlign w:val="bottom"/>
            <w:shd w:val="clear" w:color="auto" w:fill="FDF9F2"/>
          </w:tcPr>
          <w:p>
            <w:pPr>
              <w:spacing w:after="0"/>
              <w:rPr>
                <w:sz w:val="8"/>
                <w:szCs w:val="8"/>
                <w:color w:val="auto"/>
              </w:rPr>
            </w:pPr>
          </w:p>
        </w:tc>
        <w:tc>
          <w:tcPr>
            <w:tcW w:w="2500" w:type="dxa"/>
            <w:vAlign w:val="bottom"/>
            <w:shd w:val="clear" w:color="auto" w:fill="FDF9F2"/>
          </w:tcPr>
          <w:p>
            <w:pPr>
              <w:spacing w:after="0"/>
              <w:rPr>
                <w:sz w:val="8"/>
                <w:szCs w:val="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20" w:right="20" w:hanging="4"/>
        <w:spacing w:after="0" w:line="235" w:lineRule="auto"/>
        <w:tabs>
          <w:tab w:leader="none" w:pos="502" w:val="left"/>
        </w:tabs>
        <w:numPr>
          <w:ilvl w:val="0"/>
          <w:numId w:val="45"/>
        </w:numPr>
        <w:rPr>
          <w:rFonts w:ascii="Arial" w:cs="Arial" w:eastAsia="Arial" w:hAnsi="Arial"/>
          <w:sz w:val="12"/>
          <w:szCs w:val="12"/>
          <w:color w:val="auto"/>
        </w:rPr>
      </w:pPr>
      <w:r>
        <w:rPr>
          <w:rFonts w:ascii="Arial" w:cs="Arial" w:eastAsia="Arial" w:hAnsi="Arial"/>
          <w:sz w:val="12"/>
          <w:szCs w:val="12"/>
          <w:color w:val="auto"/>
        </w:rPr>
        <w:t>Upon a termination due to death, complete disability or by the NEO for good reason after a change in control, 139,726 shares of restricted stock would vest in full immediately. Using the closing stock price on December 31, 2022, the value of such 139,726 shares would have been $11,523,204 plus accrued dividends of $42,332. At December 31, 2022, 21,803 options are exercisable and in the money. The intrinsic value of such options would have been $514,987 on December 31, 2022.</w:t>
      </w:r>
    </w:p>
    <w:p>
      <w:pPr>
        <w:spacing w:after="0" w:line="154" w:lineRule="exact"/>
        <w:rPr>
          <w:rFonts w:ascii="Arial" w:cs="Arial" w:eastAsia="Arial" w:hAnsi="Arial"/>
          <w:sz w:val="12"/>
          <w:szCs w:val="12"/>
          <w:color w:val="auto"/>
        </w:rPr>
      </w:pPr>
    </w:p>
    <w:p>
      <w:pPr>
        <w:ind w:left="320" w:right="20" w:hanging="4"/>
        <w:spacing w:after="0" w:line="235" w:lineRule="auto"/>
        <w:tabs>
          <w:tab w:leader="none" w:pos="502" w:val="left"/>
        </w:tabs>
        <w:numPr>
          <w:ilvl w:val="0"/>
          <w:numId w:val="45"/>
        </w:numPr>
        <w:rPr>
          <w:rFonts w:ascii="Arial" w:cs="Arial" w:eastAsia="Arial" w:hAnsi="Arial"/>
          <w:sz w:val="12"/>
          <w:szCs w:val="12"/>
          <w:color w:val="auto"/>
        </w:rPr>
      </w:pPr>
      <w:r>
        <w:rPr>
          <w:rFonts w:ascii="Arial" w:cs="Arial" w:eastAsia="Arial" w:hAnsi="Arial"/>
          <w:sz w:val="12"/>
          <w:szCs w:val="12"/>
          <w:color w:val="auto"/>
        </w:rPr>
        <w:t>Upon a termination by the Company without cause or by the NEO upon the Company’s material breach, 42,409 shares of restricted stock would vest on a prorated basis based on the number of months since the grant date. Using the closing stock price on December 31, 2022, the value of such 42,409 shares would have been $3,497,471 plus accrued dividends of $35,902. At December 31, 2022, 21,803 options are exercisable and in the money. The intrinsic value of such options would have been $514,987 on December 31, 2022.</w:t>
      </w:r>
    </w:p>
    <w:p>
      <w:pPr>
        <w:spacing w:after="0" w:line="154" w:lineRule="exact"/>
        <w:rPr>
          <w:rFonts w:ascii="Arial" w:cs="Arial" w:eastAsia="Arial" w:hAnsi="Arial"/>
          <w:sz w:val="12"/>
          <w:szCs w:val="12"/>
          <w:color w:val="auto"/>
        </w:rPr>
      </w:pPr>
    </w:p>
    <w:p>
      <w:pPr>
        <w:ind w:left="500" w:hanging="184"/>
        <w:spacing w:after="0"/>
        <w:tabs>
          <w:tab w:leader="none" w:pos="50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Continued health benefits for remainder of the term but not less than 18 months and for a period of twelve months thereafter.</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94500"/>
        </w:rPr>
        <w:t>JULIE M.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136525</wp:posOffset>
            </wp:positionV>
            <wp:extent cx="6748780" cy="1792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48780" cy="1792605"/>
                    </a:xfrm>
                    <a:prstGeom prst="rect">
                      <a:avLst/>
                    </a:prstGeom>
                    <a:noFill/>
                  </pic:spPr>
                </pic:pic>
              </a:graphicData>
            </a:graphic>
          </wp:anchor>
        </w:drawing>
      </w:r>
    </w:p>
    <w:p>
      <w:pPr>
        <w:spacing w:after="0" w:line="195"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3220" w:type="dxa"/>
            <w:vAlign w:val="bottom"/>
            <w:shd w:val="clear" w:color="auto" w:fill="DEDBD3"/>
          </w:tcPr>
          <w:p>
            <w:pPr>
              <w:spacing w:after="0"/>
              <w:rPr>
                <w:sz w:val="16"/>
                <w:szCs w:val="16"/>
                <w:color w:val="auto"/>
              </w:rPr>
            </w:pPr>
          </w:p>
        </w:tc>
        <w:tc>
          <w:tcPr>
            <w:tcW w:w="2500" w:type="dxa"/>
            <w:vAlign w:val="bottom"/>
            <w:shd w:val="clear" w:color="auto" w:fill="DEDBD3"/>
          </w:tcPr>
          <w:p>
            <w:pPr>
              <w:jc w:val="center"/>
              <w:spacing w:after="0"/>
              <w:rPr>
                <w:sz w:val="20"/>
                <w:szCs w:val="20"/>
                <w:color w:val="auto"/>
              </w:rPr>
            </w:pPr>
            <w:r>
              <w:rPr>
                <w:rFonts w:ascii="Arial" w:cs="Arial" w:eastAsia="Arial" w:hAnsi="Arial"/>
                <w:sz w:val="10"/>
                <w:szCs w:val="10"/>
                <w:b w:val="1"/>
                <w:bCs w:val="1"/>
                <w:color w:val="auto"/>
              </w:rPr>
              <w:t>TERMINATION UPON</w:t>
            </w:r>
          </w:p>
        </w:tc>
        <w:tc>
          <w:tcPr>
            <w:tcW w:w="2380" w:type="dxa"/>
            <w:vAlign w:val="bottom"/>
            <w:shd w:val="clear" w:color="auto" w:fill="DEDBD3"/>
          </w:tcPr>
          <w:p>
            <w:pPr>
              <w:jc w:val="center"/>
              <w:ind w:left="17"/>
              <w:spacing w:after="0"/>
              <w:rPr>
                <w:sz w:val="20"/>
                <w:szCs w:val="20"/>
                <w:color w:val="auto"/>
              </w:rPr>
            </w:pPr>
            <w:r>
              <w:rPr>
                <w:rFonts w:ascii="Arial" w:cs="Arial" w:eastAsia="Arial" w:hAnsi="Arial"/>
                <w:sz w:val="10"/>
                <w:szCs w:val="10"/>
                <w:b w:val="1"/>
                <w:bCs w:val="1"/>
                <w:color w:val="auto"/>
              </w:rPr>
              <w:t>TERMINATION WITHOUT</w:t>
            </w:r>
          </w:p>
        </w:tc>
        <w:tc>
          <w:tcPr>
            <w:tcW w:w="2520" w:type="dxa"/>
            <w:vAlign w:val="bottom"/>
            <w:shd w:val="clear" w:color="auto" w:fill="DEDBD3"/>
          </w:tcPr>
          <w:p>
            <w:pPr>
              <w:jc w:val="center"/>
              <w:spacing w:after="0"/>
              <w:rPr>
                <w:sz w:val="20"/>
                <w:szCs w:val="20"/>
                <w:color w:val="auto"/>
              </w:rPr>
            </w:pPr>
            <w:r>
              <w:rPr>
                <w:rFonts w:ascii="Arial" w:cs="Arial" w:eastAsia="Arial" w:hAnsi="Arial"/>
                <w:sz w:val="10"/>
                <w:szCs w:val="10"/>
                <w:b w:val="1"/>
                <w:bCs w:val="1"/>
                <w:color w:val="auto"/>
              </w:rPr>
              <w:t>TERMINATION BY EMPLOYEE</w:t>
            </w:r>
          </w:p>
        </w:tc>
        <w:tc>
          <w:tcPr>
            <w:tcW w:w="0" w:type="dxa"/>
            <w:vAlign w:val="bottom"/>
          </w:tcPr>
          <w:p>
            <w:pPr>
              <w:spacing w:after="0"/>
              <w:rPr>
                <w:sz w:val="1"/>
                <w:szCs w:val="1"/>
                <w:color w:val="auto"/>
              </w:rPr>
            </w:pPr>
          </w:p>
        </w:tc>
      </w:tr>
      <w:tr>
        <w:trPr>
          <w:trHeight w:val="117"/>
        </w:trPr>
        <w:tc>
          <w:tcPr>
            <w:tcW w:w="3220" w:type="dxa"/>
            <w:vAlign w:val="bottom"/>
            <w:shd w:val="clear" w:color="auto" w:fill="DEDBD3"/>
          </w:tcPr>
          <w:p>
            <w:pPr>
              <w:spacing w:after="0"/>
              <w:rPr>
                <w:sz w:val="10"/>
                <w:szCs w:val="10"/>
                <w:color w:val="auto"/>
              </w:rPr>
            </w:pPr>
          </w:p>
        </w:tc>
        <w:tc>
          <w:tcPr>
            <w:tcW w:w="2500" w:type="dxa"/>
            <w:vAlign w:val="bottom"/>
            <w:shd w:val="clear" w:color="auto" w:fill="DEDBD3"/>
          </w:tcPr>
          <w:p>
            <w:pPr>
              <w:jc w:val="center"/>
              <w:spacing w:after="0"/>
              <w:rPr>
                <w:sz w:val="20"/>
                <w:szCs w:val="20"/>
                <w:color w:val="auto"/>
              </w:rPr>
            </w:pPr>
            <w:r>
              <w:rPr>
                <w:rFonts w:ascii="Arial" w:cs="Arial" w:eastAsia="Arial" w:hAnsi="Arial"/>
                <w:sz w:val="10"/>
                <w:szCs w:val="10"/>
                <w:b w:val="1"/>
                <w:bCs w:val="1"/>
                <w:color w:val="auto"/>
              </w:rPr>
              <w:t>DEATH OR COMPLETE</w:t>
            </w:r>
          </w:p>
        </w:tc>
        <w:tc>
          <w:tcPr>
            <w:tcW w:w="2380" w:type="dxa"/>
            <w:vAlign w:val="bottom"/>
            <w:shd w:val="clear" w:color="auto" w:fill="DEDBD3"/>
          </w:tcPr>
          <w:p>
            <w:pPr>
              <w:jc w:val="center"/>
              <w:ind w:left="37"/>
              <w:spacing w:after="0"/>
              <w:rPr>
                <w:sz w:val="20"/>
                <w:szCs w:val="20"/>
                <w:color w:val="auto"/>
              </w:rPr>
            </w:pPr>
            <w:r>
              <w:rPr>
                <w:rFonts w:ascii="Arial" w:cs="Arial" w:eastAsia="Arial" w:hAnsi="Arial"/>
                <w:sz w:val="10"/>
                <w:szCs w:val="10"/>
                <w:b w:val="1"/>
                <w:bCs w:val="1"/>
                <w:color w:val="auto"/>
              </w:rPr>
              <w:t>CAUSE OR UPON</w:t>
            </w:r>
          </w:p>
        </w:tc>
        <w:tc>
          <w:tcPr>
            <w:tcW w:w="2520" w:type="dxa"/>
            <w:vAlign w:val="bottom"/>
            <w:shd w:val="clear" w:color="auto" w:fill="DEDBD3"/>
          </w:tcPr>
          <w:p>
            <w:pPr>
              <w:jc w:val="center"/>
              <w:spacing w:after="0"/>
              <w:rPr>
                <w:sz w:val="20"/>
                <w:szCs w:val="20"/>
                <w:color w:val="auto"/>
              </w:rPr>
            </w:pPr>
            <w:r>
              <w:rPr>
                <w:rFonts w:ascii="Arial" w:cs="Arial" w:eastAsia="Arial" w:hAnsi="Arial"/>
                <w:sz w:val="10"/>
                <w:szCs w:val="10"/>
                <w:b w:val="1"/>
                <w:bCs w:val="1"/>
                <w:color w:val="auto"/>
              </w:rPr>
              <w:t>FOR GOOD REASON AFTER</w:t>
            </w:r>
          </w:p>
        </w:tc>
        <w:tc>
          <w:tcPr>
            <w:tcW w:w="0" w:type="dxa"/>
            <w:vAlign w:val="bottom"/>
          </w:tcPr>
          <w:p>
            <w:pPr>
              <w:spacing w:after="0"/>
              <w:rPr>
                <w:sz w:val="1"/>
                <w:szCs w:val="1"/>
                <w:color w:val="auto"/>
              </w:rPr>
            </w:pPr>
          </w:p>
        </w:tc>
      </w:tr>
      <w:tr>
        <w:trPr>
          <w:trHeight w:val="151"/>
        </w:trPr>
        <w:tc>
          <w:tcPr>
            <w:tcW w:w="3220" w:type="dxa"/>
            <w:vAlign w:val="bottom"/>
            <w:tcBorders>
              <w:bottom w:val="single" w:sz="8" w:color="DEDBD3"/>
            </w:tcBorders>
            <w:shd w:val="clear" w:color="auto" w:fill="DEDBD3"/>
          </w:tcPr>
          <w:p>
            <w:pPr>
              <w:spacing w:after="0"/>
              <w:rPr>
                <w:sz w:val="13"/>
                <w:szCs w:val="13"/>
                <w:color w:val="auto"/>
              </w:rPr>
            </w:pPr>
          </w:p>
        </w:tc>
        <w:tc>
          <w:tcPr>
            <w:tcW w:w="2500" w:type="dxa"/>
            <w:vAlign w:val="bottom"/>
            <w:tcBorders>
              <w:bottom w:val="single" w:sz="8" w:color="DEDBD3"/>
            </w:tcBorders>
            <w:shd w:val="clear" w:color="auto" w:fill="DEDBD3"/>
          </w:tcPr>
          <w:p>
            <w:pPr>
              <w:jc w:val="center"/>
              <w:spacing w:after="0"/>
              <w:rPr>
                <w:sz w:val="20"/>
                <w:szCs w:val="20"/>
                <w:color w:val="auto"/>
              </w:rPr>
            </w:pPr>
            <w:r>
              <w:rPr>
                <w:rFonts w:ascii="Arial" w:cs="Arial" w:eastAsia="Arial" w:hAnsi="Arial"/>
                <w:sz w:val="10"/>
                <w:szCs w:val="10"/>
                <w:b w:val="1"/>
                <w:bCs w:val="1"/>
                <w:color w:val="auto"/>
              </w:rPr>
              <w:t>DISABILITY</w:t>
            </w:r>
          </w:p>
        </w:tc>
        <w:tc>
          <w:tcPr>
            <w:tcW w:w="2380" w:type="dxa"/>
            <w:vAlign w:val="bottom"/>
            <w:tcBorders>
              <w:bottom w:val="single" w:sz="8" w:color="DEDBD3"/>
            </w:tcBorders>
            <w:shd w:val="clear" w:color="auto" w:fill="DEDBD3"/>
          </w:tcPr>
          <w:p>
            <w:pPr>
              <w:jc w:val="center"/>
              <w:ind w:left="37"/>
              <w:spacing w:after="0"/>
              <w:rPr>
                <w:sz w:val="20"/>
                <w:szCs w:val="20"/>
                <w:color w:val="auto"/>
              </w:rPr>
            </w:pPr>
            <w:r>
              <w:rPr>
                <w:rFonts w:ascii="Arial" w:cs="Arial" w:eastAsia="Arial" w:hAnsi="Arial"/>
                <w:sz w:val="10"/>
                <w:szCs w:val="10"/>
                <w:b w:val="1"/>
                <w:bCs w:val="1"/>
                <w:color w:val="auto"/>
              </w:rPr>
              <w:t>MATERIAL BREACH</w:t>
            </w:r>
          </w:p>
        </w:tc>
        <w:tc>
          <w:tcPr>
            <w:tcW w:w="2520" w:type="dxa"/>
            <w:vAlign w:val="bottom"/>
            <w:tcBorders>
              <w:bottom w:val="single" w:sz="8" w:color="DEDBD3"/>
            </w:tcBorders>
            <w:shd w:val="clear" w:color="auto" w:fill="DEDBD3"/>
          </w:tcPr>
          <w:p>
            <w:pPr>
              <w:jc w:val="center"/>
              <w:spacing w:after="0"/>
              <w:rPr>
                <w:sz w:val="20"/>
                <w:szCs w:val="20"/>
                <w:color w:val="auto"/>
              </w:rPr>
            </w:pPr>
            <w:r>
              <w:rPr>
                <w:rFonts w:ascii="Arial" w:cs="Arial" w:eastAsia="Arial" w:hAnsi="Arial"/>
                <w:sz w:val="10"/>
                <w:szCs w:val="10"/>
                <w:b w:val="1"/>
                <w:bCs w:val="1"/>
                <w:color w:val="auto"/>
              </w:rPr>
              <w:t>CHANGE IN CONTROL</w:t>
            </w:r>
          </w:p>
        </w:tc>
        <w:tc>
          <w:tcPr>
            <w:tcW w:w="0" w:type="dxa"/>
            <w:vAlign w:val="bottom"/>
          </w:tcPr>
          <w:p>
            <w:pPr>
              <w:spacing w:after="0"/>
              <w:rPr>
                <w:sz w:val="1"/>
                <w:szCs w:val="1"/>
                <w:color w:val="auto"/>
              </w:rPr>
            </w:pPr>
          </w:p>
        </w:tc>
      </w:tr>
      <w:tr>
        <w:trPr>
          <w:trHeight w:val="291"/>
        </w:trPr>
        <w:tc>
          <w:tcPr>
            <w:tcW w:w="3220" w:type="dxa"/>
            <w:vAlign w:val="bottom"/>
            <w:shd w:val="clear" w:color="auto" w:fill="FDF9F2"/>
          </w:tcPr>
          <w:p>
            <w:pPr>
              <w:spacing w:after="0"/>
              <w:rPr>
                <w:sz w:val="24"/>
                <w:szCs w:val="24"/>
                <w:color w:val="auto"/>
              </w:rPr>
            </w:pPr>
          </w:p>
        </w:tc>
        <w:tc>
          <w:tcPr>
            <w:tcW w:w="2500" w:type="dxa"/>
            <w:vAlign w:val="bottom"/>
            <w:shd w:val="clear" w:color="auto" w:fill="FDF9F2"/>
          </w:tcPr>
          <w:p>
            <w:pPr>
              <w:jc w:val="right"/>
              <w:ind w:right="556"/>
              <w:spacing w:after="0"/>
              <w:rPr>
                <w:sz w:val="20"/>
                <w:szCs w:val="20"/>
                <w:color w:val="auto"/>
              </w:rPr>
            </w:pPr>
            <w:r>
              <w:rPr>
                <w:rFonts w:ascii="Arial" w:cs="Arial" w:eastAsia="Arial" w:hAnsi="Arial"/>
                <w:sz w:val="14"/>
                <w:szCs w:val="14"/>
                <w:color w:val="auto"/>
              </w:rPr>
              <w:t>Amounts earned and</w:t>
            </w:r>
          </w:p>
        </w:tc>
        <w:tc>
          <w:tcPr>
            <w:tcW w:w="2380" w:type="dxa"/>
            <w:vAlign w:val="bottom"/>
            <w:vMerge w:val="restart"/>
            <w:shd w:val="clear" w:color="auto" w:fill="FDF9F2"/>
          </w:tcPr>
          <w:p>
            <w:pPr>
              <w:jc w:val="center"/>
              <w:ind w:right="17"/>
              <w:spacing w:after="0"/>
              <w:rPr>
                <w:sz w:val="20"/>
                <w:szCs w:val="20"/>
                <w:color w:val="auto"/>
              </w:rPr>
            </w:pPr>
            <w:r>
              <w:rPr>
                <w:rFonts w:ascii="Arial" w:cs="Arial" w:eastAsia="Arial" w:hAnsi="Arial"/>
                <w:sz w:val="14"/>
                <w:szCs w:val="14"/>
                <w:color w:val="auto"/>
                <w:w w:val="99"/>
              </w:rPr>
              <w:t>$2,068,767</w:t>
            </w:r>
          </w:p>
        </w:tc>
        <w:tc>
          <w:tcPr>
            <w:tcW w:w="2520" w:type="dxa"/>
            <w:vAlign w:val="bottom"/>
            <w:vMerge w:val="restart"/>
            <w:shd w:val="clear" w:color="auto" w:fill="FDF9F2"/>
          </w:tcPr>
          <w:p>
            <w:pPr>
              <w:jc w:val="center"/>
              <w:ind w:right="57"/>
              <w:spacing w:after="0"/>
              <w:rPr>
                <w:sz w:val="20"/>
                <w:szCs w:val="20"/>
                <w:color w:val="auto"/>
              </w:rPr>
            </w:pPr>
            <w:r>
              <w:rPr>
                <w:rFonts w:ascii="Arial" w:cs="Arial" w:eastAsia="Arial" w:hAnsi="Arial"/>
                <w:sz w:val="14"/>
                <w:szCs w:val="14"/>
                <w:color w:val="auto"/>
                <w:w w:val="96"/>
              </w:rPr>
              <w:t>$2,068,767</w:t>
            </w:r>
          </w:p>
        </w:tc>
        <w:tc>
          <w:tcPr>
            <w:tcW w:w="0" w:type="dxa"/>
            <w:vAlign w:val="bottom"/>
          </w:tcPr>
          <w:p>
            <w:pPr>
              <w:spacing w:after="0"/>
              <w:rPr>
                <w:sz w:val="1"/>
                <w:szCs w:val="1"/>
                <w:color w:val="auto"/>
              </w:rPr>
            </w:pPr>
          </w:p>
        </w:tc>
      </w:tr>
      <w:tr>
        <w:trPr>
          <w:trHeight w:val="113"/>
        </w:trPr>
        <w:tc>
          <w:tcPr>
            <w:tcW w:w="3220" w:type="dxa"/>
            <w:vAlign w:val="bottom"/>
            <w:vMerge w:val="restart"/>
            <w:shd w:val="clear" w:color="auto" w:fill="FDF9F2"/>
          </w:tcPr>
          <w:p>
            <w:pPr>
              <w:ind w:left="60"/>
              <w:spacing w:after="0" w:line="156" w:lineRule="exact"/>
              <w:rPr>
                <w:sz w:val="20"/>
                <w:szCs w:val="20"/>
                <w:color w:val="auto"/>
              </w:rPr>
            </w:pPr>
            <w:r>
              <w:rPr>
                <w:rFonts w:ascii="Arial" w:cs="Arial" w:eastAsia="Arial" w:hAnsi="Arial"/>
                <w:sz w:val="14"/>
                <w:szCs w:val="14"/>
                <w:color w:val="auto"/>
              </w:rPr>
              <w:t>Base Salary</w:t>
            </w:r>
          </w:p>
        </w:tc>
        <w:tc>
          <w:tcPr>
            <w:tcW w:w="2500" w:type="dxa"/>
            <w:vAlign w:val="bottom"/>
            <w:vMerge w:val="restart"/>
            <w:shd w:val="clear" w:color="auto" w:fill="FDF9F2"/>
          </w:tcPr>
          <w:p>
            <w:pPr>
              <w:jc w:val="right"/>
              <w:ind w:right="556"/>
              <w:spacing w:after="0" w:line="156" w:lineRule="exact"/>
              <w:rPr>
                <w:sz w:val="20"/>
                <w:szCs w:val="20"/>
                <w:color w:val="auto"/>
              </w:rPr>
            </w:pPr>
            <w:r>
              <w:rPr>
                <w:rFonts w:ascii="Arial" w:cs="Arial" w:eastAsia="Arial" w:hAnsi="Arial"/>
                <w:sz w:val="14"/>
                <w:szCs w:val="14"/>
                <w:color w:val="auto"/>
              </w:rPr>
              <w:t>unpaid through the</w:t>
            </w:r>
          </w:p>
        </w:tc>
        <w:tc>
          <w:tcPr>
            <w:tcW w:w="2380" w:type="dxa"/>
            <w:vAlign w:val="bottom"/>
            <w:vMerge w:val="continue"/>
            <w:shd w:val="clear" w:color="auto" w:fill="FDF9F2"/>
          </w:tcPr>
          <w:p>
            <w:pPr>
              <w:spacing w:after="0"/>
              <w:rPr>
                <w:sz w:val="9"/>
                <w:szCs w:val="9"/>
                <w:color w:val="auto"/>
              </w:rPr>
            </w:pPr>
          </w:p>
        </w:tc>
        <w:tc>
          <w:tcPr>
            <w:tcW w:w="2520" w:type="dxa"/>
            <w:vAlign w:val="bottom"/>
            <w:vMerge w:val="continue"/>
            <w:shd w:val="clear" w:color="auto" w:fill="FDF9F2"/>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3220" w:type="dxa"/>
            <w:vAlign w:val="bottom"/>
            <w:vMerge w:val="continue"/>
            <w:shd w:val="clear" w:color="auto" w:fill="FDF9F2"/>
          </w:tcPr>
          <w:p>
            <w:pPr>
              <w:spacing w:after="0"/>
              <w:rPr>
                <w:sz w:val="3"/>
                <w:szCs w:val="3"/>
                <w:color w:val="auto"/>
              </w:rPr>
            </w:pPr>
          </w:p>
        </w:tc>
        <w:tc>
          <w:tcPr>
            <w:tcW w:w="2500" w:type="dxa"/>
            <w:vAlign w:val="bottom"/>
            <w:vMerge w:val="continue"/>
            <w:shd w:val="clear" w:color="auto" w:fill="FDF9F2"/>
          </w:tcPr>
          <w:p>
            <w:pPr>
              <w:spacing w:after="0"/>
              <w:rPr>
                <w:sz w:val="3"/>
                <w:szCs w:val="3"/>
                <w:color w:val="auto"/>
              </w:rPr>
            </w:pPr>
          </w:p>
        </w:tc>
        <w:tc>
          <w:tcPr>
            <w:tcW w:w="2380" w:type="dxa"/>
            <w:vAlign w:val="bottom"/>
            <w:shd w:val="clear" w:color="auto" w:fill="FDF9F2"/>
          </w:tcPr>
          <w:p>
            <w:pPr>
              <w:spacing w:after="0"/>
              <w:rPr>
                <w:sz w:val="3"/>
                <w:szCs w:val="3"/>
                <w:color w:val="auto"/>
              </w:rPr>
            </w:pPr>
          </w:p>
        </w:tc>
        <w:tc>
          <w:tcPr>
            <w:tcW w:w="2520" w:type="dxa"/>
            <w:vAlign w:val="bottom"/>
            <w:shd w:val="clear" w:color="auto" w:fill="FDF9F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20" w:type="dxa"/>
            <w:vAlign w:val="bottom"/>
            <w:shd w:val="clear" w:color="auto" w:fill="FDF9F2"/>
          </w:tcPr>
          <w:p>
            <w:pPr>
              <w:spacing w:after="0"/>
              <w:rPr>
                <w:sz w:val="14"/>
                <w:szCs w:val="14"/>
                <w:color w:val="auto"/>
              </w:rPr>
            </w:pPr>
          </w:p>
        </w:tc>
        <w:tc>
          <w:tcPr>
            <w:tcW w:w="2500" w:type="dxa"/>
            <w:vAlign w:val="bottom"/>
            <w:shd w:val="clear" w:color="auto" w:fill="FDF9F2"/>
          </w:tcPr>
          <w:p>
            <w:pPr>
              <w:jc w:val="right"/>
              <w:ind w:right="556"/>
              <w:spacing w:after="0"/>
              <w:rPr>
                <w:sz w:val="20"/>
                <w:szCs w:val="20"/>
                <w:color w:val="auto"/>
              </w:rPr>
            </w:pPr>
            <w:r>
              <w:rPr>
                <w:rFonts w:ascii="Arial" w:cs="Arial" w:eastAsia="Arial" w:hAnsi="Arial"/>
                <w:sz w:val="14"/>
                <w:szCs w:val="14"/>
                <w:color w:val="auto"/>
              </w:rPr>
              <w:t>date of termination</w:t>
            </w:r>
          </w:p>
        </w:tc>
        <w:tc>
          <w:tcPr>
            <w:tcW w:w="2380" w:type="dxa"/>
            <w:vAlign w:val="bottom"/>
            <w:shd w:val="clear" w:color="auto" w:fill="FDF9F2"/>
          </w:tcPr>
          <w:p>
            <w:pPr>
              <w:spacing w:after="0"/>
              <w:rPr>
                <w:sz w:val="14"/>
                <w:szCs w:val="14"/>
                <w:color w:val="auto"/>
              </w:rPr>
            </w:pPr>
          </w:p>
        </w:tc>
        <w:tc>
          <w:tcPr>
            <w:tcW w:w="2520" w:type="dxa"/>
            <w:vAlign w:val="bottom"/>
            <w:shd w:val="clear" w:color="auto" w:fill="FDF9F2"/>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3220" w:type="dxa"/>
            <w:vAlign w:val="bottom"/>
            <w:shd w:val="clear" w:color="auto" w:fill="FDF9F2"/>
          </w:tcPr>
          <w:p>
            <w:pPr>
              <w:spacing w:after="0"/>
              <w:rPr>
                <w:sz w:val="8"/>
                <w:szCs w:val="8"/>
                <w:color w:val="auto"/>
              </w:rPr>
            </w:pPr>
          </w:p>
        </w:tc>
        <w:tc>
          <w:tcPr>
            <w:tcW w:w="2500" w:type="dxa"/>
            <w:vAlign w:val="bottom"/>
            <w:shd w:val="clear" w:color="auto" w:fill="FDF9F2"/>
          </w:tcPr>
          <w:p>
            <w:pPr>
              <w:spacing w:after="0"/>
              <w:rPr>
                <w:sz w:val="8"/>
                <w:szCs w:val="8"/>
                <w:color w:val="auto"/>
              </w:rPr>
            </w:pPr>
          </w:p>
        </w:tc>
        <w:tc>
          <w:tcPr>
            <w:tcW w:w="2380" w:type="dxa"/>
            <w:vAlign w:val="bottom"/>
            <w:shd w:val="clear" w:color="auto" w:fill="FDF9F2"/>
          </w:tcPr>
          <w:p>
            <w:pPr>
              <w:spacing w:after="0"/>
              <w:rPr>
                <w:sz w:val="8"/>
                <w:szCs w:val="8"/>
                <w:color w:val="auto"/>
              </w:rPr>
            </w:pPr>
          </w:p>
        </w:tc>
        <w:tc>
          <w:tcPr>
            <w:tcW w:w="2520" w:type="dxa"/>
            <w:vAlign w:val="bottom"/>
            <w:shd w:val="clear" w:color="auto" w:fill="FDF9F2"/>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220" w:type="dxa"/>
            <w:vAlign w:val="bottom"/>
            <w:shd w:val="clear" w:color="auto" w:fill="DEDBD3"/>
          </w:tcPr>
          <w:p>
            <w:pPr>
              <w:ind w:left="60"/>
              <w:spacing w:after="0"/>
              <w:rPr>
                <w:sz w:val="20"/>
                <w:szCs w:val="20"/>
                <w:color w:val="auto"/>
              </w:rPr>
            </w:pPr>
            <w:r>
              <w:rPr>
                <w:rFonts w:ascii="Arial" w:cs="Arial" w:eastAsia="Arial" w:hAnsi="Arial"/>
                <w:sz w:val="14"/>
                <w:szCs w:val="14"/>
                <w:color w:val="auto"/>
              </w:rPr>
              <w:t>Bonus</w:t>
            </w:r>
          </w:p>
        </w:tc>
        <w:tc>
          <w:tcPr>
            <w:tcW w:w="250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6"/>
              </w:rPr>
              <w:t>$-</w:t>
            </w:r>
          </w:p>
        </w:tc>
        <w:tc>
          <w:tcPr>
            <w:tcW w:w="2380" w:type="dxa"/>
            <w:vAlign w:val="bottom"/>
            <w:shd w:val="clear" w:color="auto" w:fill="DEDBD3"/>
          </w:tcPr>
          <w:p>
            <w:pPr>
              <w:jc w:val="center"/>
              <w:ind w:right="17"/>
              <w:spacing w:after="0"/>
              <w:rPr>
                <w:sz w:val="20"/>
                <w:szCs w:val="20"/>
                <w:color w:val="auto"/>
              </w:rPr>
            </w:pPr>
            <w:r>
              <w:rPr>
                <w:rFonts w:ascii="Arial" w:cs="Arial" w:eastAsia="Arial" w:hAnsi="Arial"/>
                <w:sz w:val="14"/>
                <w:szCs w:val="14"/>
                <w:color w:val="auto"/>
                <w:w w:val="99"/>
              </w:rPr>
              <w:t>$3,651,428</w:t>
            </w:r>
          </w:p>
        </w:tc>
        <w:tc>
          <w:tcPr>
            <w:tcW w:w="2520" w:type="dxa"/>
            <w:vAlign w:val="bottom"/>
            <w:shd w:val="clear" w:color="auto" w:fill="DEDBD3"/>
          </w:tcPr>
          <w:p>
            <w:pPr>
              <w:jc w:val="center"/>
              <w:ind w:right="57"/>
              <w:spacing w:after="0"/>
              <w:rPr>
                <w:sz w:val="20"/>
                <w:szCs w:val="20"/>
                <w:color w:val="auto"/>
              </w:rPr>
            </w:pPr>
            <w:r>
              <w:rPr>
                <w:rFonts w:ascii="Arial" w:cs="Arial" w:eastAsia="Arial" w:hAnsi="Arial"/>
                <w:sz w:val="14"/>
                <w:szCs w:val="14"/>
                <w:color w:val="auto"/>
                <w:w w:val="96"/>
              </w:rPr>
              <w:t>$3,651,428</w:t>
            </w:r>
          </w:p>
        </w:tc>
        <w:tc>
          <w:tcPr>
            <w:tcW w:w="0" w:type="dxa"/>
            <w:vAlign w:val="bottom"/>
          </w:tcPr>
          <w:p>
            <w:pPr>
              <w:spacing w:after="0"/>
              <w:rPr>
                <w:sz w:val="1"/>
                <w:szCs w:val="1"/>
                <w:color w:val="auto"/>
              </w:rPr>
            </w:pPr>
          </w:p>
        </w:tc>
      </w:tr>
      <w:tr>
        <w:trPr>
          <w:trHeight w:val="103"/>
        </w:trPr>
        <w:tc>
          <w:tcPr>
            <w:tcW w:w="3220" w:type="dxa"/>
            <w:vAlign w:val="bottom"/>
            <w:shd w:val="clear" w:color="auto" w:fill="DEDBD3"/>
          </w:tcPr>
          <w:p>
            <w:pPr>
              <w:spacing w:after="0"/>
              <w:rPr>
                <w:sz w:val="8"/>
                <w:szCs w:val="8"/>
                <w:color w:val="auto"/>
              </w:rPr>
            </w:pPr>
          </w:p>
        </w:tc>
        <w:tc>
          <w:tcPr>
            <w:tcW w:w="2500" w:type="dxa"/>
            <w:vAlign w:val="bottom"/>
            <w:shd w:val="clear" w:color="auto" w:fill="DEDBD3"/>
          </w:tcPr>
          <w:p>
            <w:pPr>
              <w:spacing w:after="0"/>
              <w:rPr>
                <w:sz w:val="8"/>
                <w:szCs w:val="8"/>
                <w:color w:val="auto"/>
              </w:rPr>
            </w:pPr>
          </w:p>
        </w:tc>
        <w:tc>
          <w:tcPr>
            <w:tcW w:w="2380" w:type="dxa"/>
            <w:vAlign w:val="bottom"/>
            <w:shd w:val="clear" w:color="auto" w:fill="DEDBD3"/>
          </w:tcPr>
          <w:p>
            <w:pPr>
              <w:spacing w:after="0"/>
              <w:rPr>
                <w:sz w:val="8"/>
                <w:szCs w:val="8"/>
                <w:color w:val="auto"/>
              </w:rPr>
            </w:pPr>
          </w:p>
        </w:tc>
        <w:tc>
          <w:tcPr>
            <w:tcW w:w="2520" w:type="dxa"/>
            <w:vAlign w:val="bottom"/>
            <w:shd w:val="clear" w:color="auto" w:fill="DEDBD3"/>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220" w:type="dxa"/>
            <w:vAlign w:val="bottom"/>
            <w:shd w:val="clear" w:color="auto" w:fill="FDF9F2"/>
          </w:tcPr>
          <w:p>
            <w:pPr>
              <w:ind w:left="60"/>
              <w:spacing w:after="0"/>
              <w:rPr>
                <w:sz w:val="20"/>
                <w:szCs w:val="20"/>
                <w:color w:val="auto"/>
              </w:rPr>
            </w:pPr>
            <w:r>
              <w:rPr>
                <w:rFonts w:ascii="Arial" w:cs="Arial" w:eastAsia="Arial" w:hAnsi="Arial"/>
                <w:sz w:val="14"/>
                <w:szCs w:val="14"/>
                <w:color w:val="auto"/>
              </w:rPr>
              <w:t>Stock Options/Restricted Stock (1)(2)</w:t>
            </w:r>
          </w:p>
        </w:tc>
        <w:tc>
          <w:tcPr>
            <w:tcW w:w="250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$4,349,613</w:t>
            </w:r>
          </w:p>
        </w:tc>
        <w:tc>
          <w:tcPr>
            <w:tcW w:w="2380" w:type="dxa"/>
            <w:vAlign w:val="bottom"/>
            <w:shd w:val="clear" w:color="auto" w:fill="FDF9F2"/>
          </w:tcPr>
          <w:p>
            <w:pPr>
              <w:jc w:val="center"/>
              <w:ind w:right="17"/>
              <w:spacing w:after="0"/>
              <w:rPr>
                <w:sz w:val="20"/>
                <w:szCs w:val="20"/>
                <w:color w:val="auto"/>
              </w:rPr>
            </w:pPr>
            <w:r>
              <w:rPr>
                <w:rFonts w:ascii="Arial" w:cs="Arial" w:eastAsia="Arial" w:hAnsi="Arial"/>
                <w:sz w:val="14"/>
                <w:szCs w:val="14"/>
                <w:color w:val="auto"/>
                <w:w w:val="99"/>
              </w:rPr>
              <w:t>$1,223,753</w:t>
            </w:r>
          </w:p>
        </w:tc>
        <w:tc>
          <w:tcPr>
            <w:tcW w:w="2520" w:type="dxa"/>
            <w:vAlign w:val="bottom"/>
            <w:shd w:val="clear" w:color="auto" w:fill="FDF9F2"/>
          </w:tcPr>
          <w:p>
            <w:pPr>
              <w:jc w:val="center"/>
              <w:ind w:right="57"/>
              <w:spacing w:after="0"/>
              <w:rPr>
                <w:sz w:val="20"/>
                <w:szCs w:val="20"/>
                <w:color w:val="auto"/>
              </w:rPr>
            </w:pPr>
            <w:r>
              <w:rPr>
                <w:rFonts w:ascii="Arial" w:cs="Arial" w:eastAsia="Arial" w:hAnsi="Arial"/>
                <w:sz w:val="14"/>
                <w:szCs w:val="14"/>
                <w:color w:val="auto"/>
                <w:w w:val="96"/>
              </w:rPr>
              <w:t>$4,349,613</w:t>
            </w:r>
          </w:p>
        </w:tc>
        <w:tc>
          <w:tcPr>
            <w:tcW w:w="0" w:type="dxa"/>
            <w:vAlign w:val="bottom"/>
          </w:tcPr>
          <w:p>
            <w:pPr>
              <w:spacing w:after="0"/>
              <w:rPr>
                <w:sz w:val="1"/>
                <w:szCs w:val="1"/>
                <w:color w:val="auto"/>
              </w:rPr>
            </w:pPr>
          </w:p>
        </w:tc>
      </w:tr>
      <w:tr>
        <w:trPr>
          <w:trHeight w:val="103"/>
        </w:trPr>
        <w:tc>
          <w:tcPr>
            <w:tcW w:w="3220" w:type="dxa"/>
            <w:vAlign w:val="bottom"/>
            <w:shd w:val="clear" w:color="auto" w:fill="FDF9F2"/>
          </w:tcPr>
          <w:p>
            <w:pPr>
              <w:spacing w:after="0"/>
              <w:rPr>
                <w:sz w:val="8"/>
                <w:szCs w:val="8"/>
                <w:color w:val="auto"/>
              </w:rPr>
            </w:pPr>
          </w:p>
        </w:tc>
        <w:tc>
          <w:tcPr>
            <w:tcW w:w="2500" w:type="dxa"/>
            <w:vAlign w:val="bottom"/>
            <w:shd w:val="clear" w:color="auto" w:fill="FDF9F2"/>
          </w:tcPr>
          <w:p>
            <w:pPr>
              <w:spacing w:after="0"/>
              <w:rPr>
                <w:sz w:val="8"/>
                <w:szCs w:val="8"/>
                <w:color w:val="auto"/>
              </w:rPr>
            </w:pPr>
          </w:p>
        </w:tc>
        <w:tc>
          <w:tcPr>
            <w:tcW w:w="2380" w:type="dxa"/>
            <w:vAlign w:val="bottom"/>
            <w:shd w:val="clear" w:color="auto" w:fill="FDF9F2"/>
          </w:tcPr>
          <w:p>
            <w:pPr>
              <w:spacing w:after="0"/>
              <w:rPr>
                <w:sz w:val="8"/>
                <w:szCs w:val="8"/>
                <w:color w:val="auto"/>
              </w:rPr>
            </w:pPr>
          </w:p>
        </w:tc>
        <w:tc>
          <w:tcPr>
            <w:tcW w:w="2520" w:type="dxa"/>
            <w:vAlign w:val="bottom"/>
            <w:shd w:val="clear" w:color="auto" w:fill="FDF9F2"/>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220" w:type="dxa"/>
            <w:vAlign w:val="bottom"/>
            <w:shd w:val="clear" w:color="auto" w:fill="DEDBD3"/>
          </w:tcPr>
          <w:p>
            <w:pPr>
              <w:ind w:left="60"/>
              <w:spacing w:after="0"/>
              <w:rPr>
                <w:sz w:val="20"/>
                <w:szCs w:val="20"/>
                <w:color w:val="auto"/>
              </w:rPr>
            </w:pPr>
            <w:r>
              <w:rPr>
                <w:rFonts w:ascii="Arial" w:cs="Arial" w:eastAsia="Arial" w:hAnsi="Arial"/>
                <w:sz w:val="14"/>
                <w:szCs w:val="14"/>
                <w:color w:val="auto"/>
              </w:rPr>
              <w:t>Company Paid Life Insurance</w:t>
            </w:r>
          </w:p>
        </w:tc>
        <w:tc>
          <w:tcPr>
            <w:tcW w:w="250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9"/>
              </w:rPr>
              <w:t>$900,000</w:t>
            </w:r>
          </w:p>
        </w:tc>
        <w:tc>
          <w:tcPr>
            <w:tcW w:w="238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6"/>
              </w:rPr>
              <w:t>$-</w:t>
            </w:r>
          </w:p>
        </w:tc>
        <w:tc>
          <w:tcPr>
            <w:tcW w:w="2520" w:type="dxa"/>
            <w:vAlign w:val="bottom"/>
            <w:shd w:val="clear" w:color="auto" w:fill="DEDBD3"/>
          </w:tcPr>
          <w:p>
            <w:pPr>
              <w:jc w:val="center"/>
              <w:ind w:right="57"/>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03"/>
        </w:trPr>
        <w:tc>
          <w:tcPr>
            <w:tcW w:w="3220" w:type="dxa"/>
            <w:vAlign w:val="bottom"/>
            <w:shd w:val="clear" w:color="auto" w:fill="DEDBD3"/>
          </w:tcPr>
          <w:p>
            <w:pPr>
              <w:spacing w:after="0"/>
              <w:rPr>
                <w:sz w:val="8"/>
                <w:szCs w:val="8"/>
                <w:color w:val="auto"/>
              </w:rPr>
            </w:pPr>
          </w:p>
        </w:tc>
        <w:tc>
          <w:tcPr>
            <w:tcW w:w="2500" w:type="dxa"/>
            <w:vAlign w:val="bottom"/>
            <w:shd w:val="clear" w:color="auto" w:fill="DEDBD3"/>
          </w:tcPr>
          <w:p>
            <w:pPr>
              <w:spacing w:after="0"/>
              <w:rPr>
                <w:sz w:val="8"/>
                <w:szCs w:val="8"/>
                <w:color w:val="auto"/>
              </w:rPr>
            </w:pPr>
          </w:p>
        </w:tc>
        <w:tc>
          <w:tcPr>
            <w:tcW w:w="2380" w:type="dxa"/>
            <w:vAlign w:val="bottom"/>
            <w:shd w:val="clear" w:color="auto" w:fill="DEDBD3"/>
          </w:tcPr>
          <w:p>
            <w:pPr>
              <w:spacing w:after="0"/>
              <w:rPr>
                <w:sz w:val="8"/>
                <w:szCs w:val="8"/>
                <w:color w:val="auto"/>
              </w:rPr>
            </w:pPr>
          </w:p>
        </w:tc>
        <w:tc>
          <w:tcPr>
            <w:tcW w:w="2520" w:type="dxa"/>
            <w:vAlign w:val="bottom"/>
            <w:shd w:val="clear" w:color="auto" w:fill="DEDBD3"/>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220" w:type="dxa"/>
            <w:vAlign w:val="bottom"/>
            <w:shd w:val="clear" w:color="auto" w:fill="FDF9F2"/>
          </w:tcPr>
          <w:p>
            <w:pPr>
              <w:ind w:left="60"/>
              <w:spacing w:after="0"/>
              <w:rPr>
                <w:sz w:val="20"/>
                <w:szCs w:val="20"/>
                <w:color w:val="auto"/>
              </w:rPr>
            </w:pPr>
            <w:r>
              <w:rPr>
                <w:rFonts w:ascii="Arial" w:cs="Arial" w:eastAsia="Arial" w:hAnsi="Arial"/>
                <w:sz w:val="14"/>
                <w:szCs w:val="14"/>
                <w:color w:val="auto"/>
              </w:rPr>
              <w:t>Benefits (3)</w:t>
            </w:r>
          </w:p>
        </w:tc>
        <w:tc>
          <w:tcPr>
            <w:tcW w:w="250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6"/>
              </w:rPr>
              <w:t>$-</w:t>
            </w:r>
          </w:p>
        </w:tc>
        <w:tc>
          <w:tcPr>
            <w:tcW w:w="2380" w:type="dxa"/>
            <w:vAlign w:val="bottom"/>
            <w:shd w:val="clear" w:color="auto" w:fill="FDF9F2"/>
          </w:tcPr>
          <w:p>
            <w:pPr>
              <w:jc w:val="center"/>
              <w:ind w:right="17"/>
              <w:spacing w:after="0"/>
              <w:rPr>
                <w:sz w:val="20"/>
                <w:szCs w:val="20"/>
                <w:color w:val="auto"/>
              </w:rPr>
            </w:pPr>
            <w:r>
              <w:rPr>
                <w:rFonts w:ascii="Arial" w:cs="Arial" w:eastAsia="Arial" w:hAnsi="Arial"/>
                <w:sz w:val="14"/>
                <w:szCs w:val="14"/>
                <w:color w:val="auto"/>
                <w:w w:val="98"/>
              </w:rPr>
              <w:t>$34,173</w:t>
            </w:r>
          </w:p>
        </w:tc>
        <w:tc>
          <w:tcPr>
            <w:tcW w:w="2520" w:type="dxa"/>
            <w:vAlign w:val="bottom"/>
            <w:shd w:val="clear" w:color="auto" w:fill="FDF9F2"/>
          </w:tcPr>
          <w:p>
            <w:pPr>
              <w:jc w:val="center"/>
              <w:ind w:right="37"/>
              <w:spacing w:after="0"/>
              <w:rPr>
                <w:sz w:val="20"/>
                <w:szCs w:val="20"/>
                <w:color w:val="auto"/>
              </w:rPr>
            </w:pPr>
            <w:r>
              <w:rPr>
                <w:rFonts w:ascii="Arial" w:cs="Arial" w:eastAsia="Arial" w:hAnsi="Arial"/>
                <w:sz w:val="14"/>
                <w:szCs w:val="14"/>
                <w:color w:val="auto"/>
                <w:w w:val="98"/>
              </w:rPr>
              <w:t>$34,173</w:t>
            </w:r>
          </w:p>
        </w:tc>
        <w:tc>
          <w:tcPr>
            <w:tcW w:w="0" w:type="dxa"/>
            <w:vAlign w:val="bottom"/>
          </w:tcPr>
          <w:p>
            <w:pPr>
              <w:spacing w:after="0"/>
              <w:rPr>
                <w:sz w:val="1"/>
                <w:szCs w:val="1"/>
                <w:color w:val="auto"/>
              </w:rPr>
            </w:pPr>
          </w:p>
        </w:tc>
      </w:tr>
      <w:tr>
        <w:trPr>
          <w:trHeight w:val="103"/>
        </w:trPr>
        <w:tc>
          <w:tcPr>
            <w:tcW w:w="3220" w:type="dxa"/>
            <w:vAlign w:val="bottom"/>
            <w:shd w:val="clear" w:color="auto" w:fill="FDF9F2"/>
          </w:tcPr>
          <w:p>
            <w:pPr>
              <w:spacing w:after="0"/>
              <w:rPr>
                <w:sz w:val="8"/>
                <w:szCs w:val="8"/>
                <w:color w:val="auto"/>
              </w:rPr>
            </w:pPr>
          </w:p>
        </w:tc>
        <w:tc>
          <w:tcPr>
            <w:tcW w:w="2500" w:type="dxa"/>
            <w:vAlign w:val="bottom"/>
            <w:shd w:val="clear" w:color="auto" w:fill="FDF9F2"/>
          </w:tcPr>
          <w:p>
            <w:pPr>
              <w:spacing w:after="0"/>
              <w:rPr>
                <w:sz w:val="8"/>
                <w:szCs w:val="8"/>
                <w:color w:val="auto"/>
              </w:rPr>
            </w:pPr>
          </w:p>
        </w:tc>
        <w:tc>
          <w:tcPr>
            <w:tcW w:w="2380" w:type="dxa"/>
            <w:vAlign w:val="bottom"/>
            <w:shd w:val="clear" w:color="auto" w:fill="FDF9F2"/>
          </w:tcPr>
          <w:p>
            <w:pPr>
              <w:spacing w:after="0"/>
              <w:rPr>
                <w:sz w:val="8"/>
                <w:szCs w:val="8"/>
                <w:color w:val="auto"/>
              </w:rPr>
            </w:pPr>
          </w:p>
        </w:tc>
        <w:tc>
          <w:tcPr>
            <w:tcW w:w="2520" w:type="dxa"/>
            <w:vAlign w:val="bottom"/>
            <w:shd w:val="clear" w:color="auto" w:fill="FDF9F2"/>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320" w:right="220" w:hanging="4"/>
        <w:spacing w:after="0" w:line="235" w:lineRule="auto"/>
        <w:tabs>
          <w:tab w:leader="none" w:pos="502" w:val="left"/>
        </w:tabs>
        <w:numPr>
          <w:ilvl w:val="0"/>
          <w:numId w:val="46"/>
        </w:numPr>
        <w:rPr>
          <w:rFonts w:ascii="Arial" w:cs="Arial" w:eastAsia="Arial" w:hAnsi="Arial"/>
          <w:sz w:val="12"/>
          <w:szCs w:val="12"/>
          <w:color w:val="auto"/>
        </w:rPr>
      </w:pPr>
      <w:r>
        <w:rPr>
          <w:rFonts w:ascii="Arial" w:cs="Arial" w:eastAsia="Arial" w:hAnsi="Arial"/>
          <w:sz w:val="12"/>
          <w:szCs w:val="12"/>
          <w:color w:val="auto"/>
        </w:rPr>
        <w:t>Upon a termination due to death, complete disability or by the NEO for good reason after a change in control, 49,768 shares of restricted stock would vest in full immediately. Using the closing stock price on December 31, 2022, the value of such 49,768 shares would have been $4,104,367. At December 31, 2022, 10,383 options are exercisable and in the money. The intrinsic value of such options would have been $245,246 on December 31, 2022.</w:t>
      </w:r>
    </w:p>
    <w:p>
      <w:pPr>
        <w:spacing w:after="0" w:line="154" w:lineRule="exact"/>
        <w:rPr>
          <w:rFonts w:ascii="Arial" w:cs="Arial" w:eastAsia="Arial" w:hAnsi="Arial"/>
          <w:sz w:val="12"/>
          <w:szCs w:val="12"/>
          <w:color w:val="auto"/>
        </w:rPr>
      </w:pPr>
    </w:p>
    <w:p>
      <w:pPr>
        <w:ind w:left="320" w:right="80" w:hanging="4"/>
        <w:spacing w:after="0" w:line="235" w:lineRule="auto"/>
        <w:tabs>
          <w:tab w:leader="none" w:pos="502" w:val="left"/>
        </w:tabs>
        <w:numPr>
          <w:ilvl w:val="0"/>
          <w:numId w:val="46"/>
        </w:numPr>
        <w:rPr>
          <w:rFonts w:ascii="Arial" w:cs="Arial" w:eastAsia="Arial" w:hAnsi="Arial"/>
          <w:sz w:val="12"/>
          <w:szCs w:val="12"/>
          <w:color w:val="auto"/>
        </w:rPr>
      </w:pPr>
      <w:r>
        <w:rPr>
          <w:rFonts w:ascii="Arial" w:cs="Arial" w:eastAsia="Arial" w:hAnsi="Arial"/>
          <w:sz w:val="12"/>
          <w:szCs w:val="12"/>
          <w:color w:val="auto"/>
        </w:rPr>
        <w:t>Upon a termination by the Company without cause or by the NEO upon the Company’s material breach, 11,865 shares of restricted stock would vest on a prorated basis based on the number of months since the grant date. Using the closing stock price on December 31, 2022, the value of such 11,865 shares would have been $978,507. At December 31, 2022, 10,383 options are exercisable and in the money. The intrinsic value of such options would have been $245,246 on December 31, 2022.</w:t>
      </w:r>
    </w:p>
    <w:p>
      <w:pPr>
        <w:spacing w:after="0" w:line="167" w:lineRule="exact"/>
        <w:rPr>
          <w:rFonts w:ascii="Arial" w:cs="Arial" w:eastAsia="Arial" w:hAnsi="Arial"/>
          <w:sz w:val="12"/>
          <w:szCs w:val="12"/>
          <w:color w:val="auto"/>
        </w:rPr>
      </w:pPr>
    </w:p>
    <w:p>
      <w:pPr>
        <w:ind w:left="500" w:hanging="184"/>
        <w:spacing w:after="0"/>
        <w:tabs>
          <w:tab w:leader="none" w:pos="5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Continued health benefits for remainder of the term or until covered by another plan.</w:t>
      </w:r>
    </w:p>
    <w:p>
      <w:pPr>
        <w:spacing w:after="0" w:line="145" w:lineRule="exact"/>
        <w:rPr>
          <w:rFonts w:ascii="Arial" w:cs="Arial" w:eastAsia="Arial" w:hAnsi="Arial"/>
          <w:sz w:val="12"/>
          <w:szCs w:val="12"/>
          <w:color w:val="auto"/>
        </w:rPr>
      </w:pPr>
    </w:p>
    <w:p>
      <w:pPr>
        <w:ind w:left="5680" w:hanging="164"/>
        <w:spacing w:after="0"/>
        <w:tabs>
          <w:tab w:leader="none" w:pos="5680" w:val="left"/>
        </w:tabs>
        <w:numPr>
          <w:ilvl w:val="1"/>
          <w:numId w:val="46"/>
        </w:numPr>
        <w:rPr>
          <w:rFonts w:ascii="Arial" w:cs="Arial" w:eastAsia="Arial" w:hAnsi="Arial"/>
          <w:sz w:val="14"/>
          <w:szCs w:val="14"/>
          <w:color w:val="auto"/>
        </w:rPr>
      </w:pPr>
      <w:r>
        <w:rPr>
          <w:rFonts w:ascii="Arial" w:cs="Arial" w:eastAsia="Arial" w:hAnsi="Arial"/>
          <w:sz w:val="14"/>
          <w:szCs w:val="14"/>
          <w:color w:val="auto"/>
        </w:rPr>
        <w:t>51 //</w:t>
      </w:r>
    </w:p>
    <w:p>
      <w:pPr>
        <w:sectPr>
          <w:pgSz w:w="11900" w:h="16838" w:orient="portrait"/>
          <w:cols w:equalWidth="0" w:num="1">
            <w:col w:w="10940"/>
          </w:cols>
          <w:pgMar w:left="320" w:top="473" w:right="6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94500"/>
        </w:rPr>
        <w:t>ELLEN F. 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136525</wp:posOffset>
            </wp:positionV>
            <wp:extent cx="6740525" cy="17926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40525" cy="1792605"/>
                    </a:xfrm>
                    <a:prstGeom prst="rect">
                      <a:avLst/>
                    </a:prstGeom>
                    <a:noFill/>
                  </pic:spPr>
                </pic:pic>
              </a:graphicData>
            </a:graphic>
          </wp:anchor>
        </w:drawing>
      </w:r>
    </w:p>
    <w:p>
      <w:pPr>
        <w:spacing w:after="0" w:line="195"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3200" w:type="dxa"/>
            <w:vAlign w:val="bottom"/>
            <w:shd w:val="clear" w:color="auto" w:fill="DEDBD3"/>
          </w:tcPr>
          <w:p>
            <w:pPr>
              <w:spacing w:after="0"/>
              <w:rPr>
                <w:sz w:val="16"/>
                <w:szCs w:val="16"/>
                <w:color w:val="auto"/>
              </w:rPr>
            </w:pPr>
          </w:p>
        </w:tc>
        <w:tc>
          <w:tcPr>
            <w:tcW w:w="2520" w:type="dxa"/>
            <w:vAlign w:val="bottom"/>
            <w:shd w:val="clear" w:color="auto" w:fill="DEDBD3"/>
          </w:tcPr>
          <w:p>
            <w:pPr>
              <w:jc w:val="center"/>
              <w:spacing w:after="0"/>
              <w:rPr>
                <w:sz w:val="20"/>
                <w:szCs w:val="20"/>
                <w:color w:val="auto"/>
              </w:rPr>
            </w:pPr>
            <w:r>
              <w:rPr>
                <w:rFonts w:ascii="Arial" w:cs="Arial" w:eastAsia="Arial" w:hAnsi="Arial"/>
                <w:sz w:val="10"/>
                <w:szCs w:val="10"/>
                <w:b w:val="1"/>
                <w:bCs w:val="1"/>
                <w:color w:val="auto"/>
              </w:rPr>
              <w:t>TERMINATION UPON</w:t>
            </w:r>
          </w:p>
        </w:tc>
        <w:tc>
          <w:tcPr>
            <w:tcW w:w="2400" w:type="dxa"/>
            <w:vAlign w:val="bottom"/>
            <w:shd w:val="clear" w:color="auto" w:fill="DEDBD3"/>
          </w:tcPr>
          <w:p>
            <w:pPr>
              <w:jc w:val="center"/>
              <w:ind w:left="57"/>
              <w:spacing w:after="0"/>
              <w:rPr>
                <w:sz w:val="20"/>
                <w:szCs w:val="20"/>
                <w:color w:val="auto"/>
              </w:rPr>
            </w:pPr>
            <w:r>
              <w:rPr>
                <w:rFonts w:ascii="Arial" w:cs="Arial" w:eastAsia="Arial" w:hAnsi="Arial"/>
                <w:sz w:val="10"/>
                <w:szCs w:val="10"/>
                <w:b w:val="1"/>
                <w:bCs w:val="1"/>
                <w:color w:val="auto"/>
              </w:rPr>
              <w:t>TERMINATION WITHOUT</w:t>
            </w:r>
          </w:p>
        </w:tc>
        <w:tc>
          <w:tcPr>
            <w:tcW w:w="2500" w:type="dxa"/>
            <w:vAlign w:val="bottom"/>
            <w:shd w:val="clear" w:color="auto" w:fill="DEDBD3"/>
          </w:tcPr>
          <w:p>
            <w:pPr>
              <w:jc w:val="center"/>
              <w:spacing w:after="0"/>
              <w:rPr>
                <w:sz w:val="20"/>
                <w:szCs w:val="20"/>
                <w:color w:val="auto"/>
              </w:rPr>
            </w:pPr>
            <w:r>
              <w:rPr>
                <w:rFonts w:ascii="Arial" w:cs="Arial" w:eastAsia="Arial" w:hAnsi="Arial"/>
                <w:sz w:val="10"/>
                <w:szCs w:val="10"/>
                <w:b w:val="1"/>
                <w:bCs w:val="1"/>
                <w:color w:val="auto"/>
              </w:rPr>
              <w:t>TERMINATION BY EMPLOYEE</w:t>
            </w:r>
          </w:p>
        </w:tc>
        <w:tc>
          <w:tcPr>
            <w:tcW w:w="0" w:type="dxa"/>
            <w:vAlign w:val="bottom"/>
          </w:tcPr>
          <w:p>
            <w:pPr>
              <w:spacing w:after="0"/>
              <w:rPr>
                <w:sz w:val="1"/>
                <w:szCs w:val="1"/>
                <w:color w:val="auto"/>
              </w:rPr>
            </w:pPr>
          </w:p>
        </w:tc>
      </w:tr>
      <w:tr>
        <w:trPr>
          <w:trHeight w:val="117"/>
        </w:trPr>
        <w:tc>
          <w:tcPr>
            <w:tcW w:w="3200" w:type="dxa"/>
            <w:vAlign w:val="bottom"/>
            <w:shd w:val="clear" w:color="auto" w:fill="DEDBD3"/>
          </w:tcPr>
          <w:p>
            <w:pPr>
              <w:spacing w:after="0"/>
              <w:rPr>
                <w:sz w:val="10"/>
                <w:szCs w:val="10"/>
                <w:color w:val="auto"/>
              </w:rPr>
            </w:pPr>
          </w:p>
        </w:tc>
        <w:tc>
          <w:tcPr>
            <w:tcW w:w="2520" w:type="dxa"/>
            <w:vAlign w:val="bottom"/>
            <w:shd w:val="clear" w:color="auto" w:fill="DEDBD3"/>
          </w:tcPr>
          <w:p>
            <w:pPr>
              <w:jc w:val="center"/>
              <w:spacing w:after="0"/>
              <w:rPr>
                <w:sz w:val="20"/>
                <w:szCs w:val="20"/>
                <w:color w:val="auto"/>
              </w:rPr>
            </w:pPr>
            <w:r>
              <w:rPr>
                <w:rFonts w:ascii="Arial" w:cs="Arial" w:eastAsia="Arial" w:hAnsi="Arial"/>
                <w:sz w:val="10"/>
                <w:szCs w:val="10"/>
                <w:b w:val="1"/>
                <w:bCs w:val="1"/>
                <w:color w:val="auto"/>
              </w:rPr>
              <w:t>DEATH OR COMPLETE</w:t>
            </w:r>
          </w:p>
        </w:tc>
        <w:tc>
          <w:tcPr>
            <w:tcW w:w="2400" w:type="dxa"/>
            <w:vAlign w:val="bottom"/>
            <w:shd w:val="clear" w:color="auto" w:fill="DEDBD3"/>
          </w:tcPr>
          <w:p>
            <w:pPr>
              <w:jc w:val="center"/>
              <w:ind w:left="57"/>
              <w:spacing w:after="0"/>
              <w:rPr>
                <w:sz w:val="20"/>
                <w:szCs w:val="20"/>
                <w:color w:val="auto"/>
              </w:rPr>
            </w:pPr>
            <w:r>
              <w:rPr>
                <w:rFonts w:ascii="Arial" w:cs="Arial" w:eastAsia="Arial" w:hAnsi="Arial"/>
                <w:sz w:val="10"/>
                <w:szCs w:val="10"/>
                <w:b w:val="1"/>
                <w:bCs w:val="1"/>
                <w:color w:val="auto"/>
              </w:rPr>
              <w:t>CAUSE OR UPON</w:t>
            </w:r>
          </w:p>
        </w:tc>
        <w:tc>
          <w:tcPr>
            <w:tcW w:w="2500" w:type="dxa"/>
            <w:vAlign w:val="bottom"/>
            <w:shd w:val="clear" w:color="auto" w:fill="DEDBD3"/>
          </w:tcPr>
          <w:p>
            <w:pPr>
              <w:jc w:val="center"/>
              <w:spacing w:after="0"/>
              <w:rPr>
                <w:sz w:val="20"/>
                <w:szCs w:val="20"/>
                <w:color w:val="auto"/>
              </w:rPr>
            </w:pPr>
            <w:r>
              <w:rPr>
                <w:rFonts w:ascii="Arial" w:cs="Arial" w:eastAsia="Arial" w:hAnsi="Arial"/>
                <w:sz w:val="10"/>
                <w:szCs w:val="10"/>
                <w:b w:val="1"/>
                <w:bCs w:val="1"/>
                <w:color w:val="auto"/>
              </w:rPr>
              <w:t>FOR GOOD REASON AFTER</w:t>
            </w:r>
          </w:p>
        </w:tc>
        <w:tc>
          <w:tcPr>
            <w:tcW w:w="0" w:type="dxa"/>
            <w:vAlign w:val="bottom"/>
          </w:tcPr>
          <w:p>
            <w:pPr>
              <w:spacing w:after="0"/>
              <w:rPr>
                <w:sz w:val="1"/>
                <w:szCs w:val="1"/>
                <w:color w:val="auto"/>
              </w:rPr>
            </w:pPr>
          </w:p>
        </w:tc>
      </w:tr>
      <w:tr>
        <w:trPr>
          <w:trHeight w:val="151"/>
        </w:trPr>
        <w:tc>
          <w:tcPr>
            <w:tcW w:w="3200" w:type="dxa"/>
            <w:vAlign w:val="bottom"/>
            <w:tcBorders>
              <w:bottom w:val="single" w:sz="8" w:color="DEDBD3"/>
            </w:tcBorders>
            <w:shd w:val="clear" w:color="auto" w:fill="DEDBD3"/>
          </w:tcPr>
          <w:p>
            <w:pPr>
              <w:spacing w:after="0"/>
              <w:rPr>
                <w:sz w:val="13"/>
                <w:szCs w:val="13"/>
                <w:color w:val="auto"/>
              </w:rPr>
            </w:pPr>
          </w:p>
        </w:tc>
        <w:tc>
          <w:tcPr>
            <w:tcW w:w="2520" w:type="dxa"/>
            <w:vAlign w:val="bottom"/>
            <w:tcBorders>
              <w:bottom w:val="single" w:sz="8" w:color="DEDBD3"/>
            </w:tcBorders>
            <w:shd w:val="clear" w:color="auto" w:fill="DEDBD3"/>
          </w:tcPr>
          <w:p>
            <w:pPr>
              <w:jc w:val="center"/>
              <w:spacing w:after="0"/>
              <w:rPr>
                <w:sz w:val="20"/>
                <w:szCs w:val="20"/>
                <w:color w:val="auto"/>
              </w:rPr>
            </w:pPr>
            <w:r>
              <w:rPr>
                <w:rFonts w:ascii="Arial" w:cs="Arial" w:eastAsia="Arial" w:hAnsi="Arial"/>
                <w:sz w:val="10"/>
                <w:szCs w:val="10"/>
                <w:b w:val="1"/>
                <w:bCs w:val="1"/>
                <w:color w:val="auto"/>
              </w:rPr>
              <w:t>DISABILITY</w:t>
            </w:r>
          </w:p>
        </w:tc>
        <w:tc>
          <w:tcPr>
            <w:tcW w:w="2400" w:type="dxa"/>
            <w:vAlign w:val="bottom"/>
            <w:tcBorders>
              <w:bottom w:val="single" w:sz="8" w:color="DEDBD3"/>
            </w:tcBorders>
            <w:shd w:val="clear" w:color="auto" w:fill="DEDBD3"/>
          </w:tcPr>
          <w:p>
            <w:pPr>
              <w:jc w:val="center"/>
              <w:ind w:left="57"/>
              <w:spacing w:after="0"/>
              <w:rPr>
                <w:sz w:val="20"/>
                <w:szCs w:val="20"/>
                <w:color w:val="auto"/>
              </w:rPr>
            </w:pPr>
            <w:r>
              <w:rPr>
                <w:rFonts w:ascii="Arial" w:cs="Arial" w:eastAsia="Arial" w:hAnsi="Arial"/>
                <w:sz w:val="10"/>
                <w:szCs w:val="10"/>
                <w:b w:val="1"/>
                <w:bCs w:val="1"/>
                <w:color w:val="auto"/>
              </w:rPr>
              <w:t>MATERIAL BREACH</w:t>
            </w:r>
          </w:p>
        </w:tc>
        <w:tc>
          <w:tcPr>
            <w:tcW w:w="2500" w:type="dxa"/>
            <w:vAlign w:val="bottom"/>
            <w:tcBorders>
              <w:bottom w:val="single" w:sz="8" w:color="DEDBD3"/>
            </w:tcBorders>
            <w:shd w:val="clear" w:color="auto" w:fill="DEDBD3"/>
          </w:tcPr>
          <w:p>
            <w:pPr>
              <w:jc w:val="center"/>
              <w:spacing w:after="0"/>
              <w:rPr>
                <w:sz w:val="20"/>
                <w:szCs w:val="20"/>
                <w:color w:val="auto"/>
              </w:rPr>
            </w:pPr>
            <w:r>
              <w:rPr>
                <w:rFonts w:ascii="Arial" w:cs="Arial" w:eastAsia="Arial" w:hAnsi="Arial"/>
                <w:sz w:val="10"/>
                <w:szCs w:val="10"/>
                <w:b w:val="1"/>
                <w:bCs w:val="1"/>
                <w:color w:val="auto"/>
              </w:rPr>
              <w:t>CHANGE IN CONTROL</w:t>
            </w:r>
          </w:p>
        </w:tc>
        <w:tc>
          <w:tcPr>
            <w:tcW w:w="0" w:type="dxa"/>
            <w:vAlign w:val="bottom"/>
          </w:tcPr>
          <w:p>
            <w:pPr>
              <w:spacing w:after="0"/>
              <w:rPr>
                <w:sz w:val="1"/>
                <w:szCs w:val="1"/>
                <w:color w:val="auto"/>
              </w:rPr>
            </w:pPr>
          </w:p>
        </w:tc>
      </w:tr>
      <w:tr>
        <w:trPr>
          <w:trHeight w:val="291"/>
        </w:trPr>
        <w:tc>
          <w:tcPr>
            <w:tcW w:w="3200" w:type="dxa"/>
            <w:vAlign w:val="bottom"/>
            <w:shd w:val="clear" w:color="auto" w:fill="FDF9F2"/>
          </w:tcPr>
          <w:p>
            <w:pPr>
              <w:spacing w:after="0"/>
              <w:rPr>
                <w:sz w:val="24"/>
                <w:szCs w:val="24"/>
                <w:color w:val="auto"/>
              </w:rPr>
            </w:pPr>
          </w:p>
        </w:tc>
        <w:tc>
          <w:tcPr>
            <w:tcW w:w="2520" w:type="dxa"/>
            <w:vAlign w:val="bottom"/>
            <w:shd w:val="clear" w:color="auto" w:fill="FDF9F2"/>
          </w:tcPr>
          <w:p>
            <w:pPr>
              <w:jc w:val="right"/>
              <w:ind w:right="556"/>
              <w:spacing w:after="0"/>
              <w:rPr>
                <w:sz w:val="20"/>
                <w:szCs w:val="20"/>
                <w:color w:val="auto"/>
              </w:rPr>
            </w:pPr>
            <w:r>
              <w:rPr>
                <w:rFonts w:ascii="Arial" w:cs="Arial" w:eastAsia="Arial" w:hAnsi="Arial"/>
                <w:sz w:val="14"/>
                <w:szCs w:val="14"/>
                <w:color w:val="auto"/>
              </w:rPr>
              <w:t>Amounts earned and</w:t>
            </w:r>
          </w:p>
        </w:tc>
        <w:tc>
          <w:tcPr>
            <w:tcW w:w="2400" w:type="dxa"/>
            <w:vAlign w:val="bottom"/>
            <w:vMerge w:val="restart"/>
            <w:shd w:val="clear" w:color="auto" w:fill="FDF9F2"/>
          </w:tcPr>
          <w:p>
            <w:pPr>
              <w:jc w:val="center"/>
              <w:spacing w:after="0"/>
              <w:rPr>
                <w:sz w:val="20"/>
                <w:szCs w:val="20"/>
                <w:color w:val="auto"/>
              </w:rPr>
            </w:pPr>
            <w:r>
              <w:rPr>
                <w:rFonts w:ascii="Arial" w:cs="Arial" w:eastAsia="Arial" w:hAnsi="Arial"/>
                <w:sz w:val="14"/>
                <w:szCs w:val="14"/>
                <w:color w:val="auto"/>
                <w:w w:val="96"/>
              </w:rPr>
              <w:t>$1,878,904</w:t>
            </w:r>
          </w:p>
        </w:tc>
        <w:tc>
          <w:tcPr>
            <w:tcW w:w="2500" w:type="dxa"/>
            <w:vAlign w:val="bottom"/>
            <w:vMerge w:val="restart"/>
            <w:shd w:val="clear" w:color="auto" w:fill="FDF9F2"/>
          </w:tcPr>
          <w:p>
            <w:pPr>
              <w:jc w:val="center"/>
              <w:ind w:right="37"/>
              <w:spacing w:after="0"/>
              <w:rPr>
                <w:sz w:val="20"/>
                <w:szCs w:val="20"/>
                <w:color w:val="auto"/>
              </w:rPr>
            </w:pPr>
            <w:r>
              <w:rPr>
                <w:rFonts w:ascii="Arial" w:cs="Arial" w:eastAsia="Arial" w:hAnsi="Arial"/>
                <w:sz w:val="14"/>
                <w:szCs w:val="14"/>
                <w:color w:val="auto"/>
                <w:w w:val="96"/>
              </w:rPr>
              <w:t>$1,878,904</w:t>
            </w:r>
          </w:p>
        </w:tc>
        <w:tc>
          <w:tcPr>
            <w:tcW w:w="0" w:type="dxa"/>
            <w:vAlign w:val="bottom"/>
          </w:tcPr>
          <w:p>
            <w:pPr>
              <w:spacing w:after="0"/>
              <w:rPr>
                <w:sz w:val="1"/>
                <w:szCs w:val="1"/>
                <w:color w:val="auto"/>
              </w:rPr>
            </w:pPr>
          </w:p>
        </w:tc>
      </w:tr>
      <w:tr>
        <w:trPr>
          <w:trHeight w:val="113"/>
        </w:trPr>
        <w:tc>
          <w:tcPr>
            <w:tcW w:w="3200" w:type="dxa"/>
            <w:vAlign w:val="bottom"/>
            <w:vMerge w:val="restart"/>
            <w:shd w:val="clear" w:color="auto" w:fill="FDF9F2"/>
          </w:tcPr>
          <w:p>
            <w:pPr>
              <w:ind w:left="220"/>
              <w:spacing w:after="0" w:line="156" w:lineRule="exact"/>
              <w:rPr>
                <w:sz w:val="20"/>
                <w:szCs w:val="20"/>
                <w:color w:val="auto"/>
              </w:rPr>
            </w:pPr>
            <w:r>
              <w:rPr>
                <w:rFonts w:ascii="Arial" w:cs="Arial" w:eastAsia="Arial" w:hAnsi="Arial"/>
                <w:sz w:val="14"/>
                <w:szCs w:val="14"/>
                <w:color w:val="auto"/>
              </w:rPr>
              <w:t>Base Salary</w:t>
            </w:r>
          </w:p>
        </w:tc>
        <w:tc>
          <w:tcPr>
            <w:tcW w:w="2520" w:type="dxa"/>
            <w:vAlign w:val="bottom"/>
            <w:vMerge w:val="restart"/>
            <w:shd w:val="clear" w:color="auto" w:fill="FDF9F2"/>
          </w:tcPr>
          <w:p>
            <w:pPr>
              <w:jc w:val="right"/>
              <w:ind w:right="556"/>
              <w:spacing w:after="0" w:line="156" w:lineRule="exact"/>
              <w:rPr>
                <w:sz w:val="20"/>
                <w:szCs w:val="20"/>
                <w:color w:val="auto"/>
              </w:rPr>
            </w:pPr>
            <w:r>
              <w:rPr>
                <w:rFonts w:ascii="Arial" w:cs="Arial" w:eastAsia="Arial" w:hAnsi="Arial"/>
                <w:sz w:val="14"/>
                <w:szCs w:val="14"/>
                <w:color w:val="auto"/>
              </w:rPr>
              <w:t>unpaid through the</w:t>
            </w:r>
          </w:p>
        </w:tc>
        <w:tc>
          <w:tcPr>
            <w:tcW w:w="2400" w:type="dxa"/>
            <w:vAlign w:val="bottom"/>
            <w:vMerge w:val="continue"/>
            <w:shd w:val="clear" w:color="auto" w:fill="FDF9F2"/>
          </w:tcPr>
          <w:p>
            <w:pPr>
              <w:spacing w:after="0"/>
              <w:rPr>
                <w:sz w:val="9"/>
                <w:szCs w:val="9"/>
                <w:color w:val="auto"/>
              </w:rPr>
            </w:pPr>
          </w:p>
        </w:tc>
        <w:tc>
          <w:tcPr>
            <w:tcW w:w="2500" w:type="dxa"/>
            <w:vAlign w:val="bottom"/>
            <w:vMerge w:val="continue"/>
            <w:shd w:val="clear" w:color="auto" w:fill="FDF9F2"/>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3200" w:type="dxa"/>
            <w:vAlign w:val="bottom"/>
            <w:vMerge w:val="continue"/>
            <w:shd w:val="clear" w:color="auto" w:fill="FDF9F2"/>
          </w:tcPr>
          <w:p>
            <w:pPr>
              <w:spacing w:after="0"/>
              <w:rPr>
                <w:sz w:val="3"/>
                <w:szCs w:val="3"/>
                <w:color w:val="auto"/>
              </w:rPr>
            </w:pPr>
          </w:p>
        </w:tc>
        <w:tc>
          <w:tcPr>
            <w:tcW w:w="2520" w:type="dxa"/>
            <w:vAlign w:val="bottom"/>
            <w:vMerge w:val="continue"/>
            <w:shd w:val="clear" w:color="auto" w:fill="FDF9F2"/>
          </w:tcPr>
          <w:p>
            <w:pPr>
              <w:spacing w:after="0"/>
              <w:rPr>
                <w:sz w:val="3"/>
                <w:szCs w:val="3"/>
                <w:color w:val="auto"/>
              </w:rPr>
            </w:pPr>
          </w:p>
        </w:tc>
        <w:tc>
          <w:tcPr>
            <w:tcW w:w="2400" w:type="dxa"/>
            <w:vAlign w:val="bottom"/>
            <w:shd w:val="clear" w:color="auto" w:fill="FDF9F2"/>
          </w:tcPr>
          <w:p>
            <w:pPr>
              <w:spacing w:after="0"/>
              <w:rPr>
                <w:sz w:val="3"/>
                <w:szCs w:val="3"/>
                <w:color w:val="auto"/>
              </w:rPr>
            </w:pPr>
          </w:p>
        </w:tc>
        <w:tc>
          <w:tcPr>
            <w:tcW w:w="2500" w:type="dxa"/>
            <w:vAlign w:val="bottom"/>
            <w:shd w:val="clear" w:color="auto" w:fill="FDF9F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00" w:type="dxa"/>
            <w:vAlign w:val="bottom"/>
            <w:shd w:val="clear" w:color="auto" w:fill="FDF9F2"/>
          </w:tcPr>
          <w:p>
            <w:pPr>
              <w:spacing w:after="0"/>
              <w:rPr>
                <w:sz w:val="14"/>
                <w:szCs w:val="14"/>
                <w:color w:val="auto"/>
              </w:rPr>
            </w:pPr>
          </w:p>
        </w:tc>
        <w:tc>
          <w:tcPr>
            <w:tcW w:w="2520" w:type="dxa"/>
            <w:vAlign w:val="bottom"/>
            <w:shd w:val="clear" w:color="auto" w:fill="FDF9F2"/>
          </w:tcPr>
          <w:p>
            <w:pPr>
              <w:jc w:val="right"/>
              <w:ind w:right="556"/>
              <w:spacing w:after="0"/>
              <w:rPr>
                <w:sz w:val="20"/>
                <w:szCs w:val="20"/>
                <w:color w:val="auto"/>
              </w:rPr>
            </w:pPr>
            <w:r>
              <w:rPr>
                <w:rFonts w:ascii="Arial" w:cs="Arial" w:eastAsia="Arial" w:hAnsi="Arial"/>
                <w:sz w:val="14"/>
                <w:szCs w:val="14"/>
                <w:color w:val="auto"/>
              </w:rPr>
              <w:t>date of termination</w:t>
            </w:r>
          </w:p>
        </w:tc>
        <w:tc>
          <w:tcPr>
            <w:tcW w:w="2400" w:type="dxa"/>
            <w:vAlign w:val="bottom"/>
            <w:shd w:val="clear" w:color="auto" w:fill="FDF9F2"/>
          </w:tcPr>
          <w:p>
            <w:pPr>
              <w:spacing w:after="0"/>
              <w:rPr>
                <w:sz w:val="14"/>
                <w:szCs w:val="14"/>
                <w:color w:val="auto"/>
              </w:rPr>
            </w:pPr>
          </w:p>
        </w:tc>
        <w:tc>
          <w:tcPr>
            <w:tcW w:w="2500" w:type="dxa"/>
            <w:vAlign w:val="bottom"/>
            <w:shd w:val="clear" w:color="auto" w:fill="FDF9F2"/>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3200" w:type="dxa"/>
            <w:vAlign w:val="bottom"/>
            <w:shd w:val="clear" w:color="auto" w:fill="FDF9F2"/>
          </w:tcPr>
          <w:p>
            <w:pPr>
              <w:spacing w:after="0"/>
              <w:rPr>
                <w:sz w:val="8"/>
                <w:szCs w:val="8"/>
                <w:color w:val="auto"/>
              </w:rPr>
            </w:pPr>
          </w:p>
        </w:tc>
        <w:tc>
          <w:tcPr>
            <w:tcW w:w="2520" w:type="dxa"/>
            <w:vAlign w:val="bottom"/>
            <w:shd w:val="clear" w:color="auto" w:fill="FDF9F2"/>
          </w:tcPr>
          <w:p>
            <w:pPr>
              <w:spacing w:after="0"/>
              <w:rPr>
                <w:sz w:val="8"/>
                <w:szCs w:val="8"/>
                <w:color w:val="auto"/>
              </w:rPr>
            </w:pPr>
          </w:p>
        </w:tc>
        <w:tc>
          <w:tcPr>
            <w:tcW w:w="2400" w:type="dxa"/>
            <w:vAlign w:val="bottom"/>
            <w:shd w:val="clear" w:color="auto" w:fill="FDF9F2"/>
          </w:tcPr>
          <w:p>
            <w:pPr>
              <w:spacing w:after="0"/>
              <w:rPr>
                <w:sz w:val="8"/>
                <w:szCs w:val="8"/>
                <w:color w:val="auto"/>
              </w:rPr>
            </w:pPr>
          </w:p>
        </w:tc>
        <w:tc>
          <w:tcPr>
            <w:tcW w:w="2500" w:type="dxa"/>
            <w:vAlign w:val="bottom"/>
            <w:shd w:val="clear" w:color="auto" w:fill="FDF9F2"/>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200" w:type="dxa"/>
            <w:vAlign w:val="bottom"/>
            <w:shd w:val="clear" w:color="auto" w:fill="DEDBD3"/>
          </w:tcPr>
          <w:p>
            <w:pPr>
              <w:ind w:left="220"/>
              <w:spacing w:after="0"/>
              <w:rPr>
                <w:sz w:val="20"/>
                <w:szCs w:val="20"/>
                <w:color w:val="auto"/>
              </w:rPr>
            </w:pPr>
            <w:r>
              <w:rPr>
                <w:rFonts w:ascii="Arial" w:cs="Arial" w:eastAsia="Arial" w:hAnsi="Arial"/>
                <w:sz w:val="14"/>
                <w:szCs w:val="14"/>
                <w:color w:val="auto"/>
              </w:rPr>
              <w:t>Bonus</w:t>
            </w:r>
          </w:p>
        </w:tc>
        <w:tc>
          <w:tcPr>
            <w:tcW w:w="252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6"/>
              </w:rPr>
              <w:t>$-</w:t>
            </w:r>
          </w:p>
        </w:tc>
        <w:tc>
          <w:tcPr>
            <w:tcW w:w="240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6"/>
              </w:rPr>
              <w:t>$3,651,428</w:t>
            </w:r>
          </w:p>
        </w:tc>
        <w:tc>
          <w:tcPr>
            <w:tcW w:w="2500" w:type="dxa"/>
            <w:vAlign w:val="bottom"/>
            <w:shd w:val="clear" w:color="auto" w:fill="DEDBD3"/>
          </w:tcPr>
          <w:p>
            <w:pPr>
              <w:jc w:val="center"/>
              <w:ind w:right="37"/>
              <w:spacing w:after="0"/>
              <w:rPr>
                <w:sz w:val="20"/>
                <w:szCs w:val="20"/>
                <w:color w:val="auto"/>
              </w:rPr>
            </w:pPr>
            <w:r>
              <w:rPr>
                <w:rFonts w:ascii="Arial" w:cs="Arial" w:eastAsia="Arial" w:hAnsi="Arial"/>
                <w:sz w:val="14"/>
                <w:szCs w:val="14"/>
                <w:color w:val="auto"/>
                <w:w w:val="96"/>
              </w:rPr>
              <w:t>$3,651,428</w:t>
            </w:r>
          </w:p>
        </w:tc>
        <w:tc>
          <w:tcPr>
            <w:tcW w:w="0" w:type="dxa"/>
            <w:vAlign w:val="bottom"/>
          </w:tcPr>
          <w:p>
            <w:pPr>
              <w:spacing w:after="0"/>
              <w:rPr>
                <w:sz w:val="1"/>
                <w:szCs w:val="1"/>
                <w:color w:val="auto"/>
              </w:rPr>
            </w:pPr>
          </w:p>
        </w:tc>
      </w:tr>
      <w:tr>
        <w:trPr>
          <w:trHeight w:val="103"/>
        </w:trPr>
        <w:tc>
          <w:tcPr>
            <w:tcW w:w="3200" w:type="dxa"/>
            <w:vAlign w:val="bottom"/>
            <w:shd w:val="clear" w:color="auto" w:fill="DEDBD3"/>
          </w:tcPr>
          <w:p>
            <w:pPr>
              <w:spacing w:after="0"/>
              <w:rPr>
                <w:sz w:val="8"/>
                <w:szCs w:val="8"/>
                <w:color w:val="auto"/>
              </w:rPr>
            </w:pPr>
          </w:p>
        </w:tc>
        <w:tc>
          <w:tcPr>
            <w:tcW w:w="2520" w:type="dxa"/>
            <w:vAlign w:val="bottom"/>
            <w:shd w:val="clear" w:color="auto" w:fill="DEDBD3"/>
          </w:tcPr>
          <w:p>
            <w:pPr>
              <w:spacing w:after="0"/>
              <w:rPr>
                <w:sz w:val="8"/>
                <w:szCs w:val="8"/>
                <w:color w:val="auto"/>
              </w:rPr>
            </w:pPr>
          </w:p>
        </w:tc>
        <w:tc>
          <w:tcPr>
            <w:tcW w:w="2400" w:type="dxa"/>
            <w:vAlign w:val="bottom"/>
            <w:shd w:val="clear" w:color="auto" w:fill="DEDBD3"/>
          </w:tcPr>
          <w:p>
            <w:pPr>
              <w:spacing w:after="0"/>
              <w:rPr>
                <w:sz w:val="8"/>
                <w:szCs w:val="8"/>
                <w:color w:val="auto"/>
              </w:rPr>
            </w:pPr>
          </w:p>
        </w:tc>
        <w:tc>
          <w:tcPr>
            <w:tcW w:w="2500" w:type="dxa"/>
            <w:vAlign w:val="bottom"/>
            <w:shd w:val="clear" w:color="auto" w:fill="DEDBD3"/>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200" w:type="dxa"/>
            <w:vAlign w:val="bottom"/>
            <w:shd w:val="clear" w:color="auto" w:fill="FDF9F2"/>
          </w:tcPr>
          <w:p>
            <w:pPr>
              <w:ind w:left="220"/>
              <w:spacing w:after="0"/>
              <w:rPr>
                <w:sz w:val="20"/>
                <w:szCs w:val="20"/>
                <w:color w:val="auto"/>
              </w:rPr>
            </w:pPr>
            <w:r>
              <w:rPr>
                <w:rFonts w:ascii="Arial" w:cs="Arial" w:eastAsia="Arial" w:hAnsi="Arial"/>
                <w:sz w:val="14"/>
                <w:szCs w:val="14"/>
                <w:color w:val="auto"/>
              </w:rPr>
              <w:t>Stock Options/Restricted Stock (1)(2)</w:t>
            </w:r>
          </w:p>
        </w:tc>
        <w:tc>
          <w:tcPr>
            <w:tcW w:w="252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9"/>
              </w:rPr>
              <w:t>$2,904,565</w:t>
            </w:r>
          </w:p>
        </w:tc>
        <w:tc>
          <w:tcPr>
            <w:tcW w:w="240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6"/>
              </w:rPr>
              <w:t>$1,875,623</w:t>
            </w:r>
          </w:p>
        </w:tc>
        <w:tc>
          <w:tcPr>
            <w:tcW w:w="2500" w:type="dxa"/>
            <w:vAlign w:val="bottom"/>
            <w:shd w:val="clear" w:color="auto" w:fill="FDF9F2"/>
          </w:tcPr>
          <w:p>
            <w:pPr>
              <w:jc w:val="center"/>
              <w:ind w:right="37"/>
              <w:spacing w:after="0"/>
              <w:rPr>
                <w:sz w:val="20"/>
                <w:szCs w:val="20"/>
                <w:color w:val="auto"/>
              </w:rPr>
            </w:pPr>
            <w:r>
              <w:rPr>
                <w:rFonts w:ascii="Arial" w:cs="Arial" w:eastAsia="Arial" w:hAnsi="Arial"/>
                <w:sz w:val="14"/>
                <w:szCs w:val="14"/>
                <w:color w:val="auto"/>
                <w:w w:val="96"/>
              </w:rPr>
              <w:t>$2,904,565</w:t>
            </w:r>
          </w:p>
        </w:tc>
        <w:tc>
          <w:tcPr>
            <w:tcW w:w="0" w:type="dxa"/>
            <w:vAlign w:val="bottom"/>
          </w:tcPr>
          <w:p>
            <w:pPr>
              <w:spacing w:after="0"/>
              <w:rPr>
                <w:sz w:val="1"/>
                <w:szCs w:val="1"/>
                <w:color w:val="auto"/>
              </w:rPr>
            </w:pPr>
          </w:p>
        </w:tc>
      </w:tr>
      <w:tr>
        <w:trPr>
          <w:trHeight w:val="103"/>
        </w:trPr>
        <w:tc>
          <w:tcPr>
            <w:tcW w:w="3200" w:type="dxa"/>
            <w:vAlign w:val="bottom"/>
            <w:shd w:val="clear" w:color="auto" w:fill="FDF9F2"/>
          </w:tcPr>
          <w:p>
            <w:pPr>
              <w:spacing w:after="0"/>
              <w:rPr>
                <w:sz w:val="8"/>
                <w:szCs w:val="8"/>
                <w:color w:val="auto"/>
              </w:rPr>
            </w:pPr>
          </w:p>
        </w:tc>
        <w:tc>
          <w:tcPr>
            <w:tcW w:w="2520" w:type="dxa"/>
            <w:vAlign w:val="bottom"/>
            <w:shd w:val="clear" w:color="auto" w:fill="FDF9F2"/>
          </w:tcPr>
          <w:p>
            <w:pPr>
              <w:spacing w:after="0"/>
              <w:rPr>
                <w:sz w:val="8"/>
                <w:szCs w:val="8"/>
                <w:color w:val="auto"/>
              </w:rPr>
            </w:pPr>
          </w:p>
        </w:tc>
        <w:tc>
          <w:tcPr>
            <w:tcW w:w="2400" w:type="dxa"/>
            <w:vAlign w:val="bottom"/>
            <w:shd w:val="clear" w:color="auto" w:fill="FDF9F2"/>
          </w:tcPr>
          <w:p>
            <w:pPr>
              <w:spacing w:after="0"/>
              <w:rPr>
                <w:sz w:val="8"/>
                <w:szCs w:val="8"/>
                <w:color w:val="auto"/>
              </w:rPr>
            </w:pPr>
          </w:p>
        </w:tc>
        <w:tc>
          <w:tcPr>
            <w:tcW w:w="2500" w:type="dxa"/>
            <w:vAlign w:val="bottom"/>
            <w:shd w:val="clear" w:color="auto" w:fill="FDF9F2"/>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200" w:type="dxa"/>
            <w:vAlign w:val="bottom"/>
            <w:shd w:val="clear" w:color="auto" w:fill="DEDBD3"/>
          </w:tcPr>
          <w:p>
            <w:pPr>
              <w:ind w:left="220"/>
              <w:spacing w:after="0"/>
              <w:rPr>
                <w:sz w:val="20"/>
                <w:szCs w:val="20"/>
                <w:color w:val="auto"/>
              </w:rPr>
            </w:pPr>
            <w:r>
              <w:rPr>
                <w:rFonts w:ascii="Arial" w:cs="Arial" w:eastAsia="Arial" w:hAnsi="Arial"/>
                <w:sz w:val="14"/>
                <w:szCs w:val="14"/>
                <w:color w:val="auto"/>
              </w:rPr>
              <w:t>Company Paid Life Insurance</w:t>
            </w:r>
          </w:p>
        </w:tc>
        <w:tc>
          <w:tcPr>
            <w:tcW w:w="252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9"/>
              </w:rPr>
              <w:t>$900,000</w:t>
            </w:r>
          </w:p>
        </w:tc>
        <w:tc>
          <w:tcPr>
            <w:tcW w:w="2400" w:type="dxa"/>
            <w:vAlign w:val="bottom"/>
            <w:shd w:val="clear" w:color="auto" w:fill="DEDBD3"/>
          </w:tcPr>
          <w:p>
            <w:pPr>
              <w:jc w:val="center"/>
              <w:spacing w:after="0"/>
              <w:rPr>
                <w:sz w:val="20"/>
                <w:szCs w:val="20"/>
                <w:color w:val="auto"/>
              </w:rPr>
            </w:pPr>
            <w:r>
              <w:rPr>
                <w:rFonts w:ascii="Arial" w:cs="Arial" w:eastAsia="Arial" w:hAnsi="Arial"/>
                <w:sz w:val="14"/>
                <w:szCs w:val="14"/>
                <w:color w:val="auto"/>
                <w:w w:val="96"/>
              </w:rPr>
              <w:t>$-</w:t>
            </w:r>
          </w:p>
        </w:tc>
        <w:tc>
          <w:tcPr>
            <w:tcW w:w="2500" w:type="dxa"/>
            <w:vAlign w:val="bottom"/>
            <w:shd w:val="clear" w:color="auto" w:fill="DEDBD3"/>
          </w:tcPr>
          <w:p>
            <w:pPr>
              <w:jc w:val="center"/>
              <w:ind w:right="37"/>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03"/>
        </w:trPr>
        <w:tc>
          <w:tcPr>
            <w:tcW w:w="3200" w:type="dxa"/>
            <w:vAlign w:val="bottom"/>
            <w:shd w:val="clear" w:color="auto" w:fill="DEDBD3"/>
          </w:tcPr>
          <w:p>
            <w:pPr>
              <w:spacing w:after="0"/>
              <w:rPr>
                <w:sz w:val="8"/>
                <w:szCs w:val="8"/>
                <w:color w:val="auto"/>
              </w:rPr>
            </w:pPr>
          </w:p>
        </w:tc>
        <w:tc>
          <w:tcPr>
            <w:tcW w:w="2520" w:type="dxa"/>
            <w:vAlign w:val="bottom"/>
            <w:shd w:val="clear" w:color="auto" w:fill="DEDBD3"/>
          </w:tcPr>
          <w:p>
            <w:pPr>
              <w:spacing w:after="0"/>
              <w:rPr>
                <w:sz w:val="8"/>
                <w:szCs w:val="8"/>
                <w:color w:val="auto"/>
              </w:rPr>
            </w:pPr>
          </w:p>
        </w:tc>
        <w:tc>
          <w:tcPr>
            <w:tcW w:w="2400" w:type="dxa"/>
            <w:vAlign w:val="bottom"/>
            <w:shd w:val="clear" w:color="auto" w:fill="DEDBD3"/>
          </w:tcPr>
          <w:p>
            <w:pPr>
              <w:spacing w:after="0"/>
              <w:rPr>
                <w:sz w:val="8"/>
                <w:szCs w:val="8"/>
                <w:color w:val="auto"/>
              </w:rPr>
            </w:pPr>
          </w:p>
        </w:tc>
        <w:tc>
          <w:tcPr>
            <w:tcW w:w="2500" w:type="dxa"/>
            <w:vAlign w:val="bottom"/>
            <w:shd w:val="clear" w:color="auto" w:fill="DEDBD3"/>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200" w:type="dxa"/>
            <w:vAlign w:val="bottom"/>
            <w:shd w:val="clear" w:color="auto" w:fill="FDF9F2"/>
          </w:tcPr>
          <w:p>
            <w:pPr>
              <w:ind w:left="220"/>
              <w:spacing w:after="0"/>
              <w:rPr>
                <w:sz w:val="20"/>
                <w:szCs w:val="20"/>
                <w:color w:val="auto"/>
              </w:rPr>
            </w:pPr>
            <w:r>
              <w:rPr>
                <w:rFonts w:ascii="Arial" w:cs="Arial" w:eastAsia="Arial" w:hAnsi="Arial"/>
                <w:sz w:val="14"/>
                <w:szCs w:val="14"/>
                <w:color w:val="auto"/>
              </w:rPr>
              <w:t>Benefits (3)</w:t>
            </w:r>
          </w:p>
        </w:tc>
        <w:tc>
          <w:tcPr>
            <w:tcW w:w="252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6"/>
              </w:rPr>
              <w:t>$-</w:t>
            </w:r>
          </w:p>
        </w:tc>
        <w:tc>
          <w:tcPr>
            <w:tcW w:w="2400" w:type="dxa"/>
            <w:vAlign w:val="bottom"/>
            <w:shd w:val="clear" w:color="auto" w:fill="FDF9F2"/>
          </w:tcPr>
          <w:p>
            <w:pPr>
              <w:jc w:val="center"/>
              <w:spacing w:after="0"/>
              <w:rPr>
                <w:sz w:val="20"/>
                <w:szCs w:val="20"/>
                <w:color w:val="auto"/>
              </w:rPr>
            </w:pPr>
            <w:r>
              <w:rPr>
                <w:rFonts w:ascii="Arial" w:cs="Arial" w:eastAsia="Arial" w:hAnsi="Arial"/>
                <w:sz w:val="14"/>
                <w:szCs w:val="14"/>
                <w:color w:val="auto"/>
                <w:w w:val="98"/>
              </w:rPr>
              <w:t>$47,426</w:t>
            </w:r>
          </w:p>
        </w:tc>
        <w:tc>
          <w:tcPr>
            <w:tcW w:w="2500" w:type="dxa"/>
            <w:vAlign w:val="bottom"/>
            <w:shd w:val="clear" w:color="auto" w:fill="FDF9F2"/>
          </w:tcPr>
          <w:p>
            <w:pPr>
              <w:jc w:val="center"/>
              <w:ind w:right="17"/>
              <w:spacing w:after="0"/>
              <w:rPr>
                <w:sz w:val="20"/>
                <w:szCs w:val="20"/>
                <w:color w:val="auto"/>
              </w:rPr>
            </w:pPr>
            <w:r>
              <w:rPr>
                <w:rFonts w:ascii="Arial" w:cs="Arial" w:eastAsia="Arial" w:hAnsi="Arial"/>
                <w:sz w:val="14"/>
                <w:szCs w:val="14"/>
                <w:color w:val="auto"/>
                <w:w w:val="98"/>
              </w:rPr>
              <w:t>$47,426</w:t>
            </w:r>
          </w:p>
        </w:tc>
        <w:tc>
          <w:tcPr>
            <w:tcW w:w="0" w:type="dxa"/>
            <w:vAlign w:val="bottom"/>
          </w:tcPr>
          <w:p>
            <w:pPr>
              <w:spacing w:after="0"/>
              <w:rPr>
                <w:sz w:val="1"/>
                <w:szCs w:val="1"/>
                <w:color w:val="auto"/>
              </w:rPr>
            </w:pPr>
          </w:p>
        </w:tc>
      </w:tr>
      <w:tr>
        <w:trPr>
          <w:trHeight w:val="103"/>
        </w:trPr>
        <w:tc>
          <w:tcPr>
            <w:tcW w:w="3200" w:type="dxa"/>
            <w:vAlign w:val="bottom"/>
            <w:shd w:val="clear" w:color="auto" w:fill="FDF9F2"/>
          </w:tcPr>
          <w:p>
            <w:pPr>
              <w:spacing w:after="0"/>
              <w:rPr>
                <w:sz w:val="8"/>
                <w:szCs w:val="8"/>
                <w:color w:val="auto"/>
              </w:rPr>
            </w:pPr>
          </w:p>
        </w:tc>
        <w:tc>
          <w:tcPr>
            <w:tcW w:w="2520" w:type="dxa"/>
            <w:vAlign w:val="bottom"/>
            <w:shd w:val="clear" w:color="auto" w:fill="FDF9F2"/>
          </w:tcPr>
          <w:p>
            <w:pPr>
              <w:spacing w:after="0"/>
              <w:rPr>
                <w:sz w:val="8"/>
                <w:szCs w:val="8"/>
                <w:color w:val="auto"/>
              </w:rPr>
            </w:pPr>
          </w:p>
        </w:tc>
        <w:tc>
          <w:tcPr>
            <w:tcW w:w="2400" w:type="dxa"/>
            <w:vAlign w:val="bottom"/>
            <w:shd w:val="clear" w:color="auto" w:fill="FDF9F2"/>
          </w:tcPr>
          <w:p>
            <w:pPr>
              <w:spacing w:after="0"/>
              <w:rPr>
                <w:sz w:val="8"/>
                <w:szCs w:val="8"/>
                <w:color w:val="auto"/>
              </w:rPr>
            </w:pPr>
          </w:p>
        </w:tc>
        <w:tc>
          <w:tcPr>
            <w:tcW w:w="2500" w:type="dxa"/>
            <w:vAlign w:val="bottom"/>
            <w:shd w:val="clear" w:color="auto" w:fill="FDF9F2"/>
          </w:tcPr>
          <w:p>
            <w:pPr>
              <w:spacing w:after="0"/>
              <w:rPr>
                <w:sz w:val="8"/>
                <w:szCs w:val="8"/>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20" w:right="140" w:hanging="4"/>
        <w:spacing w:after="0" w:line="235" w:lineRule="auto"/>
        <w:tabs>
          <w:tab w:leader="none" w:pos="502" w:val="left"/>
        </w:tabs>
        <w:numPr>
          <w:ilvl w:val="0"/>
          <w:numId w:val="47"/>
        </w:numPr>
        <w:rPr>
          <w:rFonts w:ascii="Arial" w:cs="Arial" w:eastAsia="Arial" w:hAnsi="Arial"/>
          <w:sz w:val="12"/>
          <w:szCs w:val="12"/>
          <w:color w:val="auto"/>
        </w:rPr>
      </w:pPr>
      <w:r>
        <w:rPr>
          <w:rFonts w:ascii="Arial" w:cs="Arial" w:eastAsia="Arial" w:hAnsi="Arial"/>
          <w:sz w:val="12"/>
          <w:szCs w:val="12"/>
          <w:color w:val="auto"/>
        </w:rPr>
        <w:t>Upon a termination due to death, complete disability or by the NEO for change in control, 32,159 shares of restricted stock would vest in full immediately. Using the closing stock price on December 31, 2022, the value of such 32,159 shares would have been $2,652,153 plus accrued dividends of $7,166. At December 31, 2022, 10,383 options are exercisable and in the money. The intrinsic value of such options would have been $245,246 on December 31, 2022.</w:t>
      </w:r>
    </w:p>
    <w:p>
      <w:pPr>
        <w:spacing w:after="0" w:line="88" w:lineRule="exact"/>
        <w:rPr>
          <w:rFonts w:ascii="Arial" w:cs="Arial" w:eastAsia="Arial" w:hAnsi="Arial"/>
          <w:sz w:val="12"/>
          <w:szCs w:val="12"/>
          <w:color w:val="auto"/>
        </w:rPr>
      </w:pPr>
    </w:p>
    <w:p>
      <w:pPr>
        <w:ind w:left="320" w:right="80" w:hanging="4"/>
        <w:spacing w:after="0" w:line="233" w:lineRule="auto"/>
        <w:tabs>
          <w:tab w:leader="none" w:pos="502" w:val="left"/>
        </w:tabs>
        <w:numPr>
          <w:ilvl w:val="0"/>
          <w:numId w:val="47"/>
        </w:numPr>
        <w:rPr>
          <w:rFonts w:ascii="Arial" w:cs="Arial" w:eastAsia="Arial" w:hAnsi="Arial"/>
          <w:sz w:val="12"/>
          <w:szCs w:val="12"/>
          <w:color w:val="auto"/>
        </w:rPr>
      </w:pPr>
      <w:r>
        <w:rPr>
          <w:rFonts w:ascii="Arial" w:cs="Arial" w:eastAsia="Arial" w:hAnsi="Arial"/>
          <w:sz w:val="12"/>
          <w:szCs w:val="12"/>
          <w:color w:val="auto"/>
        </w:rPr>
        <w:t>Upon a termination by the Company without cause or by the NEO upon the Company’s material breach, 13,567 shares of restricted stock would vest on a prorated basis based on the number of months since the grant date, and 6,119 shares of restricted stock would vest based on providing service during any performance period as outlined in Ms. Whittemore’s employment agreement dated January 12, 2022. Using the closing stock price on December 31, 2022, the value of such 13,567 shares and 6,119 shares would have been $1,623,505 plus accrued dividends of $6,872. At December 31, 2022, 10,383 options are exercisable and in the money. The intrinsic value of such options would have been $245,246 on December 31, 2022.</w:t>
      </w:r>
    </w:p>
    <w:p>
      <w:pPr>
        <w:spacing w:after="0" w:line="88" w:lineRule="exact"/>
        <w:rPr>
          <w:rFonts w:ascii="Arial" w:cs="Arial" w:eastAsia="Arial" w:hAnsi="Arial"/>
          <w:sz w:val="12"/>
          <w:szCs w:val="12"/>
          <w:color w:val="auto"/>
        </w:rPr>
      </w:pPr>
    </w:p>
    <w:p>
      <w:pPr>
        <w:ind w:left="500" w:hanging="184"/>
        <w:spacing w:after="0"/>
        <w:tabs>
          <w:tab w:leader="none" w:pos="500" w:val="left"/>
        </w:tabs>
        <w:numPr>
          <w:ilvl w:val="0"/>
          <w:numId w:val="47"/>
        </w:numPr>
        <w:rPr>
          <w:rFonts w:ascii="Arial" w:cs="Arial" w:eastAsia="Arial" w:hAnsi="Arial"/>
          <w:sz w:val="12"/>
          <w:szCs w:val="12"/>
          <w:color w:val="auto"/>
        </w:rPr>
      </w:pPr>
      <w:r>
        <w:rPr>
          <w:rFonts w:ascii="Arial" w:cs="Arial" w:eastAsia="Arial" w:hAnsi="Arial"/>
          <w:sz w:val="12"/>
          <w:szCs w:val="12"/>
          <w:color w:val="auto"/>
        </w:rPr>
        <w:t>Continued health benefits for remainder of the term but not less than 12 months and for a period of twelve months thereafter.</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MADDOX TRANSITION AGREEMENT</w:t>
      </w:r>
    </w:p>
    <w:p>
      <w:pPr>
        <w:spacing w:after="0" w:line="110" w:lineRule="exact"/>
        <w:rPr>
          <w:sz w:val="20"/>
          <w:szCs w:val="20"/>
          <w:color w:val="auto"/>
        </w:rPr>
      </w:pPr>
    </w:p>
    <w:p>
      <w:pPr>
        <w:ind w:left="320" w:right="40"/>
        <w:spacing w:after="0"/>
        <w:rPr>
          <w:sz w:val="20"/>
          <w:szCs w:val="20"/>
          <w:color w:val="auto"/>
        </w:rPr>
      </w:pPr>
      <w:r>
        <w:rPr>
          <w:rFonts w:ascii="Arial" w:cs="Arial" w:eastAsia="Arial" w:hAnsi="Arial"/>
          <w:sz w:val="17"/>
          <w:szCs w:val="17"/>
          <w:color w:val="auto"/>
        </w:rPr>
        <w:t>On November 9, 2021, the Company entered into an agreement with Mr. Maddox (the “Maddox Transition Agreement”) to finalize the term of his transition and departure. In consideration of the terms set forth in the Maddox Transition Agreement, consistent with the separation terms in Mr. Maddox’s existing employment agreement, the Maddox Transition Agreement provided to Mr. Maddox the following: (1) a cash payment equal to $3.0 million, equivalent to eighteen months’ salary; (2) continued participation in the Company’s senior executive health program through December 31, 2022; (3) a cash payment equal to $4.6 million, representing 11/12ths of Mr. Maddox’s annual bonus for 2021, and (4) health care benefits coverage for Mr. Maddox and his dependents which shall be paid for by the Company until the expiration of Mr. Maddox’s continuation coverage under the Consolidated Omnibus Budget Reconciliation Act of 1985. In addition, pursuant to Mr. Maddox’s existing restricted stock agreements, 82,238 unvested shares granted to Mr. Maddox vested on January 31, 2022 (with a fair value of $7.2 million on the date of vesting, including accrued dividends), representing a pro rata share of restricted stock previously granted to Mr. Maddox. Under the Maddox Agreement, Mr. Maddox has executed a waiver and release of claims on behalf of the Company and has agreed to comply with certain perpetual confidentiality obligations as well as post-termination non-competition and non-solicitation obligations through December 31, 2022.</w:t>
      </w:r>
    </w:p>
    <w:p>
      <w:pPr>
        <w:spacing w:after="0" w:line="10"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52 //</w:t>
      </w:r>
    </w:p>
    <w:p>
      <w:pPr>
        <w:sectPr>
          <w:pgSz w:w="11900" w:h="16838" w:orient="portrait"/>
          <w:cols w:equalWidth="0" w:num="1">
            <w:col w:w="10940"/>
          </w:cols>
          <w:pgMar w:left="320" w:top="473" w:right="6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auto"/>
        </w:rPr>
        <w:t>Certain relationships and transactions</w:t>
      </w:r>
    </w:p>
    <w:p>
      <w:pPr>
        <w:spacing w:after="0" w:line="255" w:lineRule="exact"/>
        <w:rPr>
          <w:sz w:val="20"/>
          <w:szCs w:val="20"/>
          <w:color w:val="auto"/>
        </w:rPr>
      </w:pPr>
    </w:p>
    <w:p>
      <w:pPr>
        <w:jc w:val="both"/>
        <w:ind w:left="320"/>
        <w:spacing w:after="0" w:line="239" w:lineRule="auto"/>
        <w:rPr>
          <w:sz w:val="20"/>
          <w:szCs w:val="20"/>
          <w:color w:val="auto"/>
        </w:rPr>
      </w:pPr>
      <w:r>
        <w:rPr>
          <w:rFonts w:ascii="Arial" w:cs="Arial" w:eastAsia="Arial" w:hAnsi="Arial"/>
          <w:sz w:val="17"/>
          <w:szCs w:val="17"/>
          <w:color w:val="auto"/>
        </w:rPr>
        <w:t>Pursuant to written Company policy, the Audit Committee reviews for approval or ratification all transactions with any related person, which SEC rules define to include directors, director nominees, executive officers, beneficial owners of in excess of 5% of the outstanding shares of the Company’s Common Stock, and their respective immediate family members. The policy classifies as pre-approved: (a) employment of executive officers and director compensation if the compensation is required to be reported under Item 402 of Regulation S-K;</w:t>
      </w:r>
    </w:p>
    <w:p>
      <w:pPr>
        <w:spacing w:after="0" w:line="2" w:lineRule="exact"/>
        <w:rPr>
          <w:sz w:val="20"/>
          <w:szCs w:val="20"/>
          <w:color w:val="auto"/>
        </w:rPr>
      </w:pPr>
    </w:p>
    <w:p>
      <w:pPr>
        <w:ind w:left="320" w:right="160" w:hanging="4"/>
        <w:spacing w:after="0" w:line="241"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$200,000 or 5% of that company’s or donee’s total annual revenues; (c) transactions where the related person’s interest arises solely from the ownership of the Company’s stock and all shareholders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Audit Committee receives notice of the occurrence of all pre-approved transactions. All other transactions with related persons are subject to approval or ratification by the Audit Committee. In determining whether to approve or ratify a transaction, the Audit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69" w:lineRule="exact"/>
        <w:rPr>
          <w:sz w:val="20"/>
          <w:szCs w:val="20"/>
          <w:color w:val="auto"/>
        </w:rPr>
      </w:pPr>
    </w:p>
    <w:p>
      <w:pPr>
        <w:jc w:val="both"/>
        <w:ind w:left="320" w:right="200"/>
        <w:spacing w:after="0" w:line="247" w:lineRule="auto"/>
        <w:rPr>
          <w:sz w:val="20"/>
          <w:szCs w:val="20"/>
          <w:color w:val="auto"/>
        </w:rPr>
      </w:pPr>
      <w:r>
        <w:rPr>
          <w:rFonts w:ascii="Arial" w:cs="Arial" w:eastAsia="Arial" w:hAnsi="Arial"/>
          <w:sz w:val="17"/>
          <w:szCs w:val="17"/>
          <w:color w:val="auto"/>
        </w:rPr>
        <w:t>The following are the material transactions or agreements that occurred or were in effect at any time after January 1, 2022, between the Company and related persons. The Audit Committee has approved or ratified all of these transactions that occurred after the date of the adoption of the policy.</w:t>
      </w:r>
    </w:p>
    <w:p>
      <w:pPr>
        <w:spacing w:after="0" w:line="151" w:lineRule="exact"/>
        <w:rPr>
          <w:sz w:val="20"/>
          <w:szCs w:val="20"/>
          <w:color w:val="auto"/>
        </w:rPr>
      </w:pPr>
    </w:p>
    <w:p>
      <w:pPr>
        <w:ind w:left="320" w:right="60"/>
        <w:spacing w:after="0" w:line="243" w:lineRule="auto"/>
        <w:rPr>
          <w:sz w:val="20"/>
          <w:szCs w:val="20"/>
          <w:color w:val="auto"/>
        </w:rPr>
      </w:pPr>
      <w:r>
        <w:rPr>
          <w:rFonts w:ascii="Arial" w:cs="Arial" w:eastAsia="Arial" w:hAnsi="Arial"/>
          <w:sz w:val="17"/>
          <w:szCs w:val="17"/>
          <w:color w:val="794500"/>
        </w:rPr>
        <w:t xml:space="preserve">COOPERATION AGREEMENT. </w:t>
      </w:r>
      <w:r>
        <w:rPr>
          <w:rFonts w:ascii="Arial" w:cs="Arial" w:eastAsia="Arial" w:hAnsi="Arial"/>
          <w:sz w:val="17"/>
          <w:szCs w:val="17"/>
          <w:color w:val="000000"/>
        </w:rPr>
        <w:t>On August 3, 2018, the Company entered into a Cooperation Agreement (the “Cooperation Agreement”)</w:t>
      </w:r>
      <w:r>
        <w:rPr>
          <w:rFonts w:ascii="Arial" w:cs="Arial" w:eastAsia="Arial" w:hAnsi="Arial"/>
          <w:sz w:val="17"/>
          <w:szCs w:val="17"/>
          <w:color w:val="794500"/>
        </w:rPr>
        <w:t xml:space="preserve"> </w:t>
      </w:r>
      <w:r>
        <w:rPr>
          <w:rFonts w:ascii="Arial" w:cs="Arial" w:eastAsia="Arial" w:hAnsi="Arial"/>
          <w:sz w:val="17"/>
          <w:szCs w:val="17"/>
          <w:color w:val="000000"/>
        </w:rPr>
        <w:t>with Elaine P. Wynn (“Ms. Wynn”) regarding the composition of the Company’s Board and certain other matters, including, among other things, the appointment of Mr. Satre to the Board, standstill restrictions, releases, non-disparagement, reimbursement of expenses, and the grant of certain complimentary privileges. The term of the Cooperation Agreement expires on the date that Phil Satre no longer serves as Chair of the Board, unless earlier terminated pursuant to the circumstances described in the Cooperation Agreement.</w:t>
      </w:r>
    </w:p>
    <w:p>
      <w:pPr>
        <w:spacing w:after="0" w:line="155" w:lineRule="exact"/>
        <w:rPr>
          <w:sz w:val="20"/>
          <w:szCs w:val="20"/>
          <w:color w:val="auto"/>
        </w:rPr>
      </w:pPr>
    </w:p>
    <w:p>
      <w:pPr>
        <w:ind w:left="320" w:right="20"/>
        <w:spacing w:after="0" w:line="243" w:lineRule="auto"/>
        <w:rPr>
          <w:sz w:val="20"/>
          <w:szCs w:val="20"/>
          <w:color w:val="auto"/>
        </w:rPr>
      </w:pPr>
      <w:r>
        <w:rPr>
          <w:rFonts w:ascii="Arial" w:cs="Arial" w:eastAsia="Arial" w:hAnsi="Arial"/>
          <w:sz w:val="17"/>
          <w:szCs w:val="17"/>
          <w:color w:val="794500"/>
        </w:rPr>
        <w:t xml:space="preserve">REIMBURSABLE COSTS. </w:t>
      </w:r>
      <w:r>
        <w:rPr>
          <w:rFonts w:ascii="Arial" w:cs="Arial" w:eastAsia="Arial" w:hAnsi="Arial"/>
          <w:sz w:val="17"/>
          <w:szCs w:val="17"/>
          <w:color w:val="000000"/>
        </w:rPr>
        <w:t>The Company periodically provides services to certain executive officers, directors, or former directors of the</w:t>
      </w:r>
      <w:r>
        <w:rPr>
          <w:rFonts w:ascii="Arial" w:cs="Arial" w:eastAsia="Arial" w:hAnsi="Arial"/>
          <w:sz w:val="17"/>
          <w:szCs w:val="17"/>
          <w:color w:val="794500"/>
        </w:rPr>
        <w:t xml:space="preserve"> </w:t>
      </w:r>
      <w:r>
        <w:rPr>
          <w:rFonts w:ascii="Arial" w:cs="Arial" w:eastAsia="Arial" w:hAnsi="Arial"/>
          <w:sz w:val="17"/>
          <w:szCs w:val="17"/>
          <w:color w:val="000000"/>
        </w:rPr>
        <w:t>Company, including the personal use of employees, construction work and other personal services, for which the officers, directors, or former directors reimburse the Company. The Company requires prepayment for any such services, which amounts are replenished on an ongoing basis as needed. As of December 31, 2022, these net deposit balances with the Company were immaterial, as were the services provided.</w:t>
      </w:r>
    </w:p>
    <w:p>
      <w:pPr>
        <w:spacing w:after="0" w:line="168" w:lineRule="exact"/>
        <w:rPr>
          <w:sz w:val="20"/>
          <w:szCs w:val="20"/>
          <w:color w:val="auto"/>
        </w:rPr>
      </w:pPr>
    </w:p>
    <w:p>
      <w:pPr>
        <w:ind w:left="320" w:right="60"/>
        <w:spacing w:after="0" w:line="241" w:lineRule="auto"/>
        <w:rPr>
          <w:sz w:val="20"/>
          <w:szCs w:val="20"/>
          <w:color w:val="auto"/>
        </w:rPr>
      </w:pPr>
      <w:r>
        <w:rPr>
          <w:rFonts w:ascii="Arial" w:cs="Arial" w:eastAsia="Arial" w:hAnsi="Arial"/>
          <w:sz w:val="17"/>
          <w:szCs w:val="17"/>
          <w:color w:val="794500"/>
        </w:rPr>
        <w:t xml:space="preserve">AIRCRAFT ARRANGEMENTS. </w:t>
      </w:r>
      <w:r>
        <w:rPr>
          <w:rFonts w:ascii="Arial" w:cs="Arial" w:eastAsia="Arial" w:hAnsi="Arial"/>
          <w:sz w:val="17"/>
          <w:szCs w:val="17"/>
          <w:color w:val="000000"/>
        </w:rPr>
        <w:t>Named Executive Officers, among other executives, may periodically use the Company’s aircraft for</w:t>
      </w:r>
      <w:r>
        <w:rPr>
          <w:rFonts w:ascii="Arial" w:cs="Arial" w:eastAsia="Arial" w:hAnsi="Arial"/>
          <w:sz w:val="17"/>
          <w:szCs w:val="17"/>
          <w:color w:val="794500"/>
        </w:rPr>
        <w:t xml:space="preserve"> </w:t>
      </w:r>
      <w:r>
        <w:rPr>
          <w:rFonts w:ascii="Arial" w:cs="Arial" w:eastAsia="Arial" w:hAnsi="Arial"/>
          <w:sz w:val="17"/>
          <w:szCs w:val="17"/>
          <w:color w:val="000000"/>
        </w:rPr>
        <w:t>business or personal travel. Should an executive use the Company’s aircraft for personal reasons, they are required to enter into a time-sharing arrangement with the Company, whereby the executive reimburses the Company for the direct, incremental cost associated with the flight. Additionally, the Company is required to include as taxable compensation of an executive, the direct costs that the Company incurs in operating the aircraft where personal passengers accompany the executive on business flights, up to an amount determined by using the Internal Revenue Service Standard Industry Fare Level (SIFL) tables. During 2022, $15,817 was included in Mr. Billings’ taxable compensation for business flights with personal accompaniment, and Mr. Billings reimbursed the Company $9,300 through his deposit account described above for personal use of the aircraft. The Company does not provide tax gross ups related to the value of aircraft usage that is imputed into compensation. Neither Ms. Cameron-Doe nor Ms. Whittemore used the Company’s aircraft for personal travel during 2022.</w:t>
      </w:r>
    </w:p>
    <w:p>
      <w:pPr>
        <w:spacing w:after="0" w:line="158" w:lineRule="exact"/>
        <w:rPr>
          <w:sz w:val="20"/>
          <w:szCs w:val="20"/>
          <w:color w:val="auto"/>
        </w:rPr>
      </w:pPr>
    </w:p>
    <w:p>
      <w:pPr>
        <w:ind w:left="320" w:right="20"/>
        <w:spacing w:after="0" w:line="242" w:lineRule="auto"/>
        <w:rPr>
          <w:sz w:val="20"/>
          <w:szCs w:val="20"/>
          <w:color w:val="auto"/>
        </w:rPr>
      </w:pPr>
      <w:r>
        <w:rPr>
          <w:rFonts w:ascii="Arial" w:cs="Arial" w:eastAsia="Arial" w:hAnsi="Arial"/>
          <w:sz w:val="17"/>
          <w:szCs w:val="17"/>
          <w:color w:val="794500"/>
        </w:rPr>
        <w:t xml:space="preserve">OTHER. </w:t>
      </w:r>
      <w:r>
        <w:rPr>
          <w:rFonts w:ascii="Arial" w:cs="Arial" w:eastAsia="Arial" w:hAnsi="Arial"/>
          <w:sz w:val="17"/>
          <w:szCs w:val="17"/>
          <w:color w:val="000000"/>
        </w:rPr>
        <w:t>In addition to the above, the Company (or its subsidiaries) employs Maryann Pascal, the sister-in-law of Ms. Wynn (who is a</w:t>
      </w:r>
      <w:r>
        <w:rPr>
          <w:rFonts w:ascii="Arial" w:cs="Arial" w:eastAsia="Arial" w:hAnsi="Arial"/>
          <w:sz w:val="17"/>
          <w:szCs w:val="17"/>
          <w:color w:val="794500"/>
        </w:rPr>
        <w:t xml:space="preserve"> </w:t>
      </w:r>
      <w:r>
        <w:rPr>
          <w:rFonts w:ascii="Arial" w:cs="Arial" w:eastAsia="Arial" w:hAnsi="Arial"/>
          <w:sz w:val="17"/>
          <w:szCs w:val="17"/>
          <w:color w:val="000000"/>
        </w:rPr>
        <w:t>beneficial owner of in excess of 5% of the outstanding shares of the Company’s Common Stock), as Vice President – Player Development at Wynn Las Vegas. The Audit Committee of the Company approved the employment arrangement and determined that compensation was at (or below) levels paid to non-family members. Total compensation paid to Ms. Pascal for 2022 included the following amounts calculated in the same manner as the Summary Compensation Table values presented for NEOs: salary of $300,000, stock awards of $30,076, bonus of $110,975, and other compensation of $2,450.</w:t>
      </w:r>
    </w:p>
    <w:p>
      <w:pPr>
        <w:spacing w:after="0" w:line="137"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 53 //</w:t>
      </w:r>
    </w:p>
    <w:p>
      <w:pPr>
        <w:sectPr>
          <w:pgSz w:w="11900" w:h="16838" w:orient="portrait"/>
          <w:cols w:equalWidth="0" w:num="1">
            <w:col w:w="10920"/>
          </w:cols>
          <w:pgMar w:left="320" w:top="473" w:right="65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auto"/>
        </w:rPr>
        <w:t>Pay ratio disclosure</w:t>
      </w:r>
    </w:p>
    <w:p>
      <w:pPr>
        <w:spacing w:after="0" w:line="229" w:lineRule="exact"/>
        <w:rPr>
          <w:sz w:val="20"/>
          <w:szCs w:val="20"/>
          <w:color w:val="auto"/>
        </w:rPr>
      </w:pPr>
    </w:p>
    <w:p>
      <w:pPr>
        <w:jc w:val="both"/>
        <w:ind w:left="320" w:right="120"/>
        <w:spacing w:after="0" w:line="243" w:lineRule="auto"/>
        <w:rPr>
          <w:sz w:val="20"/>
          <w:szCs w:val="20"/>
          <w:color w:val="auto"/>
        </w:rPr>
      </w:pPr>
      <w:r>
        <w:rPr>
          <w:rFonts w:ascii="Arial" w:cs="Arial" w:eastAsia="Arial" w:hAnsi="Arial"/>
          <w:sz w:val="17"/>
          <w:szCs w:val="17"/>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may have different employee populations and compensation practices and may utilize different methodologies, exclusions, estimates and assumptions in calculating their own pay ratios.</w:t>
      </w:r>
    </w:p>
    <w:p>
      <w:pPr>
        <w:spacing w:after="0" w:line="155" w:lineRule="exact"/>
        <w:rPr>
          <w:sz w:val="20"/>
          <w:szCs w:val="20"/>
          <w:color w:val="auto"/>
        </w:rPr>
      </w:pPr>
    </w:p>
    <w:p>
      <w:pPr>
        <w:ind w:left="320"/>
        <w:spacing w:after="0" w:line="241" w:lineRule="auto"/>
        <w:rPr>
          <w:sz w:val="20"/>
          <w:szCs w:val="20"/>
          <w:color w:val="auto"/>
        </w:rPr>
      </w:pPr>
      <w:r>
        <w:rPr>
          <w:rFonts w:ascii="Arial" w:cs="Arial" w:eastAsia="Arial" w:hAnsi="Arial"/>
          <w:sz w:val="17"/>
          <w:szCs w:val="17"/>
          <w:color w:val="auto"/>
        </w:rPr>
        <w:t>The pay ratio reported below is a reasonable estimate calculated in a manner consistent with SEC rules based on our payroll records and the methodology described below. For these purposes, we determined the median compensated employee using taxable income for 2021, which we annualized for any employee who did not work for the entire year unless designated as a temporary employee. We determined that, as of December 31, 2021, our employee population consisted of approximately 27,000 employees, with approximately 45% working in Macau as an employee of Wynn Macau, Limited or one of its subsidiaries. In identifying the median employee, we made a cost-of-living adjustment using the International Monetary Fund’s implied purchasing power conversion rate of 5.00 with respect to employees located in Macau. Using this methodology, we determined that the median employee in 2021 was a full-time, hourly employee located in Massachusetts. We are using the same median employee to compute our 2022 pay ratio because we did not believe that this employee’s compensation had changed significantly or that our employee population had changed significantly in 2022. The 2022 annual total compensation of our median compensated employee, other than our CEO, was $46,164; the 2022 annual total compensation of our CEO, Mr. Billings, was $12,229,087; and the ratio of these amounts was 1-to-265.</w:t>
      </w:r>
    </w:p>
    <w:p>
      <w:pPr>
        <w:spacing w:after="0" w:line="156" w:lineRule="exact"/>
        <w:rPr>
          <w:sz w:val="20"/>
          <w:szCs w:val="20"/>
          <w:color w:val="auto"/>
        </w:rPr>
      </w:pPr>
    </w:p>
    <w:p>
      <w:pPr>
        <w:ind w:left="320" w:right="140"/>
        <w:spacing w:after="0" w:line="243" w:lineRule="auto"/>
        <w:rPr>
          <w:sz w:val="20"/>
          <w:szCs w:val="20"/>
          <w:color w:val="auto"/>
        </w:rPr>
      </w:pPr>
      <w:r>
        <w:rPr>
          <w:rFonts w:ascii="Arial" w:cs="Arial" w:eastAsia="Arial" w:hAnsi="Arial"/>
          <w:sz w:val="17"/>
          <w:szCs w:val="17"/>
          <w:color w:val="auto"/>
        </w:rPr>
        <w:t>To identify the median employee without a cost-of-living adjustment, we converted the compensation paid in Macau currency to U.S. dollars by applying a Macau patacas to U.S. dollars exchange rate using the noon buying rate of exchange of Macau patacas to U.S. dollars of 8.03 on December 31, 2022. For 2022, we did not identify a new median employee for the reasons described above. The 2022 annual total compensation of our median compensated employee, other than our CEO serving as of December 31, 2022, without the cost-of-living adjustment was $41,677; and the ratio of this amount to Mr. Billings’s 2022 annual total compensation was 1-to-293.</w:t>
      </w:r>
    </w:p>
    <w:p>
      <w:pPr>
        <w:spacing w:after="0" w:line="168" w:lineRule="exact"/>
        <w:rPr>
          <w:sz w:val="20"/>
          <w:szCs w:val="20"/>
          <w:color w:val="auto"/>
        </w:rPr>
      </w:pPr>
    </w:p>
    <w:p>
      <w:pPr>
        <w:ind w:left="320"/>
        <w:spacing w:after="0" w:line="242" w:lineRule="auto"/>
        <w:rPr>
          <w:sz w:val="20"/>
          <w:szCs w:val="20"/>
          <w:color w:val="auto"/>
        </w:rPr>
      </w:pPr>
      <w:r>
        <w:rPr>
          <w:rFonts w:ascii="Arial" w:cs="Arial" w:eastAsia="Arial" w:hAnsi="Arial"/>
          <w:sz w:val="17"/>
          <w:szCs w:val="17"/>
          <w:color w:val="auto"/>
        </w:rPr>
        <w:t>We believe the employee population for gaming and hospitality industries includes a large percentage of “steady extra workers.” These are permanent workers who are paid hourly and obtain hours based on business volumes (e.g., coverage during peak times such as when large conventions are in town) and personal needs of the employee. As of December 31, 2022, approximately 18% of our employee population of approximately 27,000 consisted of steady extra workers, most of whom are eligible for medical and other benefits. Based on SEC’s rules, these permanent workers are included in the employee population used in calculating the median employee compensation and may impact comparability of our median employee compensation amount with that in other industries.</w:t>
      </w:r>
    </w:p>
    <w:p>
      <w:pPr>
        <w:spacing w:after="0" w:line="157" w:lineRule="exact"/>
        <w:rPr>
          <w:sz w:val="20"/>
          <w:szCs w:val="20"/>
          <w:color w:val="auto"/>
        </w:rPr>
      </w:pPr>
    </w:p>
    <w:p>
      <w:pPr>
        <w:ind w:left="320" w:right="480"/>
        <w:spacing w:after="0" w:line="245" w:lineRule="auto"/>
        <w:rPr>
          <w:sz w:val="20"/>
          <w:szCs w:val="20"/>
          <w:color w:val="auto"/>
        </w:rPr>
      </w:pPr>
      <w:r>
        <w:rPr>
          <w:rFonts w:ascii="Arial" w:cs="Arial" w:eastAsia="Arial" w:hAnsi="Arial"/>
          <w:sz w:val="17"/>
          <w:szCs w:val="17"/>
          <w:color w:val="auto"/>
        </w:rPr>
        <w:t>Our talented and dedicated employees play an integral role in our overall success and we place great emphasis on creating an environment for our employees to excel and advance. We are committed to the development, health and well-being of our workforce through various programs, benefits and amenities. Please refer to “Our People and Our Stewardship” for additional information.</w:t>
      </w:r>
    </w:p>
    <w:p>
      <w:pPr>
        <w:spacing w:after="0" w:line="1"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54 //</w:t>
      </w:r>
    </w:p>
    <w:p>
      <w:pPr>
        <w:sectPr>
          <w:pgSz w:w="11900" w:h="16838" w:orient="portrait"/>
          <w:cols w:equalWidth="0" w:num="1">
            <w:col w:w="10920"/>
          </w:cols>
          <w:pgMar w:left="320" w:top="473" w:right="65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auto"/>
        </w:rPr>
        <w:t>Security ownership</w:t>
      </w:r>
    </w:p>
    <w:p>
      <w:pPr>
        <w:spacing w:after="0" w:line="34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94500"/>
        </w:rPr>
        <w:t>CERTAIN BENEFICIAL OWNERSHIP AND MANAGEMENT</w:t>
      </w:r>
    </w:p>
    <w:p>
      <w:pPr>
        <w:spacing w:after="0" w:line="6" w:lineRule="exact"/>
        <w:rPr>
          <w:sz w:val="20"/>
          <w:szCs w:val="20"/>
          <w:color w:val="auto"/>
        </w:rPr>
      </w:pPr>
    </w:p>
    <w:p>
      <w:pPr>
        <w:ind w:left="320" w:right="40"/>
        <w:spacing w:after="0" w:line="242" w:lineRule="auto"/>
        <w:rPr>
          <w:sz w:val="20"/>
          <w:szCs w:val="20"/>
          <w:color w:val="auto"/>
        </w:rPr>
      </w:pPr>
      <w:r>
        <w:rPr>
          <w:rFonts w:ascii="Arial" w:cs="Arial" w:eastAsia="Arial" w:hAnsi="Arial"/>
          <w:sz w:val="17"/>
          <w:szCs w:val="17"/>
          <w:color w:val="auto"/>
        </w:rPr>
        <w:t>The following table sets forth, as of March 10, 2023, (unless otherwise indicated), certain information regarding the shares of the Company’s Common Stock beneficially owned by: (i) each director; (ii) each shareholder who is known by the Company to beneficially own in excess of 5% of the outstanding shares of the Company’s Common Stock; (iii) each of the Company’s NEOs; and (iv) all executive officers and directors as a group. Each shareholder’s beneficial ownership and corresponding percentage includes exercisable stock options, restricted shares and performance stock units that become exercisable or may be settled within 60 days of March 10, 2023, at the discretion of the shareholder. The percentage ownership is based on 113,681,662 shares of Common Stock outstanding as of March 10, 2023, and treats as outstanding all options held by that shareholder and exercisable within 60 days of March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123825</wp:posOffset>
            </wp:positionV>
            <wp:extent cx="6740525" cy="52870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40525" cy="5287010"/>
                    </a:xfrm>
                    <a:prstGeom prst="rect">
                      <a:avLst/>
                    </a:prstGeom>
                    <a:noFill/>
                  </pic:spPr>
                </pic:pic>
              </a:graphicData>
            </a:graphic>
          </wp:anchor>
        </w:drawing>
      </w:r>
    </w:p>
    <w:p>
      <w:pPr>
        <w:spacing w:after="0" w:line="175"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8500" w:type="dxa"/>
            <w:vAlign w:val="bottom"/>
            <w:shd w:val="clear" w:color="auto" w:fill="DEDBD3"/>
          </w:tcPr>
          <w:p>
            <w:pPr>
              <w:spacing w:after="0"/>
              <w:rPr>
                <w:sz w:val="16"/>
                <w:szCs w:val="16"/>
                <w:color w:val="auto"/>
              </w:rPr>
            </w:pPr>
          </w:p>
        </w:tc>
        <w:tc>
          <w:tcPr>
            <w:tcW w:w="2120" w:type="dxa"/>
            <w:vAlign w:val="bottom"/>
            <w:gridSpan w:val="2"/>
            <w:shd w:val="clear" w:color="auto" w:fill="DEDBD3"/>
          </w:tcPr>
          <w:p>
            <w:pPr>
              <w:jc w:val="right"/>
              <w:spacing w:after="0"/>
              <w:rPr>
                <w:sz w:val="20"/>
                <w:szCs w:val="20"/>
                <w:color w:val="auto"/>
              </w:rPr>
            </w:pPr>
            <w:r>
              <w:rPr>
                <w:rFonts w:ascii="Arial" w:cs="Arial" w:eastAsia="Arial" w:hAnsi="Arial"/>
                <w:sz w:val="10"/>
                <w:szCs w:val="10"/>
                <w:b w:val="1"/>
                <w:bCs w:val="1"/>
                <w:color w:val="auto"/>
              </w:rPr>
              <w:t>BENEFICIAL OWNERSHIP OF SHARES (1)</w:t>
            </w:r>
          </w:p>
        </w:tc>
      </w:tr>
      <w:tr>
        <w:trPr>
          <w:trHeight w:val="260"/>
        </w:trPr>
        <w:tc>
          <w:tcPr>
            <w:tcW w:w="8500" w:type="dxa"/>
            <w:vAlign w:val="bottom"/>
            <w:shd w:val="clear" w:color="auto" w:fill="DEDBD3"/>
          </w:tcPr>
          <w:p>
            <w:pPr>
              <w:ind w:left="60"/>
              <w:spacing w:after="0"/>
              <w:rPr>
                <w:sz w:val="20"/>
                <w:szCs w:val="20"/>
                <w:color w:val="auto"/>
              </w:rPr>
            </w:pPr>
            <w:r>
              <w:rPr>
                <w:rFonts w:ascii="Arial" w:cs="Arial" w:eastAsia="Arial" w:hAnsi="Arial"/>
                <w:sz w:val="10"/>
                <w:szCs w:val="10"/>
                <w:b w:val="1"/>
                <w:bCs w:val="1"/>
                <w:color w:val="auto"/>
              </w:rPr>
              <w:t>NAME AND ADDRESS OF BENEFICIAL OWNER (2)</w:t>
            </w:r>
          </w:p>
        </w:tc>
        <w:tc>
          <w:tcPr>
            <w:tcW w:w="1240" w:type="dxa"/>
            <w:vAlign w:val="bottom"/>
            <w:shd w:val="clear" w:color="auto" w:fill="DEDBD3"/>
          </w:tcPr>
          <w:p>
            <w:pPr>
              <w:jc w:val="right"/>
              <w:ind w:right="292"/>
              <w:spacing w:after="0"/>
              <w:rPr>
                <w:sz w:val="20"/>
                <w:szCs w:val="20"/>
                <w:color w:val="auto"/>
              </w:rPr>
            </w:pPr>
            <w:r>
              <w:rPr>
                <w:rFonts w:ascii="Arial" w:cs="Arial" w:eastAsia="Arial" w:hAnsi="Arial"/>
                <w:sz w:val="10"/>
                <w:szCs w:val="10"/>
                <w:b w:val="1"/>
                <w:bCs w:val="1"/>
                <w:color w:val="auto"/>
              </w:rPr>
              <w:t>NUMBER</w:t>
            </w:r>
          </w:p>
        </w:tc>
        <w:tc>
          <w:tcPr>
            <w:tcW w:w="880" w:type="dxa"/>
            <w:vAlign w:val="bottom"/>
            <w:shd w:val="clear" w:color="auto" w:fill="DEDBD3"/>
          </w:tcPr>
          <w:p>
            <w:pPr>
              <w:jc w:val="right"/>
              <w:spacing w:after="0"/>
              <w:rPr>
                <w:sz w:val="20"/>
                <w:szCs w:val="20"/>
                <w:color w:val="auto"/>
              </w:rPr>
            </w:pPr>
            <w:r>
              <w:rPr>
                <w:rFonts w:ascii="Arial" w:cs="Arial" w:eastAsia="Arial" w:hAnsi="Arial"/>
                <w:sz w:val="10"/>
                <w:szCs w:val="10"/>
                <w:b w:val="1"/>
                <w:bCs w:val="1"/>
                <w:color w:val="auto"/>
              </w:rPr>
              <w:t>PERCENTAGE</w:t>
            </w:r>
          </w:p>
        </w:tc>
      </w:tr>
      <w:tr>
        <w:trPr>
          <w:trHeight w:val="74"/>
        </w:trPr>
        <w:tc>
          <w:tcPr>
            <w:tcW w:w="8500" w:type="dxa"/>
            <w:vAlign w:val="bottom"/>
            <w:shd w:val="clear" w:color="auto" w:fill="DEDBD3"/>
          </w:tcPr>
          <w:p>
            <w:pPr>
              <w:spacing w:after="0"/>
              <w:rPr>
                <w:sz w:val="6"/>
                <w:szCs w:val="6"/>
                <w:color w:val="auto"/>
              </w:rPr>
            </w:pPr>
          </w:p>
        </w:tc>
        <w:tc>
          <w:tcPr>
            <w:tcW w:w="1240" w:type="dxa"/>
            <w:vAlign w:val="bottom"/>
            <w:shd w:val="clear" w:color="auto" w:fill="DEDBD3"/>
          </w:tcPr>
          <w:p>
            <w:pPr>
              <w:spacing w:after="0"/>
              <w:rPr>
                <w:sz w:val="6"/>
                <w:szCs w:val="6"/>
                <w:color w:val="auto"/>
              </w:rPr>
            </w:pPr>
          </w:p>
        </w:tc>
        <w:tc>
          <w:tcPr>
            <w:tcW w:w="880" w:type="dxa"/>
            <w:vAlign w:val="bottom"/>
            <w:shd w:val="clear" w:color="auto" w:fill="DEDBD3"/>
          </w:tcPr>
          <w:p>
            <w:pPr>
              <w:spacing w:after="0"/>
              <w:rPr>
                <w:sz w:val="6"/>
                <w:szCs w:val="6"/>
                <w:color w:val="auto"/>
              </w:rPr>
            </w:pPr>
          </w:p>
        </w:tc>
      </w:tr>
      <w:tr>
        <w:trPr>
          <w:trHeight w:val="240"/>
        </w:trPr>
        <w:tc>
          <w:tcPr>
            <w:tcW w:w="8500" w:type="dxa"/>
            <w:vAlign w:val="bottom"/>
            <w:tcBorders>
              <w:bottom w:val="single" w:sz="8" w:color="FDF9F2"/>
            </w:tcBorders>
            <w:shd w:val="clear" w:color="auto" w:fill="FDF9F2"/>
          </w:tcPr>
          <w:p>
            <w:pPr>
              <w:ind w:left="60"/>
              <w:spacing w:after="0"/>
              <w:rPr>
                <w:sz w:val="20"/>
                <w:szCs w:val="20"/>
                <w:color w:val="auto"/>
              </w:rPr>
            </w:pPr>
            <w:r>
              <w:rPr>
                <w:rFonts w:ascii="Arial" w:cs="Arial" w:eastAsia="Arial" w:hAnsi="Arial"/>
                <w:sz w:val="14"/>
                <w:szCs w:val="14"/>
                <w:color w:val="auto"/>
              </w:rPr>
              <w:t>5% Shareholders:</w:t>
            </w:r>
          </w:p>
        </w:tc>
        <w:tc>
          <w:tcPr>
            <w:tcW w:w="1240" w:type="dxa"/>
            <w:vAlign w:val="bottom"/>
            <w:tcBorders>
              <w:bottom w:val="single" w:sz="8" w:color="FDF9F2"/>
            </w:tcBorders>
            <w:shd w:val="clear" w:color="auto" w:fill="FDF9F2"/>
          </w:tcPr>
          <w:p>
            <w:pPr>
              <w:spacing w:after="0"/>
              <w:rPr>
                <w:sz w:val="20"/>
                <w:szCs w:val="20"/>
                <w:color w:val="auto"/>
              </w:rPr>
            </w:pPr>
          </w:p>
        </w:tc>
        <w:tc>
          <w:tcPr>
            <w:tcW w:w="880" w:type="dxa"/>
            <w:vAlign w:val="bottom"/>
            <w:tcBorders>
              <w:bottom w:val="single" w:sz="8" w:color="FDF9F2"/>
            </w:tcBorders>
            <w:shd w:val="clear" w:color="auto" w:fill="FDF9F2"/>
          </w:tcPr>
          <w:p>
            <w:pPr>
              <w:spacing w:after="0"/>
              <w:rPr>
                <w:sz w:val="20"/>
                <w:szCs w:val="20"/>
                <w:color w:val="auto"/>
              </w:rPr>
            </w:pPr>
          </w:p>
        </w:tc>
      </w:tr>
      <w:tr>
        <w:trPr>
          <w:trHeight w:val="213"/>
        </w:trPr>
        <w:tc>
          <w:tcPr>
            <w:tcW w:w="8500" w:type="dxa"/>
            <w:vAlign w:val="bottom"/>
            <w:shd w:val="clear" w:color="auto" w:fill="DEDBD3"/>
          </w:tcPr>
          <w:p>
            <w:pPr>
              <w:ind w:left="60"/>
              <w:spacing w:after="0"/>
              <w:rPr>
                <w:sz w:val="20"/>
                <w:szCs w:val="20"/>
                <w:color w:val="auto"/>
              </w:rPr>
            </w:pPr>
            <w:r>
              <w:rPr>
                <w:rFonts w:ascii="Arial" w:cs="Arial" w:eastAsia="Arial" w:hAnsi="Arial"/>
                <w:sz w:val="14"/>
                <w:szCs w:val="14"/>
                <w:color w:val="auto"/>
              </w:rPr>
              <w:t>The Vanguard Group (3)</w:t>
            </w:r>
          </w:p>
        </w:tc>
        <w:tc>
          <w:tcPr>
            <w:tcW w:w="1240" w:type="dxa"/>
            <w:vAlign w:val="bottom"/>
            <w:shd w:val="clear" w:color="auto" w:fill="DEDBD3"/>
          </w:tcPr>
          <w:p>
            <w:pPr>
              <w:spacing w:after="0"/>
              <w:rPr>
                <w:sz w:val="18"/>
                <w:szCs w:val="18"/>
                <w:color w:val="auto"/>
              </w:rPr>
            </w:pPr>
          </w:p>
        </w:tc>
        <w:tc>
          <w:tcPr>
            <w:tcW w:w="880" w:type="dxa"/>
            <w:vAlign w:val="bottom"/>
            <w:shd w:val="clear" w:color="auto" w:fill="DEDBD3"/>
          </w:tcPr>
          <w:p>
            <w:pPr>
              <w:spacing w:after="0"/>
              <w:rPr>
                <w:sz w:val="18"/>
                <w:szCs w:val="18"/>
                <w:color w:val="auto"/>
              </w:rPr>
            </w:pPr>
          </w:p>
        </w:tc>
      </w:tr>
      <w:tr>
        <w:trPr>
          <w:trHeight w:val="156"/>
        </w:trPr>
        <w:tc>
          <w:tcPr>
            <w:tcW w:w="8500" w:type="dxa"/>
            <w:vAlign w:val="bottom"/>
            <w:shd w:val="clear" w:color="auto" w:fill="DEDBD3"/>
          </w:tcPr>
          <w:p>
            <w:pPr>
              <w:ind w:left="220"/>
              <w:spacing w:after="0" w:line="156" w:lineRule="exact"/>
              <w:rPr>
                <w:sz w:val="20"/>
                <w:szCs w:val="20"/>
                <w:color w:val="auto"/>
              </w:rPr>
            </w:pPr>
            <w:r>
              <w:rPr>
                <w:rFonts w:ascii="Arial" w:cs="Arial" w:eastAsia="Arial" w:hAnsi="Arial"/>
                <w:sz w:val="14"/>
                <w:szCs w:val="14"/>
                <w:color w:val="auto"/>
              </w:rPr>
              <w:t>100 Vanguard Blvd.</w:t>
            </w:r>
          </w:p>
        </w:tc>
        <w:tc>
          <w:tcPr>
            <w:tcW w:w="1240" w:type="dxa"/>
            <w:vAlign w:val="bottom"/>
            <w:shd w:val="clear" w:color="auto" w:fill="DEDBD3"/>
          </w:tcPr>
          <w:p>
            <w:pPr>
              <w:spacing w:after="0"/>
              <w:rPr>
                <w:sz w:val="13"/>
                <w:szCs w:val="13"/>
                <w:color w:val="auto"/>
              </w:rPr>
            </w:pPr>
          </w:p>
        </w:tc>
        <w:tc>
          <w:tcPr>
            <w:tcW w:w="880" w:type="dxa"/>
            <w:vAlign w:val="bottom"/>
            <w:shd w:val="clear" w:color="auto" w:fill="DEDBD3"/>
          </w:tcPr>
          <w:p>
            <w:pPr>
              <w:spacing w:after="0"/>
              <w:rPr>
                <w:sz w:val="13"/>
                <w:szCs w:val="13"/>
                <w:color w:val="auto"/>
              </w:rPr>
            </w:pPr>
          </w:p>
        </w:tc>
      </w:tr>
      <w:tr>
        <w:trPr>
          <w:trHeight w:val="197"/>
        </w:trPr>
        <w:tc>
          <w:tcPr>
            <w:tcW w:w="8500" w:type="dxa"/>
            <w:vAlign w:val="bottom"/>
            <w:tcBorders>
              <w:bottom w:val="single" w:sz="8" w:color="DEDBD3"/>
            </w:tcBorders>
            <w:shd w:val="clear" w:color="auto" w:fill="DEDBD3"/>
          </w:tcPr>
          <w:p>
            <w:pPr>
              <w:ind w:left="220"/>
              <w:spacing w:after="0"/>
              <w:rPr>
                <w:sz w:val="20"/>
                <w:szCs w:val="20"/>
                <w:color w:val="auto"/>
              </w:rPr>
            </w:pPr>
            <w:r>
              <w:rPr>
                <w:rFonts w:ascii="Arial" w:cs="Arial" w:eastAsia="Arial" w:hAnsi="Arial"/>
                <w:sz w:val="14"/>
                <w:szCs w:val="14"/>
                <w:color w:val="auto"/>
              </w:rPr>
              <w:t>Malvern, PA 19355</w:t>
            </w:r>
          </w:p>
        </w:tc>
        <w:tc>
          <w:tcPr>
            <w:tcW w:w="1240" w:type="dxa"/>
            <w:vAlign w:val="bottom"/>
            <w:tcBorders>
              <w:bottom w:val="single" w:sz="8" w:color="DEDBD3"/>
            </w:tcBorders>
            <w:shd w:val="clear" w:color="auto" w:fill="DEDBD3"/>
          </w:tcPr>
          <w:p>
            <w:pPr>
              <w:jc w:val="right"/>
              <w:ind w:right="32"/>
              <w:spacing w:after="0"/>
              <w:rPr>
                <w:sz w:val="20"/>
                <w:szCs w:val="20"/>
                <w:color w:val="auto"/>
              </w:rPr>
            </w:pPr>
            <w:r>
              <w:rPr>
                <w:rFonts w:ascii="Arial" w:cs="Arial" w:eastAsia="Arial" w:hAnsi="Arial"/>
                <w:sz w:val="14"/>
                <w:szCs w:val="14"/>
                <w:color w:val="auto"/>
              </w:rPr>
              <w:t>11,132,845</w:t>
            </w:r>
          </w:p>
        </w:tc>
        <w:tc>
          <w:tcPr>
            <w:tcW w:w="880" w:type="dxa"/>
            <w:vAlign w:val="bottom"/>
            <w:tcBorders>
              <w:bottom w:val="single" w:sz="8" w:color="DEDBD3"/>
            </w:tcBorders>
            <w:shd w:val="clear" w:color="auto" w:fill="DEDBD3"/>
          </w:tcPr>
          <w:p>
            <w:pPr>
              <w:jc w:val="right"/>
              <w:spacing w:after="0"/>
              <w:rPr>
                <w:sz w:val="20"/>
                <w:szCs w:val="20"/>
                <w:color w:val="auto"/>
              </w:rPr>
            </w:pPr>
            <w:r>
              <w:rPr>
                <w:rFonts w:ascii="Arial" w:cs="Arial" w:eastAsia="Arial" w:hAnsi="Arial"/>
                <w:sz w:val="14"/>
                <w:szCs w:val="14"/>
                <w:color w:val="auto"/>
              </w:rPr>
              <w:t>9.79%</w:t>
            </w:r>
          </w:p>
        </w:tc>
      </w:tr>
      <w:tr>
        <w:trPr>
          <w:trHeight w:val="213"/>
        </w:trPr>
        <w:tc>
          <w:tcPr>
            <w:tcW w:w="8500" w:type="dxa"/>
            <w:vAlign w:val="bottom"/>
            <w:shd w:val="clear" w:color="auto" w:fill="FDF9F2"/>
          </w:tcPr>
          <w:p>
            <w:pPr>
              <w:ind w:left="60"/>
              <w:spacing w:after="0"/>
              <w:rPr>
                <w:sz w:val="20"/>
                <w:szCs w:val="20"/>
                <w:color w:val="auto"/>
              </w:rPr>
            </w:pPr>
            <w:r>
              <w:rPr>
                <w:rFonts w:ascii="Arial" w:cs="Arial" w:eastAsia="Arial" w:hAnsi="Arial"/>
                <w:sz w:val="14"/>
                <w:szCs w:val="14"/>
                <w:color w:val="auto"/>
              </w:rPr>
              <w:t>Elaine P. Wynn (4)</w:t>
            </w:r>
          </w:p>
        </w:tc>
        <w:tc>
          <w:tcPr>
            <w:tcW w:w="1240" w:type="dxa"/>
            <w:vAlign w:val="bottom"/>
            <w:shd w:val="clear" w:color="auto" w:fill="FDF9F2"/>
          </w:tcPr>
          <w:p>
            <w:pPr>
              <w:spacing w:after="0"/>
              <w:rPr>
                <w:sz w:val="18"/>
                <w:szCs w:val="18"/>
                <w:color w:val="auto"/>
              </w:rPr>
            </w:pPr>
          </w:p>
        </w:tc>
        <w:tc>
          <w:tcPr>
            <w:tcW w:w="880" w:type="dxa"/>
            <w:vAlign w:val="bottom"/>
            <w:shd w:val="clear" w:color="auto" w:fill="FDF9F2"/>
          </w:tcPr>
          <w:p>
            <w:pPr>
              <w:spacing w:after="0"/>
              <w:rPr>
                <w:sz w:val="18"/>
                <w:szCs w:val="18"/>
                <w:color w:val="auto"/>
              </w:rPr>
            </w:pPr>
          </w:p>
        </w:tc>
      </w:tr>
      <w:tr>
        <w:trPr>
          <w:trHeight w:val="156"/>
        </w:trPr>
        <w:tc>
          <w:tcPr>
            <w:tcW w:w="8500" w:type="dxa"/>
            <w:vAlign w:val="bottom"/>
            <w:shd w:val="clear" w:color="auto" w:fill="FDF9F2"/>
          </w:tcPr>
          <w:p>
            <w:pPr>
              <w:ind w:left="220"/>
              <w:spacing w:after="0" w:line="156" w:lineRule="exact"/>
              <w:rPr>
                <w:sz w:val="20"/>
                <w:szCs w:val="20"/>
                <w:color w:val="auto"/>
              </w:rPr>
            </w:pPr>
            <w:r>
              <w:rPr>
                <w:rFonts w:ascii="Arial" w:cs="Arial" w:eastAsia="Arial" w:hAnsi="Arial"/>
                <w:sz w:val="14"/>
                <w:szCs w:val="14"/>
                <w:color w:val="auto"/>
              </w:rPr>
              <w:t>c/o Elaine P. Wynn and Family Foundation</w:t>
            </w:r>
          </w:p>
        </w:tc>
        <w:tc>
          <w:tcPr>
            <w:tcW w:w="1240" w:type="dxa"/>
            <w:vAlign w:val="bottom"/>
            <w:shd w:val="clear" w:color="auto" w:fill="FDF9F2"/>
          </w:tcPr>
          <w:p>
            <w:pPr>
              <w:spacing w:after="0"/>
              <w:rPr>
                <w:sz w:val="13"/>
                <w:szCs w:val="13"/>
                <w:color w:val="auto"/>
              </w:rPr>
            </w:pPr>
          </w:p>
        </w:tc>
        <w:tc>
          <w:tcPr>
            <w:tcW w:w="880" w:type="dxa"/>
            <w:vAlign w:val="bottom"/>
            <w:shd w:val="clear" w:color="auto" w:fill="FDF9F2"/>
          </w:tcPr>
          <w:p>
            <w:pPr>
              <w:spacing w:after="0"/>
              <w:rPr>
                <w:sz w:val="13"/>
                <w:szCs w:val="13"/>
                <w:color w:val="auto"/>
              </w:rPr>
            </w:pPr>
          </w:p>
        </w:tc>
      </w:tr>
      <w:tr>
        <w:trPr>
          <w:trHeight w:val="156"/>
        </w:trPr>
        <w:tc>
          <w:tcPr>
            <w:tcW w:w="8500" w:type="dxa"/>
            <w:vAlign w:val="bottom"/>
            <w:shd w:val="clear" w:color="auto" w:fill="FDF9F2"/>
          </w:tcPr>
          <w:p>
            <w:pPr>
              <w:ind w:left="220"/>
              <w:spacing w:after="0" w:line="156" w:lineRule="exact"/>
              <w:rPr>
                <w:sz w:val="20"/>
                <w:szCs w:val="20"/>
                <w:color w:val="auto"/>
              </w:rPr>
            </w:pPr>
            <w:r>
              <w:rPr>
                <w:rFonts w:ascii="Arial" w:cs="Arial" w:eastAsia="Arial" w:hAnsi="Arial"/>
                <w:sz w:val="14"/>
                <w:szCs w:val="14"/>
                <w:color w:val="auto"/>
              </w:rPr>
              <w:t>3800 Howard Hughes Parkway.</w:t>
            </w:r>
          </w:p>
        </w:tc>
        <w:tc>
          <w:tcPr>
            <w:tcW w:w="1240" w:type="dxa"/>
            <w:vAlign w:val="bottom"/>
            <w:shd w:val="clear" w:color="auto" w:fill="FDF9F2"/>
          </w:tcPr>
          <w:p>
            <w:pPr>
              <w:spacing w:after="0"/>
              <w:rPr>
                <w:sz w:val="13"/>
                <w:szCs w:val="13"/>
                <w:color w:val="auto"/>
              </w:rPr>
            </w:pPr>
          </w:p>
        </w:tc>
        <w:tc>
          <w:tcPr>
            <w:tcW w:w="880" w:type="dxa"/>
            <w:vAlign w:val="bottom"/>
            <w:shd w:val="clear" w:color="auto" w:fill="FDF9F2"/>
          </w:tcPr>
          <w:p>
            <w:pPr>
              <w:spacing w:after="0"/>
              <w:rPr>
                <w:sz w:val="13"/>
                <w:szCs w:val="13"/>
                <w:color w:val="auto"/>
              </w:rPr>
            </w:pPr>
          </w:p>
        </w:tc>
      </w:tr>
      <w:tr>
        <w:trPr>
          <w:trHeight w:val="156"/>
        </w:trPr>
        <w:tc>
          <w:tcPr>
            <w:tcW w:w="8500" w:type="dxa"/>
            <w:vAlign w:val="bottom"/>
            <w:shd w:val="clear" w:color="auto" w:fill="FDF9F2"/>
          </w:tcPr>
          <w:p>
            <w:pPr>
              <w:ind w:left="220"/>
              <w:spacing w:after="0" w:line="156" w:lineRule="exact"/>
              <w:rPr>
                <w:sz w:val="20"/>
                <w:szCs w:val="20"/>
                <w:color w:val="auto"/>
              </w:rPr>
            </w:pPr>
            <w:r>
              <w:rPr>
                <w:rFonts w:ascii="Arial" w:cs="Arial" w:eastAsia="Arial" w:hAnsi="Arial"/>
                <w:sz w:val="14"/>
                <w:szCs w:val="14"/>
                <w:color w:val="auto"/>
              </w:rPr>
              <w:t>Suite 960</w:t>
            </w:r>
          </w:p>
        </w:tc>
        <w:tc>
          <w:tcPr>
            <w:tcW w:w="1240" w:type="dxa"/>
            <w:vAlign w:val="bottom"/>
            <w:shd w:val="clear" w:color="auto" w:fill="FDF9F2"/>
          </w:tcPr>
          <w:p>
            <w:pPr>
              <w:spacing w:after="0"/>
              <w:rPr>
                <w:sz w:val="13"/>
                <w:szCs w:val="13"/>
                <w:color w:val="auto"/>
              </w:rPr>
            </w:pPr>
          </w:p>
        </w:tc>
        <w:tc>
          <w:tcPr>
            <w:tcW w:w="880" w:type="dxa"/>
            <w:vAlign w:val="bottom"/>
            <w:shd w:val="clear" w:color="auto" w:fill="FDF9F2"/>
          </w:tcPr>
          <w:p>
            <w:pPr>
              <w:spacing w:after="0"/>
              <w:rPr>
                <w:sz w:val="13"/>
                <w:szCs w:val="13"/>
                <w:color w:val="auto"/>
              </w:rPr>
            </w:pPr>
          </w:p>
        </w:tc>
      </w:tr>
      <w:tr>
        <w:trPr>
          <w:trHeight w:val="197"/>
        </w:trPr>
        <w:tc>
          <w:tcPr>
            <w:tcW w:w="8500" w:type="dxa"/>
            <w:vAlign w:val="bottom"/>
            <w:tcBorders>
              <w:bottom w:val="single" w:sz="8" w:color="FDF9F2"/>
            </w:tcBorders>
            <w:shd w:val="clear" w:color="auto" w:fill="FDF9F2"/>
          </w:tcPr>
          <w:p>
            <w:pPr>
              <w:ind w:left="220"/>
              <w:spacing w:after="0"/>
              <w:rPr>
                <w:sz w:val="20"/>
                <w:szCs w:val="20"/>
                <w:color w:val="auto"/>
              </w:rPr>
            </w:pPr>
            <w:r>
              <w:rPr>
                <w:rFonts w:ascii="Arial" w:cs="Arial" w:eastAsia="Arial" w:hAnsi="Arial"/>
                <w:sz w:val="14"/>
                <w:szCs w:val="14"/>
                <w:color w:val="auto"/>
              </w:rPr>
              <w:t>Las Vegas, NV 89169</w:t>
            </w:r>
          </w:p>
        </w:tc>
        <w:tc>
          <w:tcPr>
            <w:tcW w:w="1240" w:type="dxa"/>
            <w:vAlign w:val="bottom"/>
            <w:tcBorders>
              <w:bottom w:val="single" w:sz="8" w:color="FDF9F2"/>
            </w:tcBorders>
            <w:shd w:val="clear" w:color="auto" w:fill="FDF9F2"/>
          </w:tcPr>
          <w:p>
            <w:pPr>
              <w:jc w:val="right"/>
              <w:ind w:right="32"/>
              <w:spacing w:after="0"/>
              <w:rPr>
                <w:sz w:val="20"/>
                <w:szCs w:val="20"/>
                <w:color w:val="auto"/>
              </w:rPr>
            </w:pPr>
            <w:r>
              <w:rPr>
                <w:rFonts w:ascii="Arial" w:cs="Arial" w:eastAsia="Arial" w:hAnsi="Arial"/>
                <w:sz w:val="14"/>
                <w:szCs w:val="14"/>
                <w:color w:val="auto"/>
              </w:rPr>
              <w:t>9,539,077</w:t>
            </w:r>
          </w:p>
        </w:tc>
        <w:tc>
          <w:tcPr>
            <w:tcW w:w="880" w:type="dxa"/>
            <w:vAlign w:val="bottom"/>
            <w:tcBorders>
              <w:bottom w:val="single" w:sz="8" w:color="FDF9F2"/>
            </w:tcBorders>
            <w:shd w:val="clear" w:color="auto" w:fill="FDF9F2"/>
          </w:tcPr>
          <w:p>
            <w:pPr>
              <w:jc w:val="right"/>
              <w:spacing w:after="0"/>
              <w:rPr>
                <w:sz w:val="20"/>
                <w:szCs w:val="20"/>
                <w:color w:val="auto"/>
              </w:rPr>
            </w:pPr>
            <w:r>
              <w:rPr>
                <w:rFonts w:ascii="Arial" w:cs="Arial" w:eastAsia="Arial" w:hAnsi="Arial"/>
                <w:sz w:val="14"/>
                <w:szCs w:val="14"/>
                <w:color w:val="auto"/>
              </w:rPr>
              <w:t>8.39%</w:t>
            </w:r>
          </w:p>
        </w:tc>
      </w:tr>
      <w:tr>
        <w:trPr>
          <w:trHeight w:val="213"/>
        </w:trPr>
        <w:tc>
          <w:tcPr>
            <w:tcW w:w="8500" w:type="dxa"/>
            <w:vAlign w:val="bottom"/>
            <w:shd w:val="clear" w:color="auto" w:fill="DEDBD3"/>
          </w:tcPr>
          <w:p>
            <w:pPr>
              <w:ind w:left="60"/>
              <w:spacing w:after="0"/>
              <w:rPr>
                <w:sz w:val="20"/>
                <w:szCs w:val="20"/>
                <w:color w:val="auto"/>
              </w:rPr>
            </w:pPr>
            <w:r>
              <w:rPr>
                <w:rFonts w:ascii="Arial" w:cs="Arial" w:eastAsia="Arial" w:hAnsi="Arial"/>
                <w:sz w:val="14"/>
                <w:szCs w:val="14"/>
                <w:color w:val="auto"/>
              </w:rPr>
              <w:t>T-Rowe Price Associates Inc. (5)</w:t>
            </w:r>
          </w:p>
        </w:tc>
        <w:tc>
          <w:tcPr>
            <w:tcW w:w="1240" w:type="dxa"/>
            <w:vAlign w:val="bottom"/>
            <w:shd w:val="clear" w:color="auto" w:fill="DEDBD3"/>
          </w:tcPr>
          <w:p>
            <w:pPr>
              <w:spacing w:after="0"/>
              <w:rPr>
                <w:sz w:val="18"/>
                <w:szCs w:val="18"/>
                <w:color w:val="auto"/>
              </w:rPr>
            </w:pPr>
          </w:p>
        </w:tc>
        <w:tc>
          <w:tcPr>
            <w:tcW w:w="880" w:type="dxa"/>
            <w:vAlign w:val="bottom"/>
            <w:shd w:val="clear" w:color="auto" w:fill="DEDBD3"/>
          </w:tcPr>
          <w:p>
            <w:pPr>
              <w:spacing w:after="0"/>
              <w:rPr>
                <w:sz w:val="18"/>
                <w:szCs w:val="18"/>
                <w:color w:val="auto"/>
              </w:rPr>
            </w:pPr>
          </w:p>
        </w:tc>
      </w:tr>
      <w:tr>
        <w:trPr>
          <w:trHeight w:val="156"/>
        </w:trPr>
        <w:tc>
          <w:tcPr>
            <w:tcW w:w="8500" w:type="dxa"/>
            <w:vAlign w:val="bottom"/>
            <w:shd w:val="clear" w:color="auto" w:fill="DEDBD3"/>
          </w:tcPr>
          <w:p>
            <w:pPr>
              <w:ind w:left="220"/>
              <w:spacing w:after="0" w:line="156" w:lineRule="exact"/>
              <w:rPr>
                <w:sz w:val="20"/>
                <w:szCs w:val="20"/>
                <w:color w:val="auto"/>
              </w:rPr>
            </w:pPr>
            <w:r>
              <w:rPr>
                <w:rFonts w:ascii="Arial" w:cs="Arial" w:eastAsia="Arial" w:hAnsi="Arial"/>
                <w:sz w:val="14"/>
                <w:szCs w:val="14"/>
                <w:color w:val="auto"/>
              </w:rPr>
              <w:t>100 East Pratt St.</w:t>
            </w:r>
          </w:p>
        </w:tc>
        <w:tc>
          <w:tcPr>
            <w:tcW w:w="1240" w:type="dxa"/>
            <w:vAlign w:val="bottom"/>
            <w:shd w:val="clear" w:color="auto" w:fill="DEDBD3"/>
          </w:tcPr>
          <w:p>
            <w:pPr>
              <w:spacing w:after="0"/>
              <w:rPr>
                <w:sz w:val="13"/>
                <w:szCs w:val="13"/>
                <w:color w:val="auto"/>
              </w:rPr>
            </w:pPr>
          </w:p>
        </w:tc>
        <w:tc>
          <w:tcPr>
            <w:tcW w:w="880" w:type="dxa"/>
            <w:vAlign w:val="bottom"/>
            <w:shd w:val="clear" w:color="auto" w:fill="DEDBD3"/>
          </w:tcPr>
          <w:p>
            <w:pPr>
              <w:spacing w:after="0"/>
              <w:rPr>
                <w:sz w:val="13"/>
                <w:szCs w:val="13"/>
                <w:color w:val="auto"/>
              </w:rPr>
            </w:pPr>
          </w:p>
        </w:tc>
      </w:tr>
      <w:tr>
        <w:trPr>
          <w:trHeight w:val="197"/>
        </w:trPr>
        <w:tc>
          <w:tcPr>
            <w:tcW w:w="8500" w:type="dxa"/>
            <w:vAlign w:val="bottom"/>
            <w:tcBorders>
              <w:bottom w:val="single" w:sz="8" w:color="DEDBD3"/>
            </w:tcBorders>
            <w:shd w:val="clear" w:color="auto" w:fill="DEDBD3"/>
          </w:tcPr>
          <w:p>
            <w:pPr>
              <w:ind w:left="220"/>
              <w:spacing w:after="0"/>
              <w:rPr>
                <w:sz w:val="20"/>
                <w:szCs w:val="20"/>
                <w:color w:val="auto"/>
              </w:rPr>
            </w:pPr>
            <w:r>
              <w:rPr>
                <w:rFonts w:ascii="Arial" w:cs="Arial" w:eastAsia="Arial" w:hAnsi="Arial"/>
                <w:sz w:val="14"/>
                <w:szCs w:val="14"/>
                <w:color w:val="auto"/>
              </w:rPr>
              <w:t>Baltimore, MD 21202</w:t>
            </w:r>
          </w:p>
        </w:tc>
        <w:tc>
          <w:tcPr>
            <w:tcW w:w="1240" w:type="dxa"/>
            <w:vAlign w:val="bottom"/>
            <w:tcBorders>
              <w:bottom w:val="single" w:sz="8" w:color="DEDBD3"/>
            </w:tcBorders>
            <w:shd w:val="clear" w:color="auto" w:fill="DEDBD3"/>
          </w:tcPr>
          <w:p>
            <w:pPr>
              <w:jc w:val="right"/>
              <w:ind w:right="32"/>
              <w:spacing w:after="0"/>
              <w:rPr>
                <w:sz w:val="20"/>
                <w:szCs w:val="20"/>
                <w:color w:val="auto"/>
              </w:rPr>
            </w:pPr>
            <w:r>
              <w:rPr>
                <w:rFonts w:ascii="Arial" w:cs="Arial" w:eastAsia="Arial" w:hAnsi="Arial"/>
                <w:sz w:val="14"/>
                <w:szCs w:val="14"/>
                <w:color w:val="auto"/>
              </w:rPr>
              <w:t>8,638,226</w:t>
            </w:r>
          </w:p>
        </w:tc>
        <w:tc>
          <w:tcPr>
            <w:tcW w:w="880" w:type="dxa"/>
            <w:vAlign w:val="bottom"/>
            <w:tcBorders>
              <w:bottom w:val="single" w:sz="8" w:color="DEDBD3"/>
            </w:tcBorders>
            <w:shd w:val="clear" w:color="auto" w:fill="DEDBD3"/>
          </w:tcPr>
          <w:p>
            <w:pPr>
              <w:jc w:val="right"/>
              <w:spacing w:after="0"/>
              <w:rPr>
                <w:sz w:val="20"/>
                <w:szCs w:val="20"/>
                <w:color w:val="auto"/>
              </w:rPr>
            </w:pPr>
            <w:r>
              <w:rPr>
                <w:rFonts w:ascii="Arial" w:cs="Arial" w:eastAsia="Arial" w:hAnsi="Arial"/>
                <w:sz w:val="14"/>
                <w:szCs w:val="14"/>
                <w:color w:val="auto"/>
              </w:rPr>
              <w:t>7.60%</w:t>
            </w:r>
          </w:p>
        </w:tc>
      </w:tr>
      <w:tr>
        <w:trPr>
          <w:trHeight w:val="213"/>
        </w:trPr>
        <w:tc>
          <w:tcPr>
            <w:tcW w:w="8500" w:type="dxa"/>
            <w:vAlign w:val="bottom"/>
            <w:shd w:val="clear" w:color="auto" w:fill="FDF9F2"/>
          </w:tcPr>
          <w:p>
            <w:pPr>
              <w:ind w:left="60"/>
              <w:spacing w:after="0"/>
              <w:rPr>
                <w:sz w:val="20"/>
                <w:szCs w:val="20"/>
                <w:color w:val="auto"/>
              </w:rPr>
            </w:pPr>
            <w:r>
              <w:rPr>
                <w:rFonts w:ascii="Arial" w:cs="Arial" w:eastAsia="Arial" w:hAnsi="Arial"/>
                <w:sz w:val="14"/>
                <w:szCs w:val="14"/>
                <w:color w:val="auto"/>
              </w:rPr>
              <w:t>Capital International Investors (6)</w:t>
            </w:r>
          </w:p>
        </w:tc>
        <w:tc>
          <w:tcPr>
            <w:tcW w:w="1240" w:type="dxa"/>
            <w:vAlign w:val="bottom"/>
            <w:shd w:val="clear" w:color="auto" w:fill="FDF9F2"/>
          </w:tcPr>
          <w:p>
            <w:pPr>
              <w:spacing w:after="0"/>
              <w:rPr>
                <w:sz w:val="18"/>
                <w:szCs w:val="18"/>
                <w:color w:val="auto"/>
              </w:rPr>
            </w:pPr>
          </w:p>
        </w:tc>
        <w:tc>
          <w:tcPr>
            <w:tcW w:w="880" w:type="dxa"/>
            <w:vAlign w:val="bottom"/>
            <w:shd w:val="clear" w:color="auto" w:fill="FDF9F2"/>
          </w:tcPr>
          <w:p>
            <w:pPr>
              <w:spacing w:after="0"/>
              <w:rPr>
                <w:sz w:val="18"/>
                <w:szCs w:val="18"/>
                <w:color w:val="auto"/>
              </w:rPr>
            </w:pPr>
          </w:p>
        </w:tc>
      </w:tr>
      <w:tr>
        <w:trPr>
          <w:trHeight w:val="156"/>
        </w:trPr>
        <w:tc>
          <w:tcPr>
            <w:tcW w:w="8500" w:type="dxa"/>
            <w:vAlign w:val="bottom"/>
            <w:shd w:val="clear" w:color="auto" w:fill="FDF9F2"/>
          </w:tcPr>
          <w:p>
            <w:pPr>
              <w:ind w:left="220"/>
              <w:spacing w:after="0" w:line="156" w:lineRule="exact"/>
              <w:rPr>
                <w:sz w:val="20"/>
                <w:szCs w:val="20"/>
                <w:color w:val="auto"/>
              </w:rPr>
            </w:pPr>
            <w:r>
              <w:rPr>
                <w:rFonts w:ascii="Arial" w:cs="Arial" w:eastAsia="Arial" w:hAnsi="Arial"/>
                <w:sz w:val="14"/>
                <w:szCs w:val="14"/>
                <w:color w:val="auto"/>
              </w:rPr>
              <w:t>333 South Hope St.</w:t>
            </w:r>
          </w:p>
        </w:tc>
        <w:tc>
          <w:tcPr>
            <w:tcW w:w="1240" w:type="dxa"/>
            <w:vAlign w:val="bottom"/>
            <w:shd w:val="clear" w:color="auto" w:fill="FDF9F2"/>
          </w:tcPr>
          <w:p>
            <w:pPr>
              <w:spacing w:after="0"/>
              <w:rPr>
                <w:sz w:val="13"/>
                <w:szCs w:val="13"/>
                <w:color w:val="auto"/>
              </w:rPr>
            </w:pPr>
          </w:p>
        </w:tc>
        <w:tc>
          <w:tcPr>
            <w:tcW w:w="880" w:type="dxa"/>
            <w:vAlign w:val="bottom"/>
            <w:shd w:val="clear" w:color="auto" w:fill="FDF9F2"/>
          </w:tcPr>
          <w:p>
            <w:pPr>
              <w:spacing w:after="0"/>
              <w:rPr>
                <w:sz w:val="13"/>
                <w:szCs w:val="13"/>
                <w:color w:val="auto"/>
              </w:rPr>
            </w:pPr>
          </w:p>
        </w:tc>
      </w:tr>
      <w:tr>
        <w:trPr>
          <w:trHeight w:val="197"/>
        </w:trPr>
        <w:tc>
          <w:tcPr>
            <w:tcW w:w="8500" w:type="dxa"/>
            <w:vAlign w:val="bottom"/>
            <w:tcBorders>
              <w:bottom w:val="single" w:sz="8" w:color="FDF9F2"/>
            </w:tcBorders>
            <w:shd w:val="clear" w:color="auto" w:fill="FDF9F2"/>
          </w:tcPr>
          <w:p>
            <w:pPr>
              <w:ind w:left="220"/>
              <w:spacing w:after="0"/>
              <w:rPr>
                <w:sz w:val="20"/>
                <w:szCs w:val="20"/>
                <w:color w:val="auto"/>
              </w:rPr>
            </w:pPr>
            <w:r>
              <w:rPr>
                <w:rFonts w:ascii="Arial" w:cs="Arial" w:eastAsia="Arial" w:hAnsi="Arial"/>
                <w:sz w:val="14"/>
                <w:szCs w:val="14"/>
                <w:color w:val="auto"/>
              </w:rPr>
              <w:t>Los Angeles, CA 90071</w:t>
            </w:r>
          </w:p>
        </w:tc>
        <w:tc>
          <w:tcPr>
            <w:tcW w:w="1240" w:type="dxa"/>
            <w:vAlign w:val="bottom"/>
            <w:tcBorders>
              <w:bottom w:val="single" w:sz="8" w:color="FDF9F2"/>
            </w:tcBorders>
            <w:shd w:val="clear" w:color="auto" w:fill="FDF9F2"/>
          </w:tcPr>
          <w:p>
            <w:pPr>
              <w:jc w:val="right"/>
              <w:ind w:right="32"/>
              <w:spacing w:after="0"/>
              <w:rPr>
                <w:sz w:val="20"/>
                <w:szCs w:val="20"/>
                <w:color w:val="auto"/>
              </w:rPr>
            </w:pPr>
            <w:r>
              <w:rPr>
                <w:rFonts w:ascii="Arial" w:cs="Arial" w:eastAsia="Arial" w:hAnsi="Arial"/>
                <w:sz w:val="14"/>
                <w:szCs w:val="14"/>
                <w:color w:val="auto"/>
              </w:rPr>
              <w:t>8,022,231</w:t>
            </w:r>
          </w:p>
        </w:tc>
        <w:tc>
          <w:tcPr>
            <w:tcW w:w="880" w:type="dxa"/>
            <w:vAlign w:val="bottom"/>
            <w:tcBorders>
              <w:bottom w:val="single" w:sz="8" w:color="FDF9F2"/>
            </w:tcBorders>
            <w:shd w:val="clear" w:color="auto" w:fill="FDF9F2"/>
          </w:tcPr>
          <w:p>
            <w:pPr>
              <w:jc w:val="right"/>
              <w:spacing w:after="0"/>
              <w:rPr>
                <w:sz w:val="20"/>
                <w:szCs w:val="20"/>
                <w:color w:val="auto"/>
              </w:rPr>
            </w:pPr>
            <w:r>
              <w:rPr>
                <w:rFonts w:ascii="Arial" w:cs="Arial" w:eastAsia="Arial" w:hAnsi="Arial"/>
                <w:sz w:val="14"/>
                <w:szCs w:val="14"/>
                <w:color w:val="auto"/>
              </w:rPr>
              <w:t>7.06%</w:t>
            </w:r>
          </w:p>
        </w:tc>
      </w:tr>
      <w:tr>
        <w:trPr>
          <w:trHeight w:val="213"/>
        </w:trPr>
        <w:tc>
          <w:tcPr>
            <w:tcW w:w="8500" w:type="dxa"/>
            <w:vAlign w:val="bottom"/>
            <w:shd w:val="clear" w:color="auto" w:fill="DEDBD3"/>
          </w:tcPr>
          <w:p>
            <w:pPr>
              <w:ind w:left="60"/>
              <w:spacing w:after="0"/>
              <w:rPr>
                <w:sz w:val="20"/>
                <w:szCs w:val="20"/>
                <w:color w:val="auto"/>
              </w:rPr>
            </w:pPr>
            <w:r>
              <w:rPr>
                <w:rFonts w:ascii="Arial" w:cs="Arial" w:eastAsia="Arial" w:hAnsi="Arial"/>
                <w:sz w:val="14"/>
                <w:szCs w:val="14"/>
                <w:color w:val="auto"/>
              </w:rPr>
              <w:t>Tilman J. Fertitta (7)</w:t>
            </w:r>
          </w:p>
        </w:tc>
        <w:tc>
          <w:tcPr>
            <w:tcW w:w="1240" w:type="dxa"/>
            <w:vAlign w:val="bottom"/>
            <w:shd w:val="clear" w:color="auto" w:fill="DEDBD3"/>
          </w:tcPr>
          <w:p>
            <w:pPr>
              <w:spacing w:after="0"/>
              <w:rPr>
                <w:sz w:val="18"/>
                <w:szCs w:val="18"/>
                <w:color w:val="auto"/>
              </w:rPr>
            </w:pPr>
          </w:p>
        </w:tc>
        <w:tc>
          <w:tcPr>
            <w:tcW w:w="880" w:type="dxa"/>
            <w:vAlign w:val="bottom"/>
            <w:shd w:val="clear" w:color="auto" w:fill="DEDBD3"/>
          </w:tcPr>
          <w:p>
            <w:pPr>
              <w:spacing w:after="0"/>
              <w:rPr>
                <w:sz w:val="18"/>
                <w:szCs w:val="18"/>
                <w:color w:val="auto"/>
              </w:rPr>
            </w:pPr>
          </w:p>
        </w:tc>
      </w:tr>
      <w:tr>
        <w:trPr>
          <w:trHeight w:val="156"/>
        </w:trPr>
        <w:tc>
          <w:tcPr>
            <w:tcW w:w="8500" w:type="dxa"/>
            <w:vAlign w:val="bottom"/>
            <w:shd w:val="clear" w:color="auto" w:fill="DEDBD3"/>
          </w:tcPr>
          <w:p>
            <w:pPr>
              <w:ind w:left="220"/>
              <w:spacing w:after="0" w:line="156" w:lineRule="exact"/>
              <w:rPr>
                <w:sz w:val="20"/>
                <w:szCs w:val="20"/>
                <w:color w:val="auto"/>
              </w:rPr>
            </w:pPr>
            <w:r>
              <w:rPr>
                <w:rFonts w:ascii="Arial" w:cs="Arial" w:eastAsia="Arial" w:hAnsi="Arial"/>
                <w:sz w:val="14"/>
                <w:szCs w:val="14"/>
                <w:color w:val="auto"/>
              </w:rPr>
              <w:t>c/o Fertitta Entertainment, Inc.</w:t>
            </w:r>
          </w:p>
        </w:tc>
        <w:tc>
          <w:tcPr>
            <w:tcW w:w="1240" w:type="dxa"/>
            <w:vAlign w:val="bottom"/>
            <w:shd w:val="clear" w:color="auto" w:fill="DEDBD3"/>
          </w:tcPr>
          <w:p>
            <w:pPr>
              <w:spacing w:after="0"/>
              <w:rPr>
                <w:sz w:val="13"/>
                <w:szCs w:val="13"/>
                <w:color w:val="auto"/>
              </w:rPr>
            </w:pPr>
          </w:p>
        </w:tc>
        <w:tc>
          <w:tcPr>
            <w:tcW w:w="880" w:type="dxa"/>
            <w:vAlign w:val="bottom"/>
            <w:shd w:val="clear" w:color="auto" w:fill="DEDBD3"/>
          </w:tcPr>
          <w:p>
            <w:pPr>
              <w:spacing w:after="0"/>
              <w:rPr>
                <w:sz w:val="13"/>
                <w:szCs w:val="13"/>
                <w:color w:val="auto"/>
              </w:rPr>
            </w:pPr>
          </w:p>
        </w:tc>
      </w:tr>
      <w:tr>
        <w:trPr>
          <w:trHeight w:val="156"/>
        </w:trPr>
        <w:tc>
          <w:tcPr>
            <w:tcW w:w="8500" w:type="dxa"/>
            <w:vAlign w:val="bottom"/>
            <w:shd w:val="clear" w:color="auto" w:fill="DEDBD3"/>
          </w:tcPr>
          <w:p>
            <w:pPr>
              <w:ind w:left="220"/>
              <w:spacing w:after="0" w:line="156" w:lineRule="exact"/>
              <w:rPr>
                <w:sz w:val="20"/>
                <w:szCs w:val="20"/>
                <w:color w:val="auto"/>
              </w:rPr>
            </w:pPr>
            <w:r>
              <w:rPr>
                <w:rFonts w:ascii="Arial" w:cs="Arial" w:eastAsia="Arial" w:hAnsi="Arial"/>
                <w:sz w:val="14"/>
                <w:szCs w:val="14"/>
                <w:color w:val="auto"/>
              </w:rPr>
              <w:t>1510 West Loop South.</w:t>
            </w:r>
          </w:p>
        </w:tc>
        <w:tc>
          <w:tcPr>
            <w:tcW w:w="1240" w:type="dxa"/>
            <w:vAlign w:val="bottom"/>
            <w:shd w:val="clear" w:color="auto" w:fill="DEDBD3"/>
          </w:tcPr>
          <w:p>
            <w:pPr>
              <w:spacing w:after="0"/>
              <w:rPr>
                <w:sz w:val="13"/>
                <w:szCs w:val="13"/>
                <w:color w:val="auto"/>
              </w:rPr>
            </w:pPr>
          </w:p>
        </w:tc>
        <w:tc>
          <w:tcPr>
            <w:tcW w:w="880" w:type="dxa"/>
            <w:vAlign w:val="bottom"/>
            <w:shd w:val="clear" w:color="auto" w:fill="DEDBD3"/>
          </w:tcPr>
          <w:p>
            <w:pPr>
              <w:spacing w:after="0"/>
              <w:rPr>
                <w:sz w:val="13"/>
                <w:szCs w:val="13"/>
                <w:color w:val="auto"/>
              </w:rPr>
            </w:pPr>
          </w:p>
        </w:tc>
      </w:tr>
      <w:tr>
        <w:trPr>
          <w:trHeight w:val="197"/>
        </w:trPr>
        <w:tc>
          <w:tcPr>
            <w:tcW w:w="8500" w:type="dxa"/>
            <w:vAlign w:val="bottom"/>
            <w:tcBorders>
              <w:bottom w:val="single" w:sz="8" w:color="DEDBD3"/>
            </w:tcBorders>
            <w:shd w:val="clear" w:color="auto" w:fill="DEDBD3"/>
          </w:tcPr>
          <w:p>
            <w:pPr>
              <w:ind w:left="220"/>
              <w:spacing w:after="0"/>
              <w:rPr>
                <w:sz w:val="20"/>
                <w:szCs w:val="20"/>
                <w:color w:val="auto"/>
              </w:rPr>
            </w:pPr>
            <w:r>
              <w:rPr>
                <w:rFonts w:ascii="Arial" w:cs="Arial" w:eastAsia="Arial" w:hAnsi="Arial"/>
                <w:sz w:val="14"/>
                <w:szCs w:val="14"/>
                <w:color w:val="auto"/>
              </w:rPr>
              <w:t>Houston, TX 77027</w:t>
            </w:r>
          </w:p>
        </w:tc>
        <w:tc>
          <w:tcPr>
            <w:tcW w:w="1240" w:type="dxa"/>
            <w:vAlign w:val="bottom"/>
            <w:tcBorders>
              <w:bottom w:val="single" w:sz="8" w:color="DEDBD3"/>
            </w:tcBorders>
            <w:shd w:val="clear" w:color="auto" w:fill="DEDBD3"/>
          </w:tcPr>
          <w:p>
            <w:pPr>
              <w:jc w:val="right"/>
              <w:ind w:right="32"/>
              <w:spacing w:after="0"/>
              <w:rPr>
                <w:sz w:val="20"/>
                <w:szCs w:val="20"/>
                <w:color w:val="auto"/>
              </w:rPr>
            </w:pPr>
            <w:r>
              <w:rPr>
                <w:rFonts w:ascii="Arial" w:cs="Arial" w:eastAsia="Arial" w:hAnsi="Arial"/>
                <w:sz w:val="14"/>
                <w:szCs w:val="14"/>
                <w:color w:val="auto"/>
              </w:rPr>
              <w:t>6,917,551</w:t>
            </w:r>
          </w:p>
        </w:tc>
        <w:tc>
          <w:tcPr>
            <w:tcW w:w="880" w:type="dxa"/>
            <w:vAlign w:val="bottom"/>
            <w:tcBorders>
              <w:bottom w:val="single" w:sz="8" w:color="DEDBD3"/>
            </w:tcBorders>
            <w:shd w:val="clear" w:color="auto" w:fill="DEDBD3"/>
          </w:tcPr>
          <w:p>
            <w:pPr>
              <w:jc w:val="right"/>
              <w:spacing w:after="0"/>
              <w:rPr>
                <w:sz w:val="20"/>
                <w:szCs w:val="20"/>
                <w:color w:val="auto"/>
              </w:rPr>
            </w:pPr>
            <w:r>
              <w:rPr>
                <w:rFonts w:ascii="Arial" w:cs="Arial" w:eastAsia="Arial" w:hAnsi="Arial"/>
                <w:sz w:val="14"/>
                <w:szCs w:val="14"/>
                <w:color w:val="auto"/>
              </w:rPr>
              <w:t>6.09%</w:t>
            </w:r>
          </w:p>
        </w:tc>
      </w:tr>
      <w:tr>
        <w:trPr>
          <w:trHeight w:val="213"/>
        </w:trPr>
        <w:tc>
          <w:tcPr>
            <w:tcW w:w="8500" w:type="dxa"/>
            <w:vAlign w:val="bottom"/>
            <w:shd w:val="clear" w:color="auto" w:fill="FDF9F2"/>
          </w:tcPr>
          <w:p>
            <w:pPr>
              <w:ind w:left="100"/>
              <w:spacing w:after="0"/>
              <w:rPr>
                <w:sz w:val="20"/>
                <w:szCs w:val="20"/>
                <w:color w:val="auto"/>
              </w:rPr>
            </w:pPr>
            <w:r>
              <w:rPr>
                <w:rFonts w:ascii="Arial" w:cs="Arial" w:eastAsia="Arial" w:hAnsi="Arial"/>
                <w:sz w:val="14"/>
                <w:szCs w:val="14"/>
                <w:color w:val="auto"/>
              </w:rPr>
              <w:t>Blackrock Inc. (8)</w:t>
            </w:r>
          </w:p>
        </w:tc>
        <w:tc>
          <w:tcPr>
            <w:tcW w:w="1240" w:type="dxa"/>
            <w:vAlign w:val="bottom"/>
            <w:shd w:val="clear" w:color="auto" w:fill="FDF9F2"/>
          </w:tcPr>
          <w:p>
            <w:pPr>
              <w:spacing w:after="0"/>
              <w:rPr>
                <w:sz w:val="18"/>
                <w:szCs w:val="18"/>
                <w:color w:val="auto"/>
              </w:rPr>
            </w:pPr>
          </w:p>
        </w:tc>
        <w:tc>
          <w:tcPr>
            <w:tcW w:w="880" w:type="dxa"/>
            <w:vAlign w:val="bottom"/>
            <w:shd w:val="clear" w:color="auto" w:fill="FDF9F2"/>
          </w:tcPr>
          <w:p>
            <w:pPr>
              <w:spacing w:after="0"/>
              <w:rPr>
                <w:sz w:val="18"/>
                <w:szCs w:val="18"/>
                <w:color w:val="auto"/>
              </w:rPr>
            </w:pPr>
          </w:p>
        </w:tc>
      </w:tr>
      <w:tr>
        <w:trPr>
          <w:trHeight w:val="156"/>
        </w:trPr>
        <w:tc>
          <w:tcPr>
            <w:tcW w:w="8500" w:type="dxa"/>
            <w:vAlign w:val="bottom"/>
            <w:shd w:val="clear" w:color="auto" w:fill="FDF9F2"/>
          </w:tcPr>
          <w:p>
            <w:pPr>
              <w:ind w:left="260"/>
              <w:spacing w:after="0" w:line="156" w:lineRule="exact"/>
              <w:rPr>
                <w:sz w:val="20"/>
                <w:szCs w:val="20"/>
                <w:color w:val="auto"/>
              </w:rPr>
            </w:pPr>
            <w:r>
              <w:rPr>
                <w:rFonts w:ascii="Arial" w:cs="Arial" w:eastAsia="Arial" w:hAnsi="Arial"/>
                <w:sz w:val="14"/>
                <w:szCs w:val="14"/>
                <w:color w:val="auto"/>
              </w:rPr>
              <w:t>55 East 52nd St.</w:t>
            </w:r>
          </w:p>
        </w:tc>
        <w:tc>
          <w:tcPr>
            <w:tcW w:w="1240" w:type="dxa"/>
            <w:vAlign w:val="bottom"/>
            <w:shd w:val="clear" w:color="auto" w:fill="FDF9F2"/>
          </w:tcPr>
          <w:p>
            <w:pPr>
              <w:spacing w:after="0"/>
              <w:rPr>
                <w:sz w:val="13"/>
                <w:szCs w:val="13"/>
                <w:color w:val="auto"/>
              </w:rPr>
            </w:pPr>
          </w:p>
        </w:tc>
        <w:tc>
          <w:tcPr>
            <w:tcW w:w="880" w:type="dxa"/>
            <w:vAlign w:val="bottom"/>
            <w:shd w:val="clear" w:color="auto" w:fill="FDF9F2"/>
          </w:tcPr>
          <w:p>
            <w:pPr>
              <w:spacing w:after="0"/>
              <w:rPr>
                <w:sz w:val="13"/>
                <w:szCs w:val="13"/>
                <w:color w:val="auto"/>
              </w:rPr>
            </w:pPr>
          </w:p>
        </w:tc>
      </w:tr>
      <w:tr>
        <w:trPr>
          <w:trHeight w:val="197"/>
        </w:trPr>
        <w:tc>
          <w:tcPr>
            <w:tcW w:w="8500" w:type="dxa"/>
            <w:vAlign w:val="bottom"/>
            <w:tcBorders>
              <w:bottom w:val="single" w:sz="8" w:color="FDF9F2"/>
            </w:tcBorders>
            <w:shd w:val="clear" w:color="auto" w:fill="FDF9F2"/>
          </w:tcPr>
          <w:p>
            <w:pPr>
              <w:ind w:left="260"/>
              <w:spacing w:after="0"/>
              <w:rPr>
                <w:sz w:val="20"/>
                <w:szCs w:val="20"/>
                <w:color w:val="auto"/>
              </w:rPr>
            </w:pPr>
            <w:r>
              <w:rPr>
                <w:rFonts w:ascii="Arial" w:cs="Arial" w:eastAsia="Arial" w:hAnsi="Arial"/>
                <w:sz w:val="14"/>
                <w:szCs w:val="14"/>
                <w:color w:val="auto"/>
              </w:rPr>
              <w:t>New York, NY 10055</w:t>
            </w:r>
          </w:p>
        </w:tc>
        <w:tc>
          <w:tcPr>
            <w:tcW w:w="1240" w:type="dxa"/>
            <w:vAlign w:val="bottom"/>
            <w:tcBorders>
              <w:bottom w:val="single" w:sz="8" w:color="FDF9F2"/>
            </w:tcBorders>
            <w:shd w:val="clear" w:color="auto" w:fill="FDF9F2"/>
          </w:tcPr>
          <w:p>
            <w:pPr>
              <w:jc w:val="right"/>
              <w:ind w:right="32"/>
              <w:spacing w:after="0"/>
              <w:rPr>
                <w:sz w:val="20"/>
                <w:szCs w:val="20"/>
                <w:color w:val="auto"/>
              </w:rPr>
            </w:pPr>
            <w:r>
              <w:rPr>
                <w:rFonts w:ascii="Arial" w:cs="Arial" w:eastAsia="Arial" w:hAnsi="Arial"/>
                <w:sz w:val="14"/>
                <w:szCs w:val="14"/>
                <w:color w:val="auto"/>
              </w:rPr>
              <w:t>6,704,817</w:t>
            </w:r>
          </w:p>
        </w:tc>
        <w:tc>
          <w:tcPr>
            <w:tcW w:w="880" w:type="dxa"/>
            <w:vAlign w:val="bottom"/>
            <w:tcBorders>
              <w:bottom w:val="single" w:sz="8" w:color="FDF9F2"/>
            </w:tcBorders>
            <w:shd w:val="clear" w:color="auto" w:fill="FDF9F2"/>
          </w:tcPr>
          <w:p>
            <w:pPr>
              <w:jc w:val="right"/>
              <w:spacing w:after="0"/>
              <w:rPr>
                <w:sz w:val="20"/>
                <w:szCs w:val="20"/>
                <w:color w:val="auto"/>
              </w:rPr>
            </w:pPr>
            <w:r>
              <w:rPr>
                <w:rFonts w:ascii="Arial" w:cs="Arial" w:eastAsia="Arial" w:hAnsi="Arial"/>
                <w:sz w:val="14"/>
                <w:szCs w:val="14"/>
                <w:color w:val="auto"/>
              </w:rPr>
              <w:t>5.90%</w:t>
            </w:r>
          </w:p>
        </w:tc>
      </w:tr>
      <w:tr>
        <w:trPr>
          <w:trHeight w:val="253"/>
        </w:trPr>
        <w:tc>
          <w:tcPr>
            <w:tcW w:w="8500" w:type="dxa"/>
            <w:vAlign w:val="bottom"/>
            <w:tcBorders>
              <w:bottom w:val="single" w:sz="8" w:color="DEDBD3"/>
            </w:tcBorders>
            <w:shd w:val="clear" w:color="auto" w:fill="DEDBD3"/>
          </w:tcPr>
          <w:p>
            <w:pPr>
              <w:ind w:left="100"/>
              <w:spacing w:after="0"/>
              <w:rPr>
                <w:sz w:val="20"/>
                <w:szCs w:val="20"/>
                <w:color w:val="auto"/>
              </w:rPr>
            </w:pPr>
            <w:r>
              <w:rPr>
                <w:rFonts w:ascii="Arial" w:cs="Arial" w:eastAsia="Arial" w:hAnsi="Arial"/>
                <w:sz w:val="14"/>
                <w:szCs w:val="14"/>
                <w:color w:val="auto"/>
              </w:rPr>
              <w:t>Named Executive Officers and Directors:</w:t>
            </w:r>
          </w:p>
        </w:tc>
        <w:tc>
          <w:tcPr>
            <w:tcW w:w="1240" w:type="dxa"/>
            <w:vAlign w:val="bottom"/>
            <w:tcBorders>
              <w:bottom w:val="single" w:sz="8" w:color="DEDBD3"/>
            </w:tcBorders>
            <w:shd w:val="clear" w:color="auto" w:fill="DEDBD3"/>
          </w:tcPr>
          <w:p>
            <w:pPr>
              <w:spacing w:after="0"/>
              <w:rPr>
                <w:sz w:val="22"/>
                <w:szCs w:val="22"/>
                <w:color w:val="auto"/>
              </w:rPr>
            </w:pPr>
          </w:p>
        </w:tc>
        <w:tc>
          <w:tcPr>
            <w:tcW w:w="880" w:type="dxa"/>
            <w:vAlign w:val="bottom"/>
            <w:tcBorders>
              <w:bottom w:val="single" w:sz="8" w:color="DEDBD3"/>
            </w:tcBorders>
            <w:shd w:val="clear" w:color="auto" w:fill="DEDBD3"/>
          </w:tcPr>
          <w:p>
            <w:pPr>
              <w:spacing w:after="0"/>
              <w:rPr>
                <w:sz w:val="22"/>
                <w:szCs w:val="22"/>
                <w:color w:val="auto"/>
              </w:rPr>
            </w:pPr>
          </w:p>
        </w:tc>
      </w:tr>
      <w:tr>
        <w:trPr>
          <w:trHeight w:val="253"/>
        </w:trPr>
        <w:tc>
          <w:tcPr>
            <w:tcW w:w="8500" w:type="dxa"/>
            <w:vAlign w:val="bottom"/>
            <w:tcBorders>
              <w:bottom w:val="single" w:sz="8" w:color="FDF9F2"/>
            </w:tcBorders>
            <w:shd w:val="clear" w:color="auto" w:fill="FDF9F2"/>
          </w:tcPr>
          <w:p>
            <w:pPr>
              <w:ind w:left="100"/>
              <w:spacing w:after="0"/>
              <w:rPr>
                <w:sz w:val="20"/>
                <w:szCs w:val="20"/>
                <w:color w:val="auto"/>
              </w:rPr>
            </w:pPr>
            <w:r>
              <w:rPr>
                <w:rFonts w:ascii="Arial" w:cs="Arial" w:eastAsia="Arial" w:hAnsi="Arial"/>
                <w:sz w:val="14"/>
                <w:szCs w:val="14"/>
                <w:color w:val="auto"/>
              </w:rPr>
              <w:t>Philip G. Satre (9)</w:t>
            </w:r>
          </w:p>
        </w:tc>
        <w:tc>
          <w:tcPr>
            <w:tcW w:w="1240" w:type="dxa"/>
            <w:vAlign w:val="bottom"/>
            <w:tcBorders>
              <w:bottom w:val="single" w:sz="8" w:color="FDF9F2"/>
            </w:tcBorders>
            <w:shd w:val="clear" w:color="auto" w:fill="FDF9F2"/>
          </w:tcPr>
          <w:p>
            <w:pPr>
              <w:jc w:val="right"/>
              <w:ind w:right="32"/>
              <w:spacing w:after="0"/>
              <w:rPr>
                <w:sz w:val="20"/>
                <w:szCs w:val="20"/>
                <w:color w:val="auto"/>
              </w:rPr>
            </w:pPr>
            <w:r>
              <w:rPr>
                <w:rFonts w:ascii="Arial" w:cs="Arial" w:eastAsia="Arial" w:hAnsi="Arial"/>
                <w:sz w:val="14"/>
                <w:szCs w:val="14"/>
                <w:color w:val="auto"/>
              </w:rPr>
              <w:t>28,302</w:t>
            </w:r>
          </w:p>
        </w:tc>
        <w:tc>
          <w:tcPr>
            <w:tcW w:w="880" w:type="dxa"/>
            <w:vAlign w:val="bottom"/>
            <w:tcBorders>
              <w:bottom w:val="single" w:sz="8" w:color="FDF9F2"/>
            </w:tcBorders>
            <w:shd w:val="clear" w:color="auto" w:fill="FDF9F2"/>
          </w:tcPr>
          <w:p>
            <w:pPr>
              <w:jc w:val="right"/>
              <w:ind w:right="106"/>
              <w:spacing w:after="0"/>
              <w:rPr>
                <w:sz w:val="20"/>
                <w:szCs w:val="20"/>
                <w:color w:val="auto"/>
              </w:rPr>
            </w:pPr>
            <w:r>
              <w:rPr>
                <w:rFonts w:ascii="Arial" w:cs="Arial" w:eastAsia="Arial" w:hAnsi="Arial"/>
                <w:sz w:val="16"/>
                <w:szCs w:val="16"/>
                <w:color w:val="auto"/>
              </w:rPr>
              <w:t>*</w:t>
            </w:r>
          </w:p>
        </w:tc>
      </w:tr>
      <w:tr>
        <w:trPr>
          <w:trHeight w:val="253"/>
        </w:trPr>
        <w:tc>
          <w:tcPr>
            <w:tcW w:w="8500" w:type="dxa"/>
            <w:vAlign w:val="bottom"/>
            <w:tcBorders>
              <w:bottom w:val="single" w:sz="8" w:color="DEDBD3"/>
            </w:tcBorders>
            <w:shd w:val="clear" w:color="auto" w:fill="DEDBD3"/>
          </w:tcPr>
          <w:p>
            <w:pPr>
              <w:ind w:left="100"/>
              <w:spacing w:after="0"/>
              <w:rPr>
                <w:sz w:val="20"/>
                <w:szCs w:val="20"/>
                <w:color w:val="auto"/>
              </w:rPr>
            </w:pPr>
            <w:r>
              <w:rPr>
                <w:rFonts w:ascii="Arial" w:cs="Arial" w:eastAsia="Arial" w:hAnsi="Arial"/>
                <w:sz w:val="14"/>
                <w:szCs w:val="14"/>
                <w:color w:val="auto"/>
              </w:rPr>
              <w:t>Betsy S. Atkins (10)</w:t>
            </w:r>
          </w:p>
        </w:tc>
        <w:tc>
          <w:tcPr>
            <w:tcW w:w="1240" w:type="dxa"/>
            <w:vAlign w:val="bottom"/>
            <w:tcBorders>
              <w:bottom w:val="single" w:sz="8" w:color="DEDBD3"/>
            </w:tcBorders>
            <w:shd w:val="clear" w:color="auto" w:fill="DEDBD3"/>
          </w:tcPr>
          <w:p>
            <w:pPr>
              <w:jc w:val="right"/>
              <w:ind w:right="32"/>
              <w:spacing w:after="0"/>
              <w:rPr>
                <w:sz w:val="20"/>
                <w:szCs w:val="20"/>
                <w:color w:val="auto"/>
              </w:rPr>
            </w:pPr>
            <w:r>
              <w:rPr>
                <w:rFonts w:ascii="Arial" w:cs="Arial" w:eastAsia="Arial" w:hAnsi="Arial"/>
                <w:sz w:val="14"/>
                <w:szCs w:val="14"/>
                <w:color w:val="auto"/>
              </w:rPr>
              <w:t>6,690</w:t>
            </w:r>
          </w:p>
        </w:tc>
        <w:tc>
          <w:tcPr>
            <w:tcW w:w="880" w:type="dxa"/>
            <w:vAlign w:val="bottom"/>
            <w:tcBorders>
              <w:bottom w:val="single" w:sz="8" w:color="DEDBD3"/>
            </w:tcBorders>
            <w:shd w:val="clear" w:color="auto" w:fill="DEDBD3"/>
          </w:tcPr>
          <w:p>
            <w:pPr>
              <w:jc w:val="right"/>
              <w:ind w:right="106"/>
              <w:spacing w:after="0"/>
              <w:rPr>
                <w:sz w:val="20"/>
                <w:szCs w:val="20"/>
                <w:color w:val="auto"/>
              </w:rPr>
            </w:pPr>
            <w:r>
              <w:rPr>
                <w:rFonts w:ascii="Arial" w:cs="Arial" w:eastAsia="Arial" w:hAnsi="Arial"/>
                <w:sz w:val="16"/>
                <w:szCs w:val="16"/>
                <w:color w:val="auto"/>
              </w:rPr>
              <w:t>*</w:t>
            </w:r>
          </w:p>
        </w:tc>
      </w:tr>
      <w:tr>
        <w:trPr>
          <w:trHeight w:val="253"/>
        </w:trPr>
        <w:tc>
          <w:tcPr>
            <w:tcW w:w="8500" w:type="dxa"/>
            <w:vAlign w:val="bottom"/>
            <w:tcBorders>
              <w:bottom w:val="single" w:sz="8" w:color="FDF9F2"/>
            </w:tcBorders>
            <w:shd w:val="clear" w:color="auto" w:fill="FDF9F2"/>
          </w:tcPr>
          <w:p>
            <w:pPr>
              <w:ind w:left="100"/>
              <w:spacing w:after="0"/>
              <w:rPr>
                <w:sz w:val="20"/>
                <w:szCs w:val="20"/>
                <w:color w:val="auto"/>
              </w:rPr>
            </w:pPr>
            <w:r>
              <w:rPr>
                <w:rFonts w:ascii="Arial" w:cs="Arial" w:eastAsia="Arial" w:hAnsi="Arial"/>
                <w:sz w:val="14"/>
                <w:szCs w:val="14"/>
                <w:color w:val="auto"/>
              </w:rPr>
              <w:t>Richard J, Byrne (11)</w:t>
            </w:r>
          </w:p>
        </w:tc>
        <w:tc>
          <w:tcPr>
            <w:tcW w:w="1240" w:type="dxa"/>
            <w:vAlign w:val="bottom"/>
            <w:tcBorders>
              <w:bottom w:val="single" w:sz="8" w:color="FDF9F2"/>
            </w:tcBorders>
            <w:shd w:val="clear" w:color="auto" w:fill="FDF9F2"/>
          </w:tcPr>
          <w:p>
            <w:pPr>
              <w:jc w:val="right"/>
              <w:ind w:right="32"/>
              <w:spacing w:after="0"/>
              <w:rPr>
                <w:sz w:val="20"/>
                <w:szCs w:val="20"/>
                <w:color w:val="auto"/>
              </w:rPr>
            </w:pPr>
            <w:r>
              <w:rPr>
                <w:rFonts w:ascii="Arial" w:cs="Arial" w:eastAsia="Arial" w:hAnsi="Arial"/>
                <w:sz w:val="14"/>
                <w:szCs w:val="14"/>
                <w:color w:val="auto"/>
              </w:rPr>
              <w:t>13,506</w:t>
            </w:r>
          </w:p>
        </w:tc>
        <w:tc>
          <w:tcPr>
            <w:tcW w:w="880" w:type="dxa"/>
            <w:vAlign w:val="bottom"/>
            <w:tcBorders>
              <w:bottom w:val="single" w:sz="8" w:color="FDF9F2"/>
            </w:tcBorders>
            <w:shd w:val="clear" w:color="auto" w:fill="FDF9F2"/>
          </w:tcPr>
          <w:p>
            <w:pPr>
              <w:jc w:val="right"/>
              <w:ind w:right="106"/>
              <w:spacing w:after="0"/>
              <w:rPr>
                <w:sz w:val="20"/>
                <w:szCs w:val="20"/>
                <w:color w:val="auto"/>
              </w:rPr>
            </w:pPr>
            <w:r>
              <w:rPr>
                <w:rFonts w:ascii="Arial" w:cs="Arial" w:eastAsia="Arial" w:hAnsi="Arial"/>
                <w:sz w:val="16"/>
                <w:szCs w:val="16"/>
                <w:color w:val="auto"/>
              </w:rPr>
              <w:t>*</w:t>
            </w:r>
          </w:p>
        </w:tc>
      </w:tr>
      <w:tr>
        <w:trPr>
          <w:trHeight w:val="253"/>
        </w:trPr>
        <w:tc>
          <w:tcPr>
            <w:tcW w:w="8500" w:type="dxa"/>
            <w:vAlign w:val="bottom"/>
            <w:tcBorders>
              <w:bottom w:val="single" w:sz="8" w:color="DEDBD3"/>
            </w:tcBorders>
            <w:shd w:val="clear" w:color="auto" w:fill="DEDBD3"/>
          </w:tcPr>
          <w:p>
            <w:pPr>
              <w:ind w:left="100"/>
              <w:spacing w:after="0"/>
              <w:rPr>
                <w:sz w:val="20"/>
                <w:szCs w:val="20"/>
                <w:color w:val="auto"/>
              </w:rPr>
            </w:pPr>
            <w:r>
              <w:rPr>
                <w:rFonts w:ascii="Arial" w:cs="Arial" w:eastAsia="Arial" w:hAnsi="Arial"/>
                <w:sz w:val="14"/>
                <w:szCs w:val="14"/>
                <w:color w:val="auto"/>
              </w:rPr>
              <w:t>Margaret J. Meyers (12)</w:t>
            </w:r>
          </w:p>
        </w:tc>
        <w:tc>
          <w:tcPr>
            <w:tcW w:w="1240" w:type="dxa"/>
            <w:vAlign w:val="bottom"/>
            <w:tcBorders>
              <w:bottom w:val="single" w:sz="8" w:color="DEDBD3"/>
            </w:tcBorders>
            <w:shd w:val="clear" w:color="auto" w:fill="DEDBD3"/>
          </w:tcPr>
          <w:p>
            <w:pPr>
              <w:jc w:val="right"/>
              <w:ind w:right="32"/>
              <w:spacing w:after="0"/>
              <w:rPr>
                <w:sz w:val="20"/>
                <w:szCs w:val="20"/>
                <w:color w:val="auto"/>
              </w:rPr>
            </w:pPr>
            <w:r>
              <w:rPr>
                <w:rFonts w:ascii="Arial" w:cs="Arial" w:eastAsia="Arial" w:hAnsi="Arial"/>
                <w:sz w:val="14"/>
                <w:szCs w:val="14"/>
                <w:color w:val="auto"/>
              </w:rPr>
              <w:t>14,815</w:t>
            </w:r>
          </w:p>
        </w:tc>
        <w:tc>
          <w:tcPr>
            <w:tcW w:w="880" w:type="dxa"/>
            <w:vAlign w:val="bottom"/>
            <w:tcBorders>
              <w:bottom w:val="single" w:sz="8" w:color="DEDBD3"/>
            </w:tcBorders>
            <w:shd w:val="clear" w:color="auto" w:fill="DEDBD3"/>
          </w:tcPr>
          <w:p>
            <w:pPr>
              <w:jc w:val="right"/>
              <w:ind w:right="106"/>
              <w:spacing w:after="0"/>
              <w:rPr>
                <w:sz w:val="20"/>
                <w:szCs w:val="20"/>
                <w:color w:val="auto"/>
              </w:rPr>
            </w:pPr>
            <w:r>
              <w:rPr>
                <w:rFonts w:ascii="Arial" w:cs="Arial" w:eastAsia="Arial" w:hAnsi="Arial"/>
                <w:sz w:val="16"/>
                <w:szCs w:val="16"/>
                <w:color w:val="auto"/>
              </w:rPr>
              <w:t>*</w:t>
            </w:r>
          </w:p>
        </w:tc>
      </w:tr>
      <w:tr>
        <w:trPr>
          <w:trHeight w:val="253"/>
        </w:trPr>
        <w:tc>
          <w:tcPr>
            <w:tcW w:w="8500" w:type="dxa"/>
            <w:vAlign w:val="bottom"/>
            <w:tcBorders>
              <w:bottom w:val="single" w:sz="8" w:color="FDF9F2"/>
            </w:tcBorders>
            <w:shd w:val="clear" w:color="auto" w:fill="FDF9F2"/>
          </w:tcPr>
          <w:p>
            <w:pPr>
              <w:ind w:left="100"/>
              <w:spacing w:after="0"/>
              <w:rPr>
                <w:sz w:val="20"/>
                <w:szCs w:val="20"/>
                <w:color w:val="auto"/>
              </w:rPr>
            </w:pPr>
            <w:r>
              <w:rPr>
                <w:rFonts w:ascii="Arial" w:cs="Arial" w:eastAsia="Arial" w:hAnsi="Arial"/>
                <w:sz w:val="14"/>
                <w:szCs w:val="14"/>
                <w:color w:val="auto"/>
              </w:rPr>
              <w:t>Winifred M. Webb (13)</w:t>
            </w:r>
          </w:p>
        </w:tc>
        <w:tc>
          <w:tcPr>
            <w:tcW w:w="1240" w:type="dxa"/>
            <w:vAlign w:val="bottom"/>
            <w:tcBorders>
              <w:bottom w:val="single" w:sz="8" w:color="FDF9F2"/>
            </w:tcBorders>
            <w:shd w:val="clear" w:color="auto" w:fill="FDF9F2"/>
          </w:tcPr>
          <w:p>
            <w:pPr>
              <w:jc w:val="right"/>
              <w:ind w:right="32"/>
              <w:spacing w:after="0"/>
              <w:rPr>
                <w:sz w:val="20"/>
                <w:szCs w:val="20"/>
                <w:color w:val="auto"/>
              </w:rPr>
            </w:pPr>
            <w:r>
              <w:rPr>
                <w:rFonts w:ascii="Arial" w:cs="Arial" w:eastAsia="Arial" w:hAnsi="Arial"/>
                <w:sz w:val="14"/>
                <w:szCs w:val="14"/>
                <w:color w:val="auto"/>
              </w:rPr>
              <w:t>16,458</w:t>
            </w:r>
          </w:p>
        </w:tc>
        <w:tc>
          <w:tcPr>
            <w:tcW w:w="880" w:type="dxa"/>
            <w:vAlign w:val="bottom"/>
            <w:tcBorders>
              <w:bottom w:val="single" w:sz="8" w:color="FDF9F2"/>
            </w:tcBorders>
            <w:shd w:val="clear" w:color="auto" w:fill="FDF9F2"/>
          </w:tcPr>
          <w:p>
            <w:pPr>
              <w:jc w:val="right"/>
              <w:ind w:right="106"/>
              <w:spacing w:after="0"/>
              <w:rPr>
                <w:sz w:val="20"/>
                <w:szCs w:val="20"/>
                <w:color w:val="auto"/>
              </w:rPr>
            </w:pPr>
            <w:r>
              <w:rPr>
                <w:rFonts w:ascii="Arial" w:cs="Arial" w:eastAsia="Arial" w:hAnsi="Arial"/>
                <w:sz w:val="16"/>
                <w:szCs w:val="16"/>
                <w:color w:val="auto"/>
              </w:rPr>
              <w:t>*</w:t>
            </w:r>
          </w:p>
        </w:tc>
      </w:tr>
      <w:tr>
        <w:trPr>
          <w:trHeight w:val="253"/>
        </w:trPr>
        <w:tc>
          <w:tcPr>
            <w:tcW w:w="8500" w:type="dxa"/>
            <w:vAlign w:val="bottom"/>
            <w:tcBorders>
              <w:bottom w:val="single" w:sz="8" w:color="DEDBD3"/>
            </w:tcBorders>
            <w:shd w:val="clear" w:color="auto" w:fill="DEDBD3"/>
          </w:tcPr>
          <w:p>
            <w:pPr>
              <w:ind w:left="100"/>
              <w:spacing w:after="0"/>
              <w:rPr>
                <w:sz w:val="20"/>
                <w:szCs w:val="20"/>
                <w:color w:val="auto"/>
              </w:rPr>
            </w:pPr>
            <w:r>
              <w:rPr>
                <w:rFonts w:ascii="Arial" w:cs="Arial" w:eastAsia="Arial" w:hAnsi="Arial"/>
                <w:sz w:val="14"/>
                <w:szCs w:val="14"/>
                <w:color w:val="auto"/>
              </w:rPr>
              <w:t>Patricia Mulroy (14)</w:t>
            </w:r>
          </w:p>
        </w:tc>
        <w:tc>
          <w:tcPr>
            <w:tcW w:w="1240" w:type="dxa"/>
            <w:vAlign w:val="bottom"/>
            <w:tcBorders>
              <w:bottom w:val="single" w:sz="8" w:color="DEDBD3"/>
            </w:tcBorders>
            <w:shd w:val="clear" w:color="auto" w:fill="DEDBD3"/>
          </w:tcPr>
          <w:p>
            <w:pPr>
              <w:jc w:val="right"/>
              <w:ind w:right="32"/>
              <w:spacing w:after="0"/>
              <w:rPr>
                <w:sz w:val="20"/>
                <w:szCs w:val="20"/>
                <w:color w:val="auto"/>
              </w:rPr>
            </w:pPr>
            <w:r>
              <w:rPr>
                <w:rFonts w:ascii="Arial" w:cs="Arial" w:eastAsia="Arial" w:hAnsi="Arial"/>
                <w:sz w:val="14"/>
                <w:szCs w:val="14"/>
                <w:color w:val="auto"/>
              </w:rPr>
              <w:t>16,563</w:t>
            </w:r>
          </w:p>
        </w:tc>
        <w:tc>
          <w:tcPr>
            <w:tcW w:w="880" w:type="dxa"/>
            <w:vAlign w:val="bottom"/>
            <w:tcBorders>
              <w:bottom w:val="single" w:sz="8" w:color="DEDBD3"/>
            </w:tcBorders>
            <w:shd w:val="clear" w:color="auto" w:fill="DEDBD3"/>
          </w:tcPr>
          <w:p>
            <w:pPr>
              <w:jc w:val="right"/>
              <w:ind w:right="106"/>
              <w:spacing w:after="0"/>
              <w:rPr>
                <w:sz w:val="20"/>
                <w:szCs w:val="20"/>
                <w:color w:val="auto"/>
              </w:rPr>
            </w:pPr>
            <w:r>
              <w:rPr>
                <w:rFonts w:ascii="Arial" w:cs="Arial" w:eastAsia="Arial" w:hAnsi="Arial"/>
                <w:sz w:val="16"/>
                <w:szCs w:val="16"/>
                <w:color w:val="auto"/>
              </w:rPr>
              <w:t>*</w:t>
            </w:r>
          </w:p>
        </w:tc>
      </w:tr>
      <w:tr>
        <w:trPr>
          <w:trHeight w:val="253"/>
        </w:trPr>
        <w:tc>
          <w:tcPr>
            <w:tcW w:w="8500" w:type="dxa"/>
            <w:vAlign w:val="bottom"/>
            <w:tcBorders>
              <w:bottom w:val="single" w:sz="8" w:color="FDF9F2"/>
            </w:tcBorders>
            <w:shd w:val="clear" w:color="auto" w:fill="FDF9F2"/>
          </w:tcPr>
          <w:p>
            <w:pPr>
              <w:ind w:left="100"/>
              <w:spacing w:after="0"/>
              <w:rPr>
                <w:sz w:val="20"/>
                <w:szCs w:val="20"/>
                <w:color w:val="auto"/>
              </w:rPr>
            </w:pPr>
            <w:r>
              <w:rPr>
                <w:rFonts w:ascii="Arial" w:cs="Arial" w:eastAsia="Arial" w:hAnsi="Arial"/>
                <w:sz w:val="14"/>
                <w:szCs w:val="14"/>
                <w:color w:val="auto"/>
              </w:rPr>
              <w:t>Clark T. Randt, Jr. (15)</w:t>
            </w:r>
          </w:p>
        </w:tc>
        <w:tc>
          <w:tcPr>
            <w:tcW w:w="1240" w:type="dxa"/>
            <w:vAlign w:val="bottom"/>
            <w:tcBorders>
              <w:bottom w:val="single" w:sz="8" w:color="FDF9F2"/>
            </w:tcBorders>
            <w:shd w:val="clear" w:color="auto" w:fill="FDF9F2"/>
          </w:tcPr>
          <w:p>
            <w:pPr>
              <w:jc w:val="right"/>
              <w:ind w:right="32"/>
              <w:spacing w:after="0"/>
              <w:rPr>
                <w:sz w:val="20"/>
                <w:szCs w:val="20"/>
                <w:color w:val="auto"/>
              </w:rPr>
            </w:pPr>
            <w:r>
              <w:rPr>
                <w:rFonts w:ascii="Arial" w:cs="Arial" w:eastAsia="Arial" w:hAnsi="Arial"/>
                <w:sz w:val="14"/>
                <w:szCs w:val="14"/>
                <w:color w:val="auto"/>
              </w:rPr>
              <w:t>23,941</w:t>
            </w:r>
          </w:p>
        </w:tc>
        <w:tc>
          <w:tcPr>
            <w:tcW w:w="880" w:type="dxa"/>
            <w:vAlign w:val="bottom"/>
            <w:tcBorders>
              <w:bottom w:val="single" w:sz="8" w:color="FDF9F2"/>
            </w:tcBorders>
            <w:shd w:val="clear" w:color="auto" w:fill="FDF9F2"/>
          </w:tcPr>
          <w:p>
            <w:pPr>
              <w:jc w:val="right"/>
              <w:ind w:right="106"/>
              <w:spacing w:after="0"/>
              <w:rPr>
                <w:sz w:val="20"/>
                <w:szCs w:val="20"/>
                <w:color w:val="auto"/>
              </w:rPr>
            </w:pPr>
            <w:r>
              <w:rPr>
                <w:rFonts w:ascii="Arial" w:cs="Arial" w:eastAsia="Arial" w:hAnsi="Arial"/>
                <w:sz w:val="16"/>
                <w:szCs w:val="16"/>
                <w:color w:val="auto"/>
              </w:rPr>
              <w:t>*</w:t>
            </w:r>
          </w:p>
        </w:tc>
      </w:tr>
      <w:tr>
        <w:trPr>
          <w:trHeight w:val="253"/>
        </w:trPr>
        <w:tc>
          <w:tcPr>
            <w:tcW w:w="8500" w:type="dxa"/>
            <w:vAlign w:val="bottom"/>
            <w:tcBorders>
              <w:bottom w:val="single" w:sz="8" w:color="DEDBD3"/>
            </w:tcBorders>
            <w:shd w:val="clear" w:color="auto" w:fill="DEDBD3"/>
          </w:tcPr>
          <w:p>
            <w:pPr>
              <w:ind w:left="100"/>
              <w:spacing w:after="0"/>
              <w:rPr>
                <w:sz w:val="20"/>
                <w:szCs w:val="20"/>
                <w:color w:val="auto"/>
              </w:rPr>
            </w:pPr>
            <w:r>
              <w:rPr>
                <w:rFonts w:ascii="Arial" w:cs="Arial" w:eastAsia="Arial" w:hAnsi="Arial"/>
                <w:sz w:val="14"/>
                <w:szCs w:val="14"/>
                <w:color w:val="auto"/>
              </w:rPr>
              <w:t>Darnell O. Strom (16)</w:t>
            </w:r>
          </w:p>
        </w:tc>
        <w:tc>
          <w:tcPr>
            <w:tcW w:w="1240" w:type="dxa"/>
            <w:vAlign w:val="bottom"/>
            <w:tcBorders>
              <w:bottom w:val="single" w:sz="8" w:color="DEDBD3"/>
            </w:tcBorders>
            <w:shd w:val="clear" w:color="auto" w:fill="DEDBD3"/>
          </w:tcPr>
          <w:p>
            <w:pPr>
              <w:jc w:val="right"/>
              <w:ind w:right="32"/>
              <w:spacing w:after="0"/>
              <w:rPr>
                <w:sz w:val="20"/>
                <w:szCs w:val="20"/>
                <w:color w:val="auto"/>
              </w:rPr>
            </w:pPr>
            <w:r>
              <w:rPr>
                <w:rFonts w:ascii="Arial" w:cs="Arial" w:eastAsia="Arial" w:hAnsi="Arial"/>
                <w:sz w:val="14"/>
                <w:szCs w:val="14"/>
                <w:color w:val="auto"/>
              </w:rPr>
              <w:t>8,959</w:t>
            </w:r>
          </w:p>
        </w:tc>
        <w:tc>
          <w:tcPr>
            <w:tcW w:w="880" w:type="dxa"/>
            <w:vAlign w:val="bottom"/>
            <w:tcBorders>
              <w:bottom w:val="single" w:sz="8" w:color="DEDBD3"/>
            </w:tcBorders>
            <w:shd w:val="clear" w:color="auto" w:fill="DEDBD3"/>
          </w:tcPr>
          <w:p>
            <w:pPr>
              <w:jc w:val="right"/>
              <w:ind w:right="106"/>
              <w:spacing w:after="0"/>
              <w:rPr>
                <w:sz w:val="20"/>
                <w:szCs w:val="20"/>
                <w:color w:val="auto"/>
              </w:rPr>
            </w:pPr>
            <w:r>
              <w:rPr>
                <w:rFonts w:ascii="Arial" w:cs="Arial" w:eastAsia="Arial" w:hAnsi="Arial"/>
                <w:sz w:val="16"/>
                <w:szCs w:val="16"/>
                <w:color w:val="auto"/>
              </w:rPr>
              <w:t>*</w:t>
            </w:r>
          </w:p>
        </w:tc>
      </w:tr>
      <w:tr>
        <w:trPr>
          <w:trHeight w:val="253"/>
        </w:trPr>
        <w:tc>
          <w:tcPr>
            <w:tcW w:w="8500" w:type="dxa"/>
            <w:vAlign w:val="bottom"/>
            <w:tcBorders>
              <w:bottom w:val="single" w:sz="8" w:color="FDF9F2"/>
            </w:tcBorders>
            <w:shd w:val="clear" w:color="auto" w:fill="FDF9F2"/>
          </w:tcPr>
          <w:p>
            <w:pPr>
              <w:ind w:left="100"/>
              <w:spacing w:after="0"/>
              <w:rPr>
                <w:sz w:val="20"/>
                <w:szCs w:val="20"/>
                <w:color w:val="auto"/>
              </w:rPr>
            </w:pPr>
            <w:r>
              <w:rPr>
                <w:rFonts w:ascii="Arial" w:cs="Arial" w:eastAsia="Arial" w:hAnsi="Arial"/>
                <w:sz w:val="14"/>
                <w:szCs w:val="14"/>
                <w:color w:val="auto"/>
              </w:rPr>
              <w:t>Craig S. Billings (17)</w:t>
            </w:r>
          </w:p>
        </w:tc>
        <w:tc>
          <w:tcPr>
            <w:tcW w:w="1240" w:type="dxa"/>
            <w:vAlign w:val="bottom"/>
            <w:tcBorders>
              <w:bottom w:val="single" w:sz="8" w:color="FDF9F2"/>
            </w:tcBorders>
            <w:shd w:val="clear" w:color="auto" w:fill="FDF9F2"/>
          </w:tcPr>
          <w:p>
            <w:pPr>
              <w:jc w:val="right"/>
              <w:ind w:right="32"/>
              <w:spacing w:after="0"/>
              <w:rPr>
                <w:sz w:val="20"/>
                <w:szCs w:val="20"/>
                <w:color w:val="auto"/>
              </w:rPr>
            </w:pPr>
            <w:r>
              <w:rPr>
                <w:rFonts w:ascii="Arial" w:cs="Arial" w:eastAsia="Arial" w:hAnsi="Arial"/>
                <w:sz w:val="14"/>
                <w:szCs w:val="14"/>
                <w:color w:val="auto"/>
              </w:rPr>
              <w:t>277,584</w:t>
            </w:r>
          </w:p>
        </w:tc>
        <w:tc>
          <w:tcPr>
            <w:tcW w:w="880" w:type="dxa"/>
            <w:vAlign w:val="bottom"/>
            <w:tcBorders>
              <w:bottom w:val="single" w:sz="8" w:color="FDF9F2"/>
            </w:tcBorders>
            <w:shd w:val="clear" w:color="auto" w:fill="FDF9F2"/>
          </w:tcPr>
          <w:p>
            <w:pPr>
              <w:jc w:val="right"/>
              <w:ind w:right="106"/>
              <w:spacing w:after="0"/>
              <w:rPr>
                <w:sz w:val="20"/>
                <w:szCs w:val="20"/>
                <w:color w:val="auto"/>
              </w:rPr>
            </w:pPr>
            <w:r>
              <w:rPr>
                <w:rFonts w:ascii="Arial" w:cs="Arial" w:eastAsia="Arial" w:hAnsi="Arial"/>
                <w:sz w:val="16"/>
                <w:szCs w:val="16"/>
                <w:color w:val="auto"/>
              </w:rPr>
              <w:t>*</w:t>
            </w:r>
          </w:p>
        </w:tc>
      </w:tr>
      <w:tr>
        <w:trPr>
          <w:trHeight w:val="253"/>
        </w:trPr>
        <w:tc>
          <w:tcPr>
            <w:tcW w:w="8500" w:type="dxa"/>
            <w:vAlign w:val="bottom"/>
            <w:tcBorders>
              <w:bottom w:val="single" w:sz="8" w:color="DEDBD3"/>
            </w:tcBorders>
            <w:shd w:val="clear" w:color="auto" w:fill="DEDBD3"/>
          </w:tcPr>
          <w:p>
            <w:pPr>
              <w:ind w:left="100"/>
              <w:spacing w:after="0"/>
              <w:rPr>
                <w:sz w:val="20"/>
                <w:szCs w:val="20"/>
                <w:color w:val="auto"/>
              </w:rPr>
            </w:pPr>
            <w:r>
              <w:rPr>
                <w:rFonts w:ascii="Arial" w:cs="Arial" w:eastAsia="Arial" w:hAnsi="Arial"/>
                <w:sz w:val="14"/>
                <w:szCs w:val="14"/>
                <w:color w:val="auto"/>
              </w:rPr>
              <w:t>Julie M. Cameron-Doe (18)</w:t>
            </w:r>
          </w:p>
        </w:tc>
        <w:tc>
          <w:tcPr>
            <w:tcW w:w="1240" w:type="dxa"/>
            <w:vAlign w:val="bottom"/>
            <w:tcBorders>
              <w:bottom w:val="single" w:sz="8" w:color="DEDBD3"/>
            </w:tcBorders>
            <w:shd w:val="clear" w:color="auto" w:fill="DEDBD3"/>
          </w:tcPr>
          <w:p>
            <w:pPr>
              <w:jc w:val="right"/>
              <w:ind w:right="32"/>
              <w:spacing w:after="0"/>
              <w:rPr>
                <w:sz w:val="20"/>
                <w:szCs w:val="20"/>
                <w:color w:val="auto"/>
              </w:rPr>
            </w:pPr>
            <w:r>
              <w:rPr>
                <w:rFonts w:ascii="Arial" w:cs="Arial" w:eastAsia="Arial" w:hAnsi="Arial"/>
                <w:sz w:val="14"/>
                <w:szCs w:val="14"/>
                <w:color w:val="auto"/>
              </w:rPr>
              <w:t>71,665</w:t>
            </w:r>
          </w:p>
        </w:tc>
        <w:tc>
          <w:tcPr>
            <w:tcW w:w="880" w:type="dxa"/>
            <w:vAlign w:val="bottom"/>
            <w:tcBorders>
              <w:bottom w:val="single" w:sz="8" w:color="DEDBD3"/>
            </w:tcBorders>
            <w:shd w:val="clear" w:color="auto" w:fill="DEDBD3"/>
          </w:tcPr>
          <w:p>
            <w:pPr>
              <w:jc w:val="right"/>
              <w:ind w:right="106"/>
              <w:spacing w:after="0"/>
              <w:rPr>
                <w:sz w:val="20"/>
                <w:szCs w:val="20"/>
                <w:color w:val="auto"/>
              </w:rPr>
            </w:pPr>
            <w:r>
              <w:rPr>
                <w:rFonts w:ascii="Arial" w:cs="Arial" w:eastAsia="Arial" w:hAnsi="Arial"/>
                <w:sz w:val="16"/>
                <w:szCs w:val="16"/>
                <w:color w:val="auto"/>
              </w:rPr>
              <w:t>*</w:t>
            </w:r>
          </w:p>
        </w:tc>
      </w:tr>
      <w:tr>
        <w:trPr>
          <w:trHeight w:val="253"/>
        </w:trPr>
        <w:tc>
          <w:tcPr>
            <w:tcW w:w="8500" w:type="dxa"/>
            <w:vAlign w:val="bottom"/>
            <w:tcBorders>
              <w:bottom w:val="single" w:sz="8" w:color="FDF9F2"/>
            </w:tcBorders>
            <w:shd w:val="clear" w:color="auto" w:fill="FDF9F2"/>
          </w:tcPr>
          <w:p>
            <w:pPr>
              <w:ind w:left="100"/>
              <w:spacing w:after="0"/>
              <w:rPr>
                <w:sz w:val="20"/>
                <w:szCs w:val="20"/>
                <w:color w:val="auto"/>
              </w:rPr>
            </w:pPr>
            <w:r>
              <w:rPr>
                <w:rFonts w:ascii="Arial" w:cs="Arial" w:eastAsia="Arial" w:hAnsi="Arial"/>
                <w:sz w:val="14"/>
                <w:szCs w:val="14"/>
                <w:color w:val="auto"/>
              </w:rPr>
              <w:t>Ellen F. Whittemore (19)</w:t>
            </w:r>
          </w:p>
        </w:tc>
        <w:tc>
          <w:tcPr>
            <w:tcW w:w="1240" w:type="dxa"/>
            <w:vAlign w:val="bottom"/>
            <w:tcBorders>
              <w:bottom w:val="single" w:sz="8" w:color="FDF9F2"/>
            </w:tcBorders>
            <w:shd w:val="clear" w:color="auto" w:fill="FDF9F2"/>
          </w:tcPr>
          <w:p>
            <w:pPr>
              <w:jc w:val="right"/>
              <w:ind w:right="32"/>
              <w:spacing w:after="0"/>
              <w:rPr>
                <w:sz w:val="20"/>
                <w:szCs w:val="20"/>
                <w:color w:val="auto"/>
              </w:rPr>
            </w:pPr>
            <w:r>
              <w:rPr>
                <w:rFonts w:ascii="Arial" w:cs="Arial" w:eastAsia="Arial" w:hAnsi="Arial"/>
                <w:sz w:val="14"/>
                <w:szCs w:val="14"/>
                <w:color w:val="auto"/>
              </w:rPr>
              <w:t>67,932</w:t>
            </w:r>
          </w:p>
        </w:tc>
        <w:tc>
          <w:tcPr>
            <w:tcW w:w="880" w:type="dxa"/>
            <w:vAlign w:val="bottom"/>
            <w:tcBorders>
              <w:bottom w:val="single" w:sz="8" w:color="FDF9F2"/>
            </w:tcBorders>
            <w:shd w:val="clear" w:color="auto" w:fill="FDF9F2"/>
          </w:tcPr>
          <w:p>
            <w:pPr>
              <w:jc w:val="right"/>
              <w:ind w:right="106"/>
              <w:spacing w:after="0"/>
              <w:rPr>
                <w:sz w:val="20"/>
                <w:szCs w:val="20"/>
                <w:color w:val="auto"/>
              </w:rPr>
            </w:pPr>
            <w:r>
              <w:rPr>
                <w:rFonts w:ascii="Arial" w:cs="Arial" w:eastAsia="Arial" w:hAnsi="Arial"/>
                <w:sz w:val="16"/>
                <w:szCs w:val="16"/>
                <w:color w:val="auto"/>
              </w:rPr>
              <w:t>*</w:t>
            </w:r>
          </w:p>
        </w:tc>
      </w:tr>
      <w:tr>
        <w:trPr>
          <w:trHeight w:val="235"/>
        </w:trPr>
        <w:tc>
          <w:tcPr>
            <w:tcW w:w="8500" w:type="dxa"/>
            <w:vAlign w:val="bottom"/>
            <w:shd w:val="clear" w:color="auto" w:fill="DEDBD3"/>
          </w:tcPr>
          <w:p>
            <w:pPr>
              <w:ind w:left="100"/>
              <w:spacing w:after="0"/>
              <w:rPr>
                <w:sz w:val="20"/>
                <w:szCs w:val="20"/>
                <w:color w:val="auto"/>
              </w:rPr>
            </w:pPr>
            <w:r>
              <w:rPr>
                <w:rFonts w:ascii="Arial" w:cs="Arial" w:eastAsia="Arial" w:hAnsi="Arial"/>
                <w:sz w:val="14"/>
                <w:szCs w:val="14"/>
                <w:color w:val="auto"/>
              </w:rPr>
              <w:t>All current directors and executive officers as a group (11 persons) (20)</w:t>
            </w:r>
          </w:p>
        </w:tc>
        <w:tc>
          <w:tcPr>
            <w:tcW w:w="1240" w:type="dxa"/>
            <w:vAlign w:val="bottom"/>
            <w:shd w:val="clear" w:color="auto" w:fill="DEDBD3"/>
          </w:tcPr>
          <w:p>
            <w:pPr>
              <w:jc w:val="right"/>
              <w:ind w:right="32"/>
              <w:spacing w:after="0"/>
              <w:rPr>
                <w:sz w:val="20"/>
                <w:szCs w:val="20"/>
                <w:color w:val="auto"/>
              </w:rPr>
            </w:pPr>
            <w:r>
              <w:rPr>
                <w:rFonts w:ascii="Arial" w:cs="Arial" w:eastAsia="Arial" w:hAnsi="Arial"/>
                <w:sz w:val="14"/>
                <w:szCs w:val="14"/>
                <w:color w:val="auto"/>
              </w:rPr>
              <w:t>546,415</w:t>
            </w:r>
          </w:p>
        </w:tc>
        <w:tc>
          <w:tcPr>
            <w:tcW w:w="880" w:type="dxa"/>
            <w:vAlign w:val="bottom"/>
            <w:shd w:val="clear" w:color="auto" w:fill="DEDBD3"/>
          </w:tcPr>
          <w:p>
            <w:pPr>
              <w:jc w:val="right"/>
              <w:ind w:right="106"/>
              <w:spacing w:after="0"/>
              <w:rPr>
                <w:sz w:val="20"/>
                <w:szCs w:val="20"/>
                <w:color w:val="auto"/>
              </w:rPr>
            </w:pPr>
            <w:r>
              <w:rPr>
                <w:rFonts w:ascii="Arial" w:cs="Arial" w:eastAsia="Arial" w:hAnsi="Arial"/>
                <w:sz w:val="16"/>
                <w:szCs w:val="16"/>
                <w:color w:val="auto"/>
              </w:rPr>
              <w:t>*</w:t>
            </w:r>
          </w:p>
        </w:tc>
      </w:tr>
      <w:tr>
        <w:trPr>
          <w:trHeight w:val="38"/>
        </w:trPr>
        <w:tc>
          <w:tcPr>
            <w:tcW w:w="8500" w:type="dxa"/>
            <w:vAlign w:val="bottom"/>
            <w:shd w:val="clear" w:color="auto" w:fill="DEDBD3"/>
          </w:tcPr>
          <w:p>
            <w:pPr>
              <w:spacing w:after="0"/>
              <w:rPr>
                <w:sz w:val="3"/>
                <w:szCs w:val="3"/>
                <w:color w:val="auto"/>
              </w:rPr>
            </w:pPr>
          </w:p>
        </w:tc>
        <w:tc>
          <w:tcPr>
            <w:tcW w:w="1240" w:type="dxa"/>
            <w:vAlign w:val="bottom"/>
            <w:shd w:val="clear" w:color="auto" w:fill="DEDBD3"/>
          </w:tcPr>
          <w:p>
            <w:pPr>
              <w:spacing w:after="0"/>
              <w:rPr>
                <w:sz w:val="3"/>
                <w:szCs w:val="3"/>
                <w:color w:val="auto"/>
              </w:rPr>
            </w:pPr>
          </w:p>
        </w:tc>
        <w:tc>
          <w:tcPr>
            <w:tcW w:w="880" w:type="dxa"/>
            <w:vAlign w:val="bottom"/>
            <w:shd w:val="clear" w:color="auto" w:fill="DEDBD3"/>
          </w:tcPr>
          <w:p>
            <w:pPr>
              <w:spacing w:after="0"/>
              <w:rPr>
                <w:sz w:val="3"/>
                <w:szCs w:val="3"/>
                <w:color w:val="auto"/>
              </w:rPr>
            </w:pPr>
          </w:p>
        </w:tc>
      </w:tr>
    </w:tbl>
    <w:p>
      <w:pPr>
        <w:spacing w:after="0" w:line="11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Less than one percent</w:t>
      </w:r>
    </w:p>
    <w:p>
      <w:pPr>
        <w:spacing w:after="0" w:line="96" w:lineRule="exact"/>
        <w:rPr>
          <w:sz w:val="20"/>
          <w:szCs w:val="20"/>
          <w:color w:val="auto"/>
        </w:rPr>
      </w:pPr>
    </w:p>
    <w:p>
      <w:pPr>
        <w:ind w:left="320" w:right="300" w:hanging="4"/>
        <w:spacing w:after="0" w:line="239" w:lineRule="auto"/>
        <w:tabs>
          <w:tab w:leader="none" w:pos="502"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This table is based upon information supplied by officers, directors, and nominees for director, and contained in Schedules 13D and 13G filed with the SEC. Unless otherwise indicated in the footnotes to this table and subject to community property laws, where applicable, the Company believes each of the shareholders named in this table has sole</w:t>
      </w:r>
    </w:p>
    <w:p>
      <w:pPr>
        <w:spacing w:after="0" w:line="138" w:lineRule="exact"/>
        <w:rPr>
          <w:rFonts w:ascii="Arial" w:cs="Arial" w:eastAsia="Arial" w:hAnsi="Arial"/>
          <w:sz w:val="12"/>
          <w:szCs w:val="12"/>
          <w:color w:val="auto"/>
        </w:rPr>
      </w:pPr>
    </w:p>
    <w:p>
      <w:pPr>
        <w:ind w:left="5680" w:hanging="164"/>
        <w:spacing w:after="0"/>
        <w:tabs>
          <w:tab w:leader="none" w:pos="5680" w:val="left"/>
        </w:tabs>
        <w:numPr>
          <w:ilvl w:val="1"/>
          <w:numId w:val="49"/>
        </w:numPr>
        <w:rPr>
          <w:rFonts w:ascii="Arial" w:cs="Arial" w:eastAsia="Arial" w:hAnsi="Arial"/>
          <w:sz w:val="14"/>
          <w:szCs w:val="14"/>
          <w:color w:val="auto"/>
        </w:rPr>
      </w:pPr>
      <w:r>
        <w:rPr>
          <w:rFonts w:ascii="Arial" w:cs="Arial" w:eastAsia="Arial" w:hAnsi="Arial"/>
          <w:sz w:val="14"/>
          <w:szCs w:val="14"/>
          <w:color w:val="auto"/>
        </w:rPr>
        <w:t>55 //</w:t>
      </w:r>
    </w:p>
    <w:p>
      <w:pPr>
        <w:sectPr>
          <w:pgSz w:w="11900" w:h="16838" w:orient="portrait"/>
          <w:cols w:equalWidth="0" w:num="1">
            <w:col w:w="10940"/>
          </w:cols>
          <w:pgMar w:left="320" w:top="473" w:right="6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right="80"/>
        <w:spacing w:after="0" w:line="239" w:lineRule="auto"/>
        <w:rPr>
          <w:sz w:val="20"/>
          <w:szCs w:val="20"/>
          <w:color w:val="auto"/>
        </w:rPr>
      </w:pPr>
      <w:r>
        <w:rPr>
          <w:rFonts w:ascii="Arial" w:cs="Arial" w:eastAsia="Arial" w:hAnsi="Arial"/>
          <w:sz w:val="12"/>
          <w:szCs w:val="12"/>
          <w:color w:val="auto"/>
        </w:rPr>
        <w:t>voting and investment power with respect to the shares indicated as beneficially owned. Executives and directors have voting power over shares of restricted stock but cannot transfer such shares unless and until they vest.</w:t>
      </w:r>
    </w:p>
    <w:p>
      <w:pPr>
        <w:spacing w:after="0" w:line="89" w:lineRule="exact"/>
        <w:rPr>
          <w:sz w:val="20"/>
          <w:szCs w:val="20"/>
          <w:color w:val="auto"/>
        </w:rPr>
      </w:pPr>
    </w:p>
    <w:p>
      <w:pPr>
        <w:ind w:left="500" w:hanging="184"/>
        <w:spacing w:after="0"/>
        <w:tabs>
          <w:tab w:leader="none" w:pos="500" w:val="left"/>
        </w:tabs>
        <w:numPr>
          <w:ilvl w:val="0"/>
          <w:numId w:val="50"/>
        </w:numPr>
        <w:rPr>
          <w:rFonts w:ascii="Arial" w:cs="Arial" w:eastAsia="Arial" w:hAnsi="Arial"/>
          <w:sz w:val="12"/>
          <w:szCs w:val="12"/>
          <w:color w:val="auto"/>
        </w:rPr>
      </w:pPr>
      <w:r>
        <w:rPr>
          <w:rFonts w:ascii="Arial" w:cs="Arial" w:eastAsia="Arial" w:hAnsi="Arial"/>
          <w:sz w:val="12"/>
          <w:szCs w:val="12"/>
          <w:color w:val="auto"/>
        </w:rPr>
        <w:t>Unless otherwise indicated, the address of each of the named parties in this table is: c/o Wynn Resorts, Limited, 3131 Las Vegas Boulevard South, Las Vegas, Nevada 89109.</w:t>
      </w:r>
    </w:p>
    <w:p>
      <w:pPr>
        <w:spacing w:after="0" w:line="96" w:lineRule="exact"/>
        <w:rPr>
          <w:rFonts w:ascii="Arial" w:cs="Arial" w:eastAsia="Arial" w:hAnsi="Arial"/>
          <w:sz w:val="12"/>
          <w:szCs w:val="12"/>
          <w:color w:val="auto"/>
        </w:rPr>
      </w:pPr>
    </w:p>
    <w:p>
      <w:pPr>
        <w:ind w:left="320" w:right="60" w:hanging="4"/>
        <w:spacing w:after="0" w:line="235" w:lineRule="auto"/>
        <w:tabs>
          <w:tab w:leader="none" w:pos="502"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Vanguard Group (“Vanguard”) has beneficial ownership of these shares as of December 31, 2022. Vanguard has sole dispositive power as to 10,725,155 shares, shared voting power as to 139,114 shares and shared dispositive power as to 407,690 shares. The information provided is based upon a Schedule 13G/A filed on February 9, 2023 by Vanguard. The number of common shares beneficially owned by the Vanguard Group may have changed since the filing of the Schedule 13G/A.</w:t>
      </w:r>
    </w:p>
    <w:p>
      <w:pPr>
        <w:spacing w:after="0" w:line="88" w:lineRule="exact"/>
        <w:rPr>
          <w:rFonts w:ascii="Arial" w:cs="Arial" w:eastAsia="Arial" w:hAnsi="Arial"/>
          <w:sz w:val="12"/>
          <w:szCs w:val="12"/>
          <w:color w:val="auto"/>
        </w:rPr>
      </w:pPr>
    </w:p>
    <w:p>
      <w:pPr>
        <w:ind w:left="500" w:hanging="184"/>
        <w:spacing w:after="0"/>
        <w:tabs>
          <w:tab w:leader="none" w:pos="50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information provided is based upon a Schedule 13D/A, dated August 6, 2018, filed by Elaine P. Wynn.</w:t>
      </w:r>
    </w:p>
    <w:p>
      <w:pPr>
        <w:spacing w:after="0" w:line="96" w:lineRule="exact"/>
        <w:rPr>
          <w:rFonts w:ascii="Arial" w:cs="Arial" w:eastAsia="Arial" w:hAnsi="Arial"/>
          <w:sz w:val="12"/>
          <w:szCs w:val="12"/>
          <w:color w:val="auto"/>
        </w:rPr>
      </w:pPr>
    </w:p>
    <w:p>
      <w:pPr>
        <w:ind w:left="320" w:right="60" w:hanging="4"/>
        <w:spacing w:after="0" w:line="235" w:lineRule="auto"/>
        <w:tabs>
          <w:tab w:leader="none" w:pos="502" w:val="left"/>
        </w:tabs>
        <w:numPr>
          <w:ilvl w:val="0"/>
          <w:numId w:val="50"/>
        </w:numPr>
        <w:rPr>
          <w:rFonts w:ascii="Arial" w:cs="Arial" w:eastAsia="Arial" w:hAnsi="Arial"/>
          <w:sz w:val="12"/>
          <w:szCs w:val="12"/>
          <w:color w:val="auto"/>
        </w:rPr>
      </w:pPr>
      <w:r>
        <w:rPr>
          <w:rFonts w:ascii="Arial" w:cs="Arial" w:eastAsia="Arial" w:hAnsi="Arial"/>
          <w:sz w:val="12"/>
          <w:szCs w:val="12"/>
          <w:color w:val="auto"/>
        </w:rPr>
        <w:t>T. Rowe Price Associates, Inc. (“Price Associates”) has beneficial ownership of these shares as of December 31, 2022. Price Associates has sole dispositive power as to 8,638,226 shares, and sole voting power as to 4,488,675 shares. The information provided is based upon a Schedule 13G/A filed on February 14, 2023 by Price Associates. The number of common shares beneficially owned by Price Associates may have changed since the filing of the Schedule 13G/A.</w:t>
      </w:r>
    </w:p>
    <w:p>
      <w:pPr>
        <w:spacing w:after="0" w:line="88" w:lineRule="exact"/>
        <w:rPr>
          <w:rFonts w:ascii="Arial" w:cs="Arial" w:eastAsia="Arial" w:hAnsi="Arial"/>
          <w:sz w:val="12"/>
          <w:szCs w:val="12"/>
          <w:color w:val="auto"/>
        </w:rPr>
      </w:pPr>
    </w:p>
    <w:p>
      <w:pPr>
        <w:ind w:left="320" w:hanging="4"/>
        <w:spacing w:after="0" w:line="235" w:lineRule="auto"/>
        <w:tabs>
          <w:tab w:leader="none" w:pos="502" w:val="left"/>
        </w:tabs>
        <w:numPr>
          <w:ilvl w:val="0"/>
          <w:numId w:val="50"/>
        </w:numPr>
        <w:rPr>
          <w:rFonts w:ascii="Arial" w:cs="Arial" w:eastAsia="Arial" w:hAnsi="Arial"/>
          <w:sz w:val="12"/>
          <w:szCs w:val="12"/>
          <w:color w:val="auto"/>
        </w:rPr>
      </w:pPr>
      <w:r>
        <w:rPr>
          <w:rFonts w:ascii="Arial" w:cs="Arial" w:eastAsia="Arial" w:hAnsi="Arial"/>
          <w:sz w:val="12"/>
          <w:szCs w:val="12"/>
          <w:color w:val="auto"/>
        </w:rPr>
        <w:t>Capital International Investors, a division of Capital Research and Management Company, has beneficial ownership of these shares as of December 31, 2022. Capital International Investors has sole dispositive power as to 8,022,231 shares, and sole voting power as to 8,022,231 shares. The information provided is based upon a Schedule 13G/A filed on February 13, 2023 by Capital International Investors. The number of common shares beneficially owned by Capital International Investors may have changed since the filing of the Schedule 13G/A.</w:t>
      </w:r>
    </w:p>
    <w:p>
      <w:pPr>
        <w:spacing w:after="0" w:line="88" w:lineRule="exact"/>
        <w:rPr>
          <w:rFonts w:ascii="Arial" w:cs="Arial" w:eastAsia="Arial" w:hAnsi="Arial"/>
          <w:sz w:val="12"/>
          <w:szCs w:val="12"/>
          <w:color w:val="auto"/>
        </w:rPr>
      </w:pPr>
    </w:p>
    <w:p>
      <w:pPr>
        <w:ind w:left="320" w:right="60" w:hanging="4"/>
        <w:spacing w:after="0" w:line="231" w:lineRule="auto"/>
        <w:tabs>
          <w:tab w:leader="none" w:pos="502" w:val="left"/>
        </w:tabs>
        <w:numPr>
          <w:ilvl w:val="0"/>
          <w:numId w:val="50"/>
        </w:numPr>
        <w:rPr>
          <w:rFonts w:ascii="Arial" w:cs="Arial" w:eastAsia="Arial" w:hAnsi="Arial"/>
          <w:sz w:val="12"/>
          <w:szCs w:val="12"/>
          <w:color w:val="auto"/>
        </w:rPr>
      </w:pPr>
      <w:r>
        <w:rPr>
          <w:rFonts w:ascii="Arial" w:cs="Arial" w:eastAsia="Arial" w:hAnsi="Arial"/>
          <w:sz w:val="12"/>
          <w:szCs w:val="12"/>
          <w:color w:val="auto"/>
        </w:rPr>
        <w:t>Tilman J. Fertitta, Hospitality Headquarters, Inc., and Fertitta Entertainment, Inc. (collectively, “Fertitta”) have beneficial ownership of these shares as of December 31, 2023. The amount of common shares reported as beneficially owned in the table includes (i) 6,808,126 shares that are beneficially owned by Hospitality Headquarters, Inc.; (ii) 10,000 shares that are beneficially owned by Fertitta Entertainment, Inc.; and (iii) 99,425 shares that are beneficially owned by Mr. Fertitta. Mr. Fertitta is the sole shareholder of Fertitta Entertainment, Inc. and Hospitality Headquarters, Inc. As such, Mr. Fertitta may be deemed to share beneficial ownership of the securities beneficially owned by Fertitta Entertainment, Inc. and Hospitality Headquarters, Inc. The information provided is based upon a Schedule 13G filed on October 31, 2022 by Fertitta. The number of common shares beneficailly owned by Fertitta may have changed since the filing of the Schedule 13G.</w:t>
      </w:r>
    </w:p>
    <w:p>
      <w:pPr>
        <w:spacing w:after="0" w:line="90" w:lineRule="exact"/>
        <w:rPr>
          <w:rFonts w:ascii="Arial" w:cs="Arial" w:eastAsia="Arial" w:hAnsi="Arial"/>
          <w:sz w:val="12"/>
          <w:szCs w:val="12"/>
          <w:color w:val="auto"/>
        </w:rPr>
      </w:pPr>
    </w:p>
    <w:p>
      <w:pPr>
        <w:ind w:left="320" w:right="220" w:hanging="4"/>
        <w:spacing w:after="0" w:line="235" w:lineRule="auto"/>
        <w:tabs>
          <w:tab w:leader="none" w:pos="502" w:val="left"/>
        </w:tabs>
        <w:numPr>
          <w:ilvl w:val="0"/>
          <w:numId w:val="50"/>
        </w:numPr>
        <w:rPr>
          <w:rFonts w:ascii="Arial" w:cs="Arial" w:eastAsia="Arial" w:hAnsi="Arial"/>
          <w:sz w:val="12"/>
          <w:szCs w:val="12"/>
          <w:color w:val="auto"/>
        </w:rPr>
      </w:pPr>
      <w:r>
        <w:rPr>
          <w:rFonts w:ascii="Arial" w:cs="Arial" w:eastAsia="Arial" w:hAnsi="Arial"/>
          <w:sz w:val="12"/>
          <w:szCs w:val="12"/>
          <w:color w:val="auto"/>
        </w:rPr>
        <w:t>Blackrock, Inc. (“Blackrock”) has beneficial ownership of these shares as of December 31, 2023. Blackrock has sole dispositive power as to 6,704,817 shares, and sole voting power as to 6,061,924 shares. The information provided is based upon a Schedule 13G/A filed on February 1, 2023 by Blackrock. The number of common shares beneficially owned by Blackrock may have changed since the filing of the Schedule 13G/A.</w:t>
      </w:r>
    </w:p>
    <w:p>
      <w:pPr>
        <w:spacing w:after="0" w:line="88" w:lineRule="exact"/>
        <w:rPr>
          <w:rFonts w:ascii="Arial" w:cs="Arial" w:eastAsia="Arial" w:hAnsi="Arial"/>
          <w:sz w:val="12"/>
          <w:szCs w:val="12"/>
          <w:color w:val="auto"/>
        </w:rPr>
      </w:pPr>
    </w:p>
    <w:p>
      <w:pPr>
        <w:ind w:left="500" w:hanging="184"/>
        <w:spacing w:after="0"/>
        <w:tabs>
          <w:tab w:leader="none" w:pos="50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(i) 3,916 shares of unvested restricted stock subject to vesting in accordance with Restricted Stock Agreements and (ii) 11,995 shares held indirectly through a family trust.</w:t>
      </w:r>
    </w:p>
    <w:p>
      <w:pPr>
        <w:spacing w:after="0" w:line="96" w:lineRule="exact"/>
        <w:rPr>
          <w:rFonts w:ascii="Arial" w:cs="Arial" w:eastAsia="Arial" w:hAnsi="Arial"/>
          <w:sz w:val="12"/>
          <w:szCs w:val="12"/>
          <w:color w:val="auto"/>
        </w:rPr>
      </w:pPr>
    </w:p>
    <w:p>
      <w:pPr>
        <w:ind w:left="560" w:hanging="244"/>
        <w:spacing w:after="0"/>
        <w:tabs>
          <w:tab w:leader="none" w:pos="5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3,916 shares of unvested restricted stock subject to vesting in accordance with Restricted Stock Agreements.</w:t>
      </w:r>
    </w:p>
    <w:p>
      <w:pPr>
        <w:spacing w:after="0" w:line="96" w:lineRule="exact"/>
        <w:rPr>
          <w:rFonts w:ascii="Arial" w:cs="Arial" w:eastAsia="Arial" w:hAnsi="Arial"/>
          <w:sz w:val="12"/>
          <w:szCs w:val="12"/>
          <w:color w:val="auto"/>
        </w:rPr>
      </w:pPr>
    </w:p>
    <w:p>
      <w:pPr>
        <w:ind w:left="560" w:hanging="244"/>
        <w:spacing w:after="0"/>
        <w:tabs>
          <w:tab w:leader="none" w:pos="5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3,916 shares of unvested restricted stock subject to vesting in accordance with Restricted Stock Agreements.</w:t>
      </w:r>
    </w:p>
    <w:p>
      <w:pPr>
        <w:spacing w:after="0" w:line="96" w:lineRule="exact"/>
        <w:rPr>
          <w:rFonts w:ascii="Arial" w:cs="Arial" w:eastAsia="Arial" w:hAnsi="Arial"/>
          <w:sz w:val="12"/>
          <w:szCs w:val="12"/>
          <w:color w:val="auto"/>
        </w:rPr>
      </w:pPr>
    </w:p>
    <w:p>
      <w:pPr>
        <w:ind w:left="560" w:hanging="244"/>
        <w:spacing w:after="0"/>
        <w:tabs>
          <w:tab w:leader="none" w:pos="5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3,916 shares of unvested restricted stock subject to vesting in accordance with Restricted Stock Agreements.</w:t>
      </w:r>
    </w:p>
    <w:p>
      <w:pPr>
        <w:spacing w:after="0" w:line="96" w:lineRule="exact"/>
        <w:rPr>
          <w:rFonts w:ascii="Arial" w:cs="Arial" w:eastAsia="Arial" w:hAnsi="Arial"/>
          <w:sz w:val="12"/>
          <w:szCs w:val="12"/>
          <w:color w:val="auto"/>
        </w:rPr>
      </w:pPr>
    </w:p>
    <w:p>
      <w:pPr>
        <w:ind w:left="560" w:hanging="244"/>
        <w:spacing w:after="0"/>
        <w:tabs>
          <w:tab w:leader="none" w:pos="5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3,916 shares of unvested restricted stock subject to vesting in accordance with Restricted Stock Agreements.</w:t>
      </w:r>
    </w:p>
    <w:p>
      <w:pPr>
        <w:spacing w:after="0" w:line="96" w:lineRule="exact"/>
        <w:rPr>
          <w:rFonts w:ascii="Arial" w:cs="Arial" w:eastAsia="Arial" w:hAnsi="Arial"/>
          <w:sz w:val="12"/>
          <w:szCs w:val="12"/>
          <w:color w:val="auto"/>
        </w:rPr>
      </w:pPr>
    </w:p>
    <w:p>
      <w:pPr>
        <w:ind w:left="320" w:right="460" w:hanging="4"/>
        <w:spacing w:after="0" w:line="239" w:lineRule="auto"/>
        <w:tabs>
          <w:tab w:leader="none" w:pos="57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(i) 3,916 shares of unvested restricted stock subject to vesting in accordance with Restricted Stock Agreements, (ii) 6,700 shares subject to immediately exercisable options to purchase Wynn Resorts’ Common Stock, and (iii) 3,082 shares held indirectly through a family trust.</w:t>
      </w:r>
    </w:p>
    <w:p>
      <w:pPr>
        <w:spacing w:after="0" w:line="89" w:lineRule="exact"/>
        <w:rPr>
          <w:rFonts w:ascii="Arial" w:cs="Arial" w:eastAsia="Arial" w:hAnsi="Arial"/>
          <w:sz w:val="12"/>
          <w:szCs w:val="12"/>
          <w:color w:val="auto"/>
        </w:rPr>
      </w:pPr>
    </w:p>
    <w:p>
      <w:pPr>
        <w:ind w:left="320" w:right="260" w:hanging="4"/>
        <w:spacing w:after="0" w:line="239" w:lineRule="auto"/>
        <w:tabs>
          <w:tab w:leader="none" w:pos="57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(i) 3,916 shares of unvested restricted stock subject to vesting in accordance with Restricted Stock Agreements and (ii) 7,000 shares subject to immediately exercisable options to purchase Wynn Resorts’ Common Stock.</w:t>
      </w:r>
    </w:p>
    <w:p>
      <w:pPr>
        <w:spacing w:after="0" w:line="89" w:lineRule="exact"/>
        <w:rPr>
          <w:rFonts w:ascii="Arial" w:cs="Arial" w:eastAsia="Arial" w:hAnsi="Arial"/>
          <w:sz w:val="12"/>
          <w:szCs w:val="12"/>
          <w:color w:val="auto"/>
        </w:rPr>
      </w:pPr>
    </w:p>
    <w:p>
      <w:pPr>
        <w:ind w:left="560" w:hanging="244"/>
        <w:spacing w:after="0"/>
        <w:tabs>
          <w:tab w:leader="none" w:pos="5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3,474 shares of unvested restricted stock subject to vesting in accordance with Restricted Stock Agreements.</w:t>
      </w:r>
    </w:p>
    <w:p>
      <w:pPr>
        <w:spacing w:after="0" w:line="96" w:lineRule="exact"/>
        <w:rPr>
          <w:rFonts w:ascii="Arial" w:cs="Arial" w:eastAsia="Arial" w:hAnsi="Arial"/>
          <w:sz w:val="12"/>
          <w:szCs w:val="12"/>
          <w:color w:val="auto"/>
        </w:rPr>
      </w:pPr>
    </w:p>
    <w:p>
      <w:pPr>
        <w:ind w:left="320" w:right="60" w:hanging="4"/>
        <w:spacing w:after="0" w:line="239" w:lineRule="auto"/>
        <w:tabs>
          <w:tab w:leader="none" w:pos="57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(i) 157,131 shares of unvested restricted stock subject to vesting in accordance with Restricted Stock Agreements and (ii) 21,803 shares subject to immediately exercisable options to purchase Wynn Resorts’ Common Stock.</w:t>
      </w:r>
    </w:p>
    <w:p>
      <w:pPr>
        <w:spacing w:after="0" w:line="89" w:lineRule="exact"/>
        <w:rPr>
          <w:rFonts w:ascii="Arial" w:cs="Arial" w:eastAsia="Arial" w:hAnsi="Arial"/>
          <w:sz w:val="12"/>
          <w:szCs w:val="12"/>
          <w:color w:val="auto"/>
        </w:rPr>
      </w:pPr>
    </w:p>
    <w:p>
      <w:pPr>
        <w:ind w:left="320" w:right="200" w:hanging="4"/>
        <w:spacing w:after="0" w:line="239" w:lineRule="auto"/>
        <w:tabs>
          <w:tab w:leader="none" w:pos="57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(i) 56,503 shares of unvested restricted stock subject to vesting in accordance with Restricted Stock Agreements and (ii) 6,383 shares subject to immediately exercisable options to purchase Wynn Resorts’ Common Stock.</w:t>
      </w:r>
    </w:p>
    <w:p>
      <w:pPr>
        <w:spacing w:after="0" w:line="89" w:lineRule="exact"/>
        <w:rPr>
          <w:rFonts w:ascii="Arial" w:cs="Arial" w:eastAsia="Arial" w:hAnsi="Arial"/>
          <w:sz w:val="12"/>
          <w:szCs w:val="12"/>
          <w:color w:val="auto"/>
        </w:rPr>
      </w:pPr>
    </w:p>
    <w:p>
      <w:pPr>
        <w:ind w:left="560" w:hanging="244"/>
        <w:spacing w:after="0"/>
        <w:tabs>
          <w:tab w:leader="none" w:pos="5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(i) 32,350 shares of unvested restricted stock subject to vesting in accordance with Restricted Stock Agreements.</w:t>
      </w:r>
    </w:p>
    <w:p>
      <w:pPr>
        <w:spacing w:after="0" w:line="96" w:lineRule="exact"/>
        <w:rPr>
          <w:rFonts w:ascii="Arial" w:cs="Arial" w:eastAsia="Arial" w:hAnsi="Arial"/>
          <w:sz w:val="12"/>
          <w:szCs w:val="12"/>
          <w:color w:val="auto"/>
        </w:rPr>
      </w:pPr>
    </w:p>
    <w:p>
      <w:pPr>
        <w:ind w:left="560" w:hanging="244"/>
        <w:spacing w:after="0"/>
        <w:tabs>
          <w:tab w:leader="none" w:pos="5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41,886 shares subject to immediately exercisable stock options to purchase Wynn Resorts’ Common Stock.</w:t>
      </w:r>
    </w:p>
    <w:p>
      <w:pPr>
        <w:spacing w:after="0" w:line="299"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94500"/>
        </w:rPr>
        <w:t>DELINQUENT SECTION 16(A) REPORTS</w:t>
      </w:r>
    </w:p>
    <w:p>
      <w:pPr>
        <w:spacing w:after="0" w:line="6" w:lineRule="exact"/>
        <w:rPr>
          <w:sz w:val="20"/>
          <w:szCs w:val="20"/>
          <w:color w:val="auto"/>
        </w:rPr>
      </w:pPr>
    </w:p>
    <w:p>
      <w:pPr>
        <w:ind w:left="320" w:right="160"/>
        <w:spacing w:after="0" w:line="242" w:lineRule="auto"/>
        <w:rPr>
          <w:sz w:val="20"/>
          <w:szCs w:val="20"/>
          <w:color w:val="auto"/>
        </w:rPr>
      </w:pPr>
      <w:r>
        <w:rPr>
          <w:rFonts w:ascii="Arial" w:cs="Arial" w:eastAsia="Arial" w:hAnsi="Arial"/>
          <w:sz w:val="17"/>
          <w:szCs w:val="17"/>
          <w:color w:val="auto"/>
        </w:rPr>
        <w:t>Section 16(a) of the Exchange Act requires the Company’s executive officers and directors and persons who own more than 10% of the Company’s Common Stock to file reports of ownership on Forms 3, 4 and 5 with the SEC. Executive officers, directors and greater than 10% beneficial owners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2022, except that due to a time delay in securing an EDGAR code for our new CFO, one Form 4 with respect to a restricted stock award granted to Ms. Cameron-Doe was one day late.</w:t>
      </w:r>
    </w:p>
    <w:p>
      <w:pPr>
        <w:spacing w:after="0" w:line="64"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56 //</w:t>
      </w:r>
    </w:p>
    <w:p>
      <w:pPr>
        <w:sectPr>
          <w:pgSz w:w="11900" w:h="16838" w:orient="portrait"/>
          <w:cols w:equalWidth="0" w:num="1">
            <w:col w:w="10860"/>
          </w:cols>
          <w:pgMar w:left="320" w:top="473" w:right="719" w:bottom="1440" w:gutter="0" w:footer="0" w:header="0"/>
        </w:sectPr>
      </w:pPr>
    </w:p>
    <w:bookmarkStart w:id="67" w:name="page68"/>
    <w:bookmarkEnd w:id="67"/>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224155</wp:posOffset>
            </wp:positionV>
            <wp:extent cx="6939280" cy="89217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39280" cy="8921750"/>
                    </a:xfrm>
                    <a:prstGeom prst="rect">
                      <a:avLst/>
                    </a:prstGeom>
                    <a:noFill/>
                  </pic:spPr>
                </pic:pic>
              </a:graphicData>
            </a:graphic>
          </wp:anchor>
        </w:drawing>
      </w:r>
    </w:p>
    <w:p>
      <w:pPr>
        <w:sectPr>
          <w:pgSz w:w="11900" w:h="16838" w:orient="portrait"/>
          <w:cols w:equalWidth="0" w:num="1">
            <w:col w:w="10139"/>
          </w:cols>
          <w:pgMar w:left="320" w:top="473" w:right="1440"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auto"/>
        </w:rPr>
        <w:t>Proposal 1: Election of directors</w:t>
      </w:r>
    </w:p>
    <w:p>
      <w:pPr>
        <w:spacing w:after="0" w:line="229" w:lineRule="exact"/>
        <w:rPr>
          <w:sz w:val="20"/>
          <w:szCs w:val="20"/>
          <w:color w:val="auto"/>
        </w:rPr>
      </w:pPr>
    </w:p>
    <w:p>
      <w:pPr>
        <w:ind w:left="320" w:right="500"/>
        <w:spacing w:after="0" w:line="256" w:lineRule="auto"/>
        <w:rPr>
          <w:sz w:val="20"/>
          <w:szCs w:val="20"/>
          <w:color w:val="auto"/>
        </w:rPr>
      </w:pPr>
      <w:r>
        <w:rPr>
          <w:rFonts w:ascii="Arial" w:cs="Arial" w:eastAsia="Arial" w:hAnsi="Arial"/>
          <w:sz w:val="17"/>
          <w:szCs w:val="17"/>
          <w:color w:val="auto"/>
        </w:rPr>
        <w:t>At the recommendation of the Company’s Nominating and Corporate Governance Committee, the Board is nominating the following individuals for election as Class III directors:</w:t>
      </w:r>
    </w:p>
    <w:p>
      <w:pPr>
        <w:spacing w:after="0" w:line="12" w:lineRule="exact"/>
        <w:rPr>
          <w:sz w:val="20"/>
          <w:szCs w:val="20"/>
          <w:color w:val="auto"/>
        </w:rPr>
      </w:pPr>
    </w:p>
    <w:p>
      <w:pPr>
        <w:ind w:left="520" w:hanging="204"/>
        <w:spacing w:after="0"/>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Richard J. Byrne</w:t>
      </w:r>
    </w:p>
    <w:p>
      <w:pPr>
        <w:spacing w:after="0" w:line="38" w:lineRule="exact"/>
        <w:rPr>
          <w:rFonts w:ascii="Arial" w:cs="Arial" w:eastAsia="Arial" w:hAnsi="Arial"/>
          <w:sz w:val="17"/>
          <w:szCs w:val="17"/>
          <w:color w:val="auto"/>
        </w:rPr>
      </w:pPr>
    </w:p>
    <w:p>
      <w:pPr>
        <w:ind w:left="520" w:hanging="204"/>
        <w:spacing w:after="0"/>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Patricia Mulroy</w:t>
      </w:r>
    </w:p>
    <w:p>
      <w:pPr>
        <w:spacing w:after="0" w:line="38" w:lineRule="exact"/>
        <w:rPr>
          <w:rFonts w:ascii="Arial" w:cs="Arial" w:eastAsia="Arial" w:hAnsi="Arial"/>
          <w:sz w:val="17"/>
          <w:szCs w:val="17"/>
          <w:color w:val="auto"/>
        </w:rPr>
      </w:pPr>
    </w:p>
    <w:p>
      <w:pPr>
        <w:ind w:left="520" w:hanging="204"/>
        <w:spacing w:after="0"/>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Philip G. Satre</w:t>
      </w:r>
    </w:p>
    <w:p>
      <w:pPr>
        <w:spacing w:after="0" w:line="169" w:lineRule="exact"/>
        <w:rPr>
          <w:sz w:val="20"/>
          <w:szCs w:val="20"/>
          <w:color w:val="auto"/>
        </w:rPr>
      </w:pPr>
    </w:p>
    <w:p>
      <w:pPr>
        <w:ind w:left="320"/>
        <w:spacing w:after="0" w:line="241" w:lineRule="auto"/>
        <w:rPr>
          <w:sz w:val="20"/>
          <w:szCs w:val="20"/>
          <w:color w:val="auto"/>
        </w:rPr>
      </w:pPr>
      <w:r>
        <w:rPr>
          <w:rFonts w:ascii="Arial" w:cs="Arial" w:eastAsia="Arial" w:hAnsi="Arial"/>
          <w:sz w:val="17"/>
          <w:szCs w:val="17"/>
          <w:color w:val="auto"/>
        </w:rPr>
        <w:t>The Board has nominated the three individuals listed above to serve as Class III directors for terms that commence upon election at the 2023 Annual Meeting. If elected at the 2023 Annual Meeting, each nominee would serve until the 2026 Annual Meeting and until his or her successor has been duly elected and qualified, or until his or her earlier death, resignation, removal or retirement. The persons designated as proxies will have discretion to cast votes for other persons in the event any nominee for director is unable to serve, or the Board may choose to reduce the size of the Board. At present, it is not anticipated that any nominee will be unable to serve. If any director nominee is not elected at the 2023 Annual Meeting, the remaining members of the Board may fill the resulting vacancy, or the Board may choose to reduce the size of the Board. Biographical and other information for our nominees and our current directors is provided in the “Director Biographies” section.</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1655E"/>
        </w:rPr>
        <w:t>OUR BOARD OF DIRECTORS RECOMMENDS THAT YOU VOTE FOR THE ELECTION OF EACH OF THE NOMINEES LISTED ABOVE.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 w:right="5080"/>
        <w:spacing w:after="0" w:line="294" w:lineRule="auto"/>
        <w:rPr>
          <w:sz w:val="20"/>
          <w:szCs w:val="20"/>
          <w:color w:val="auto"/>
        </w:rPr>
      </w:pPr>
      <w:r>
        <w:rPr>
          <w:rFonts w:ascii="Arial" w:cs="Arial" w:eastAsia="Arial" w:hAnsi="Arial"/>
          <w:sz w:val="29"/>
          <w:szCs w:val="29"/>
          <w:b w:val="1"/>
          <w:bCs w:val="1"/>
          <w:color w:val="auto"/>
        </w:rPr>
        <w:t>Proposal 2: Ratification of appointment of independent auditors</w:t>
      </w:r>
    </w:p>
    <w:p>
      <w:pPr>
        <w:spacing w:after="0" w:line="96" w:lineRule="exact"/>
        <w:rPr>
          <w:sz w:val="20"/>
          <w:szCs w:val="20"/>
          <w:color w:val="auto"/>
        </w:rPr>
      </w:pPr>
    </w:p>
    <w:p>
      <w:pPr>
        <w:jc w:val="both"/>
        <w:ind w:left="320" w:right="220"/>
        <w:spacing w:after="0" w:line="245" w:lineRule="auto"/>
        <w:rPr>
          <w:sz w:val="20"/>
          <w:szCs w:val="20"/>
          <w:color w:val="auto"/>
        </w:rPr>
      </w:pPr>
      <w:r>
        <w:rPr>
          <w:rFonts w:ascii="Arial" w:cs="Arial" w:eastAsia="Arial" w:hAnsi="Arial"/>
          <w:sz w:val="17"/>
          <w:szCs w:val="17"/>
          <w:color w:val="auto"/>
        </w:rPr>
        <w:t>The Audit Committee of the Board has selected Ernst &amp; Young LLP, a registered public accounting firm, as our independent auditors to examine and report to our shareholders on the consolidated financial statements of our Company and its subsidiaries for the fiscal year ending December 31, 2023. Representatives of Ernst &amp; Young LLP are expected to be present at the virtual Annual Meeting and will be given an opportunity to make a statement.</w:t>
      </w:r>
    </w:p>
    <w:p>
      <w:pPr>
        <w:spacing w:after="0" w:line="151" w:lineRule="exact"/>
        <w:rPr>
          <w:sz w:val="20"/>
          <w:szCs w:val="20"/>
          <w:color w:val="auto"/>
        </w:rPr>
      </w:pPr>
    </w:p>
    <w:p>
      <w:pPr>
        <w:ind w:left="320" w:right="20"/>
        <w:spacing w:after="0" w:line="242" w:lineRule="auto"/>
        <w:rPr>
          <w:sz w:val="20"/>
          <w:szCs w:val="20"/>
          <w:color w:val="auto"/>
        </w:rPr>
      </w:pPr>
      <w:r>
        <w:rPr>
          <w:rFonts w:ascii="Arial" w:cs="Arial" w:eastAsia="Arial" w:hAnsi="Arial"/>
          <w:sz w:val="17"/>
          <w:szCs w:val="17"/>
          <w:color w:val="auto"/>
        </w:rPr>
        <w:t>As a matter of good corporate governance, the Audit Committee has determined to seek shareholder ratification of its selection of Ernst &amp; Young LLP as the Company’s independent auditors, although this is not required under Nevada law, the Company’s Articles or Bylaws, SEC rules or applicable listing standards. If the shareholders do not ratify the selection of Ernst &amp; Young LLP as the Company’s independent auditors for 2023, the Audit Committee will evaluate what would be in the best interests of the Company and its shareholders and consider whether to select new independent auditors. Even if the shareholders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shareholders.</w:t>
      </w:r>
    </w:p>
    <w:p>
      <w:pPr>
        <w:spacing w:after="0" w:line="145" w:lineRule="exact"/>
        <w:rPr>
          <w:sz w:val="20"/>
          <w:szCs w:val="20"/>
          <w:color w:val="auto"/>
        </w:rPr>
      </w:pPr>
    </w:p>
    <w:p>
      <w:pPr>
        <w:ind w:left="320" w:right="60"/>
        <w:spacing w:after="0" w:line="251" w:lineRule="auto"/>
        <w:rPr>
          <w:sz w:val="20"/>
          <w:szCs w:val="20"/>
          <w:color w:val="auto"/>
        </w:rPr>
      </w:pPr>
      <w:r>
        <w:rPr>
          <w:rFonts w:ascii="Arial" w:cs="Arial" w:eastAsia="Arial" w:hAnsi="Arial"/>
          <w:sz w:val="14"/>
          <w:szCs w:val="14"/>
          <w:b w:val="1"/>
          <w:bCs w:val="1"/>
          <w:color w:val="71655E"/>
        </w:rPr>
        <w:t>OUR BOARD OF DIRECTORS RECOMMENDS THAT YOU VOTE FOR THE RATIFICATION OF THE APPOINTMENT OF ERNST &amp; YOUNG LLP AS THE COMPANY’S INDEPENDENT AUDITORS FOR THE YEAR 2023.</w:t>
      </w:r>
    </w:p>
    <w:p>
      <w:pPr>
        <w:spacing w:after="0" w:line="1"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58 //</w:t>
      </w:r>
    </w:p>
    <w:p>
      <w:pPr>
        <w:sectPr>
          <w:pgSz w:w="11900" w:h="16838" w:orient="portrait"/>
          <w:cols w:equalWidth="0" w:num="1">
            <w:col w:w="10900"/>
          </w:cols>
          <w:pgMar w:left="320" w:top="473" w:right="67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1655E"/>
        </w:rPr>
        <w:t>AUDIT AND OTHER FEES</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aggregate fees billed (or expected to be billed) to the Company for audit and other services provided by</w:t>
      </w:r>
    </w:p>
    <w:p>
      <w:pPr>
        <w:ind w:left="320"/>
        <w:spacing w:after="0"/>
        <w:rPr>
          <w:sz w:val="20"/>
          <w:szCs w:val="20"/>
          <w:color w:val="auto"/>
        </w:rPr>
      </w:pPr>
      <w:r>
        <w:rPr>
          <w:rFonts w:ascii="Arial" w:cs="Arial" w:eastAsia="Arial" w:hAnsi="Arial"/>
          <w:sz w:val="17"/>
          <w:szCs w:val="17"/>
          <w:color w:val="auto"/>
        </w:rPr>
        <w:t>Ernst &amp; Young LLP, the Company’s independent auditor, for each of the fiscal years ended December 31, 2022, and December 31, 2021:</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8300" w:type="dxa"/>
            <w:vAlign w:val="bottom"/>
            <w:tcBorders>
              <w:right w:val="single" w:sz="8" w:color="E2EDED"/>
            </w:tcBorders>
            <w:shd w:val="clear" w:color="auto" w:fill="71655E"/>
          </w:tcPr>
          <w:p>
            <w:pPr>
              <w:spacing w:after="0"/>
              <w:rPr>
                <w:sz w:val="19"/>
                <w:szCs w:val="19"/>
                <w:color w:val="auto"/>
              </w:rPr>
            </w:pPr>
          </w:p>
        </w:tc>
        <w:tc>
          <w:tcPr>
            <w:tcW w:w="260" w:type="dxa"/>
            <w:vAlign w:val="bottom"/>
            <w:shd w:val="clear" w:color="auto" w:fill="71655E"/>
          </w:tcPr>
          <w:p>
            <w:pPr>
              <w:spacing w:after="0"/>
              <w:rPr>
                <w:sz w:val="19"/>
                <w:szCs w:val="19"/>
                <w:color w:val="auto"/>
              </w:rPr>
            </w:pPr>
          </w:p>
        </w:tc>
        <w:tc>
          <w:tcPr>
            <w:tcW w:w="2060" w:type="dxa"/>
            <w:vAlign w:val="bottom"/>
            <w:gridSpan w:val="3"/>
            <w:shd w:val="clear" w:color="auto" w:fill="71655E"/>
          </w:tcPr>
          <w:p>
            <w:pPr>
              <w:jc w:val="right"/>
              <w:ind w:right="714"/>
              <w:spacing w:after="0"/>
              <w:rPr>
                <w:sz w:val="20"/>
                <w:szCs w:val="20"/>
                <w:color w:val="auto"/>
              </w:rPr>
            </w:pPr>
            <w:r>
              <w:rPr>
                <w:rFonts w:ascii="Arial" w:cs="Arial" w:eastAsia="Arial" w:hAnsi="Arial"/>
                <w:sz w:val="10"/>
                <w:szCs w:val="10"/>
                <w:b w:val="1"/>
                <w:bCs w:val="1"/>
                <w:color w:val="FFFFFF"/>
              </w:rPr>
              <w:t>AGGREGATE FEES</w:t>
            </w:r>
          </w:p>
        </w:tc>
        <w:tc>
          <w:tcPr>
            <w:tcW w:w="0" w:type="dxa"/>
            <w:vAlign w:val="bottom"/>
          </w:tcPr>
          <w:p>
            <w:pPr>
              <w:spacing w:after="0"/>
              <w:rPr>
                <w:sz w:val="1"/>
                <w:szCs w:val="1"/>
                <w:color w:val="auto"/>
              </w:rPr>
            </w:pPr>
          </w:p>
        </w:tc>
      </w:tr>
      <w:tr>
        <w:trPr>
          <w:trHeight w:val="61"/>
        </w:trPr>
        <w:tc>
          <w:tcPr>
            <w:tcW w:w="8300" w:type="dxa"/>
            <w:vAlign w:val="bottom"/>
            <w:tcBorders>
              <w:right w:val="single" w:sz="8" w:color="E2EDED"/>
            </w:tcBorders>
            <w:vMerge w:val="restart"/>
            <w:shd w:val="clear" w:color="auto" w:fill="71655E"/>
          </w:tcPr>
          <w:p>
            <w:pPr>
              <w:ind w:left="60"/>
              <w:spacing w:after="0"/>
              <w:rPr>
                <w:sz w:val="20"/>
                <w:szCs w:val="20"/>
                <w:color w:val="auto"/>
              </w:rPr>
            </w:pPr>
            <w:r>
              <w:rPr>
                <w:rFonts w:ascii="Arial" w:cs="Arial" w:eastAsia="Arial" w:hAnsi="Arial"/>
                <w:sz w:val="10"/>
                <w:szCs w:val="10"/>
                <w:b w:val="1"/>
                <w:bCs w:val="1"/>
                <w:color w:val="FFFFFF"/>
              </w:rPr>
              <w:t>CATEGORY</w:t>
            </w:r>
          </w:p>
        </w:tc>
        <w:tc>
          <w:tcPr>
            <w:tcW w:w="260" w:type="dxa"/>
            <w:vAlign w:val="bottom"/>
            <w:shd w:val="clear" w:color="auto" w:fill="71655E"/>
          </w:tcPr>
          <w:p>
            <w:pPr>
              <w:spacing w:after="0"/>
              <w:rPr>
                <w:sz w:val="5"/>
                <w:szCs w:val="5"/>
                <w:color w:val="auto"/>
              </w:rPr>
            </w:pPr>
          </w:p>
        </w:tc>
        <w:tc>
          <w:tcPr>
            <w:tcW w:w="880" w:type="dxa"/>
            <w:vAlign w:val="bottom"/>
            <w:vMerge w:val="restart"/>
            <w:shd w:val="clear" w:color="auto" w:fill="71655E"/>
          </w:tcPr>
          <w:p>
            <w:pPr>
              <w:jc w:val="right"/>
              <w:ind w:right="496"/>
              <w:spacing w:after="0"/>
              <w:rPr>
                <w:sz w:val="20"/>
                <w:szCs w:val="20"/>
                <w:color w:val="auto"/>
              </w:rPr>
            </w:pPr>
            <w:r>
              <w:rPr>
                <w:rFonts w:ascii="Arial" w:cs="Arial" w:eastAsia="Arial" w:hAnsi="Arial"/>
                <w:sz w:val="10"/>
                <w:szCs w:val="10"/>
                <w:b w:val="1"/>
                <w:bCs w:val="1"/>
                <w:color w:val="FFFFFF"/>
              </w:rPr>
              <w:t>2022</w:t>
            </w:r>
          </w:p>
        </w:tc>
        <w:tc>
          <w:tcPr>
            <w:tcW w:w="300" w:type="dxa"/>
            <w:vAlign w:val="bottom"/>
            <w:tcBorders>
              <w:left w:val="single" w:sz="8" w:color="71655E"/>
            </w:tcBorders>
            <w:shd w:val="clear" w:color="auto" w:fill="71655E"/>
          </w:tcPr>
          <w:p>
            <w:pPr>
              <w:spacing w:after="0"/>
              <w:rPr>
                <w:sz w:val="5"/>
                <w:szCs w:val="5"/>
                <w:color w:val="auto"/>
              </w:rPr>
            </w:pPr>
          </w:p>
        </w:tc>
        <w:tc>
          <w:tcPr>
            <w:tcW w:w="880" w:type="dxa"/>
            <w:vAlign w:val="bottom"/>
            <w:vMerge w:val="restart"/>
            <w:shd w:val="clear" w:color="auto" w:fill="71655E"/>
          </w:tcPr>
          <w:p>
            <w:pPr>
              <w:jc w:val="right"/>
              <w:ind w:right="494"/>
              <w:spacing w:after="0"/>
              <w:rPr>
                <w:sz w:val="20"/>
                <w:szCs w:val="20"/>
                <w:color w:val="auto"/>
              </w:rPr>
            </w:pPr>
            <w:r>
              <w:rPr>
                <w:rFonts w:ascii="Arial" w:cs="Arial" w:eastAsia="Arial" w:hAnsi="Arial"/>
                <w:sz w:val="10"/>
                <w:szCs w:val="10"/>
                <w:b w:val="1"/>
                <w:bCs w:val="1"/>
                <w:color w:val="FFFFFF"/>
              </w:rPr>
              <w:t>2021</w:t>
            </w:r>
          </w:p>
        </w:tc>
        <w:tc>
          <w:tcPr>
            <w:tcW w:w="0" w:type="dxa"/>
            <w:vAlign w:val="bottom"/>
          </w:tcPr>
          <w:p>
            <w:pPr>
              <w:spacing w:after="0"/>
              <w:rPr>
                <w:sz w:val="1"/>
                <w:szCs w:val="1"/>
                <w:color w:val="auto"/>
              </w:rPr>
            </w:pPr>
          </w:p>
        </w:tc>
      </w:tr>
      <w:tr>
        <w:trPr>
          <w:trHeight w:val="186"/>
        </w:trPr>
        <w:tc>
          <w:tcPr>
            <w:tcW w:w="8300" w:type="dxa"/>
            <w:vAlign w:val="bottom"/>
            <w:tcBorders>
              <w:right w:val="single" w:sz="8" w:color="E2EDED"/>
            </w:tcBorders>
            <w:vMerge w:val="continue"/>
            <w:shd w:val="clear" w:color="auto" w:fill="71655E"/>
          </w:tcPr>
          <w:p>
            <w:pPr>
              <w:spacing w:after="0"/>
              <w:rPr>
                <w:sz w:val="16"/>
                <w:szCs w:val="16"/>
                <w:color w:val="auto"/>
              </w:rPr>
            </w:pPr>
          </w:p>
        </w:tc>
        <w:tc>
          <w:tcPr>
            <w:tcW w:w="260" w:type="dxa"/>
            <w:vAlign w:val="bottom"/>
            <w:shd w:val="clear" w:color="auto" w:fill="71655E"/>
          </w:tcPr>
          <w:p>
            <w:pPr>
              <w:spacing w:after="0"/>
              <w:rPr>
                <w:sz w:val="16"/>
                <w:szCs w:val="16"/>
                <w:color w:val="auto"/>
              </w:rPr>
            </w:pPr>
          </w:p>
        </w:tc>
        <w:tc>
          <w:tcPr>
            <w:tcW w:w="880" w:type="dxa"/>
            <w:vAlign w:val="bottom"/>
            <w:vMerge w:val="continue"/>
            <w:shd w:val="clear" w:color="auto" w:fill="71655E"/>
          </w:tcPr>
          <w:p>
            <w:pPr>
              <w:spacing w:after="0"/>
              <w:rPr>
                <w:sz w:val="16"/>
                <w:szCs w:val="16"/>
                <w:color w:val="auto"/>
              </w:rPr>
            </w:pPr>
          </w:p>
        </w:tc>
        <w:tc>
          <w:tcPr>
            <w:tcW w:w="300" w:type="dxa"/>
            <w:vAlign w:val="bottom"/>
            <w:tcBorders>
              <w:left w:val="single" w:sz="8" w:color="E2EDED"/>
            </w:tcBorders>
            <w:shd w:val="clear" w:color="auto" w:fill="71655E"/>
          </w:tcPr>
          <w:p>
            <w:pPr>
              <w:spacing w:after="0"/>
              <w:rPr>
                <w:sz w:val="16"/>
                <w:szCs w:val="16"/>
                <w:color w:val="auto"/>
              </w:rPr>
            </w:pPr>
          </w:p>
        </w:tc>
        <w:tc>
          <w:tcPr>
            <w:tcW w:w="880" w:type="dxa"/>
            <w:vAlign w:val="bottom"/>
            <w:vMerge w:val="continue"/>
            <w:shd w:val="clear" w:color="auto" w:fill="71655E"/>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8300" w:type="dxa"/>
            <w:vAlign w:val="bottom"/>
            <w:tcBorders>
              <w:right w:val="single" w:sz="8" w:color="E2EDED"/>
            </w:tcBorders>
            <w:shd w:val="clear" w:color="auto" w:fill="71655E"/>
          </w:tcPr>
          <w:p>
            <w:pPr>
              <w:spacing w:after="0"/>
              <w:rPr>
                <w:sz w:val="5"/>
                <w:szCs w:val="5"/>
                <w:color w:val="auto"/>
              </w:rPr>
            </w:pPr>
          </w:p>
        </w:tc>
        <w:tc>
          <w:tcPr>
            <w:tcW w:w="260" w:type="dxa"/>
            <w:vAlign w:val="bottom"/>
            <w:shd w:val="clear" w:color="auto" w:fill="71655E"/>
          </w:tcPr>
          <w:p>
            <w:pPr>
              <w:spacing w:after="0"/>
              <w:rPr>
                <w:sz w:val="5"/>
                <w:szCs w:val="5"/>
                <w:color w:val="auto"/>
              </w:rPr>
            </w:pPr>
          </w:p>
        </w:tc>
        <w:tc>
          <w:tcPr>
            <w:tcW w:w="880" w:type="dxa"/>
            <w:vAlign w:val="bottom"/>
            <w:shd w:val="clear" w:color="auto" w:fill="71655E"/>
          </w:tcPr>
          <w:p>
            <w:pPr>
              <w:spacing w:after="0"/>
              <w:rPr>
                <w:sz w:val="5"/>
                <w:szCs w:val="5"/>
                <w:color w:val="auto"/>
              </w:rPr>
            </w:pPr>
          </w:p>
        </w:tc>
        <w:tc>
          <w:tcPr>
            <w:tcW w:w="300" w:type="dxa"/>
            <w:vAlign w:val="bottom"/>
            <w:tcBorders>
              <w:left w:val="single" w:sz="8" w:color="E2EDED"/>
            </w:tcBorders>
            <w:shd w:val="clear" w:color="auto" w:fill="71655E"/>
          </w:tcPr>
          <w:p>
            <w:pPr>
              <w:spacing w:after="0"/>
              <w:rPr>
                <w:sz w:val="5"/>
                <w:szCs w:val="5"/>
                <w:color w:val="auto"/>
              </w:rPr>
            </w:pPr>
          </w:p>
        </w:tc>
        <w:tc>
          <w:tcPr>
            <w:tcW w:w="880" w:type="dxa"/>
            <w:vAlign w:val="bottom"/>
            <w:shd w:val="clear" w:color="auto" w:fill="71655E"/>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8300" w:type="dxa"/>
            <w:vAlign w:val="bottom"/>
            <w:tcBorders>
              <w:bottom w:val="single" w:sz="8" w:color="DEDBD3"/>
              <w:right w:val="single" w:sz="8" w:color="E2EDED"/>
            </w:tcBorders>
            <w:shd w:val="clear" w:color="auto" w:fill="DEDBD3"/>
          </w:tcPr>
          <w:p>
            <w:pPr>
              <w:ind w:left="60"/>
              <w:spacing w:after="0"/>
              <w:rPr>
                <w:sz w:val="20"/>
                <w:szCs w:val="20"/>
                <w:color w:val="auto"/>
              </w:rPr>
            </w:pPr>
            <w:r>
              <w:rPr>
                <w:rFonts w:ascii="Arial" w:cs="Arial" w:eastAsia="Arial" w:hAnsi="Arial"/>
                <w:sz w:val="14"/>
                <w:szCs w:val="14"/>
                <w:color w:val="auto"/>
              </w:rPr>
              <w:t>Audit fees</w:t>
            </w:r>
          </w:p>
        </w:tc>
        <w:tc>
          <w:tcPr>
            <w:tcW w:w="260" w:type="dxa"/>
            <w:vAlign w:val="bottom"/>
            <w:tcBorders>
              <w:bottom w:val="single" w:sz="8" w:color="DEDBD3"/>
            </w:tcBorders>
            <w:shd w:val="clear" w:color="auto" w:fill="DEDBD3"/>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EDBD3"/>
            </w:tcBorders>
            <w:shd w:val="clear" w:color="auto" w:fill="DEDBD3"/>
          </w:tcPr>
          <w:p>
            <w:pPr>
              <w:jc w:val="right"/>
              <w:ind w:right="196"/>
              <w:spacing w:after="0"/>
              <w:rPr>
                <w:sz w:val="20"/>
                <w:szCs w:val="20"/>
                <w:color w:val="auto"/>
              </w:rPr>
            </w:pPr>
            <w:r>
              <w:rPr>
                <w:rFonts w:ascii="Arial" w:cs="Arial" w:eastAsia="Arial" w:hAnsi="Arial"/>
                <w:sz w:val="14"/>
                <w:szCs w:val="14"/>
                <w:color w:val="auto"/>
                <w:w w:val="96"/>
              </w:rPr>
              <w:t>4,857,385</w:t>
            </w:r>
          </w:p>
        </w:tc>
        <w:tc>
          <w:tcPr>
            <w:tcW w:w="300" w:type="dxa"/>
            <w:vAlign w:val="bottom"/>
            <w:tcBorders>
              <w:left w:val="single" w:sz="8" w:color="E2EDED"/>
              <w:bottom w:val="single" w:sz="8" w:color="DEDBD3"/>
            </w:tcBorders>
            <w:shd w:val="clear" w:color="auto" w:fill="DEDBD3"/>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EDBD3"/>
            </w:tcBorders>
            <w:shd w:val="clear" w:color="auto" w:fill="DEDBD3"/>
          </w:tcPr>
          <w:p>
            <w:pPr>
              <w:jc w:val="right"/>
              <w:ind w:right="194"/>
              <w:spacing w:after="0"/>
              <w:rPr>
                <w:sz w:val="20"/>
                <w:szCs w:val="20"/>
                <w:color w:val="auto"/>
              </w:rPr>
            </w:pPr>
            <w:r>
              <w:rPr>
                <w:rFonts w:ascii="Arial" w:cs="Arial" w:eastAsia="Arial" w:hAnsi="Arial"/>
                <w:sz w:val="14"/>
                <w:szCs w:val="14"/>
                <w:color w:val="auto"/>
                <w:w w:val="96"/>
              </w:rPr>
              <w:t>5,520,862</w:t>
            </w:r>
          </w:p>
        </w:tc>
        <w:tc>
          <w:tcPr>
            <w:tcW w:w="0" w:type="dxa"/>
            <w:vAlign w:val="bottom"/>
          </w:tcPr>
          <w:p>
            <w:pPr>
              <w:spacing w:after="0"/>
              <w:rPr>
                <w:sz w:val="1"/>
                <w:szCs w:val="1"/>
                <w:color w:val="auto"/>
              </w:rPr>
            </w:pPr>
          </w:p>
        </w:tc>
      </w:tr>
      <w:tr>
        <w:trPr>
          <w:trHeight w:val="253"/>
        </w:trPr>
        <w:tc>
          <w:tcPr>
            <w:tcW w:w="8300" w:type="dxa"/>
            <w:vAlign w:val="bottom"/>
            <w:tcBorders>
              <w:bottom w:val="single" w:sz="8" w:color="FCFCF7"/>
              <w:right w:val="single" w:sz="8" w:color="E2EDED"/>
            </w:tcBorders>
            <w:shd w:val="clear" w:color="auto" w:fill="FCFCF7"/>
          </w:tcPr>
          <w:p>
            <w:pPr>
              <w:ind w:left="60"/>
              <w:spacing w:after="0"/>
              <w:rPr>
                <w:sz w:val="20"/>
                <w:szCs w:val="20"/>
                <w:color w:val="auto"/>
              </w:rPr>
            </w:pPr>
            <w:r>
              <w:rPr>
                <w:rFonts w:ascii="Arial" w:cs="Arial" w:eastAsia="Arial" w:hAnsi="Arial"/>
                <w:sz w:val="14"/>
                <w:szCs w:val="14"/>
                <w:color w:val="auto"/>
              </w:rPr>
              <w:t>Audit-related fees</w:t>
            </w:r>
          </w:p>
        </w:tc>
        <w:tc>
          <w:tcPr>
            <w:tcW w:w="260" w:type="dxa"/>
            <w:vAlign w:val="bottom"/>
            <w:tcBorders>
              <w:bottom w:val="single" w:sz="8" w:color="FCFCF7"/>
            </w:tcBorders>
            <w:shd w:val="clear" w:color="auto" w:fill="FCFCF7"/>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CFCF7"/>
            </w:tcBorders>
            <w:shd w:val="clear" w:color="auto" w:fill="FCFCF7"/>
          </w:tcPr>
          <w:p>
            <w:pPr>
              <w:jc w:val="right"/>
              <w:ind w:right="196"/>
              <w:spacing w:after="0"/>
              <w:rPr>
                <w:sz w:val="20"/>
                <w:szCs w:val="20"/>
                <w:color w:val="auto"/>
              </w:rPr>
            </w:pPr>
            <w:r>
              <w:rPr>
                <w:rFonts w:ascii="Arial" w:cs="Arial" w:eastAsia="Arial" w:hAnsi="Arial"/>
                <w:sz w:val="14"/>
                <w:szCs w:val="14"/>
                <w:color w:val="auto"/>
              </w:rPr>
              <w:t>39,000</w:t>
            </w:r>
          </w:p>
        </w:tc>
        <w:tc>
          <w:tcPr>
            <w:tcW w:w="300" w:type="dxa"/>
            <w:vAlign w:val="bottom"/>
            <w:tcBorders>
              <w:left w:val="single" w:sz="8" w:color="E2EDED"/>
              <w:bottom w:val="single" w:sz="8" w:color="FCFCF7"/>
            </w:tcBorders>
            <w:shd w:val="clear" w:color="auto" w:fill="FCFCF7"/>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CFCF7"/>
            </w:tcBorders>
            <w:shd w:val="clear" w:color="auto" w:fill="FCFCF7"/>
          </w:tcPr>
          <w:p>
            <w:pPr>
              <w:jc w:val="right"/>
              <w:ind w:right="194"/>
              <w:spacing w:after="0"/>
              <w:rPr>
                <w:sz w:val="20"/>
                <w:szCs w:val="20"/>
                <w:color w:val="auto"/>
              </w:rPr>
            </w:pPr>
            <w:r>
              <w:rPr>
                <w:rFonts w:ascii="Arial" w:cs="Arial" w:eastAsia="Arial" w:hAnsi="Arial"/>
                <w:sz w:val="14"/>
                <w:szCs w:val="14"/>
                <w:color w:val="auto"/>
              </w:rPr>
              <w:t>492,129</w:t>
            </w:r>
          </w:p>
        </w:tc>
        <w:tc>
          <w:tcPr>
            <w:tcW w:w="0" w:type="dxa"/>
            <w:vAlign w:val="bottom"/>
          </w:tcPr>
          <w:p>
            <w:pPr>
              <w:spacing w:after="0"/>
              <w:rPr>
                <w:sz w:val="1"/>
                <w:szCs w:val="1"/>
                <w:color w:val="auto"/>
              </w:rPr>
            </w:pPr>
          </w:p>
        </w:tc>
      </w:tr>
      <w:tr>
        <w:trPr>
          <w:trHeight w:val="253"/>
        </w:trPr>
        <w:tc>
          <w:tcPr>
            <w:tcW w:w="8300" w:type="dxa"/>
            <w:vAlign w:val="bottom"/>
            <w:tcBorders>
              <w:bottom w:val="single" w:sz="8" w:color="DEDBD3"/>
              <w:right w:val="single" w:sz="8" w:color="E2EDED"/>
            </w:tcBorders>
            <w:shd w:val="clear" w:color="auto" w:fill="DEDBD3"/>
          </w:tcPr>
          <w:p>
            <w:pPr>
              <w:ind w:left="60"/>
              <w:spacing w:after="0"/>
              <w:rPr>
                <w:sz w:val="20"/>
                <w:szCs w:val="20"/>
                <w:color w:val="auto"/>
              </w:rPr>
            </w:pPr>
            <w:r>
              <w:rPr>
                <w:rFonts w:ascii="Arial" w:cs="Arial" w:eastAsia="Arial" w:hAnsi="Arial"/>
                <w:sz w:val="14"/>
                <w:szCs w:val="14"/>
                <w:color w:val="auto"/>
              </w:rPr>
              <w:t>Tax fees</w:t>
            </w:r>
          </w:p>
        </w:tc>
        <w:tc>
          <w:tcPr>
            <w:tcW w:w="260" w:type="dxa"/>
            <w:vAlign w:val="bottom"/>
            <w:tcBorders>
              <w:bottom w:val="single" w:sz="8" w:color="DEDBD3"/>
            </w:tcBorders>
            <w:shd w:val="clear" w:color="auto" w:fill="DEDBD3"/>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EDBD3"/>
            </w:tcBorders>
            <w:shd w:val="clear" w:color="auto" w:fill="DEDBD3"/>
          </w:tcPr>
          <w:p>
            <w:pPr>
              <w:jc w:val="right"/>
              <w:ind w:right="196"/>
              <w:spacing w:after="0"/>
              <w:rPr>
                <w:sz w:val="20"/>
                <w:szCs w:val="20"/>
                <w:color w:val="auto"/>
              </w:rPr>
            </w:pPr>
            <w:r>
              <w:rPr>
                <w:rFonts w:ascii="Arial" w:cs="Arial" w:eastAsia="Arial" w:hAnsi="Arial"/>
                <w:sz w:val="14"/>
                <w:szCs w:val="14"/>
                <w:color w:val="auto"/>
              </w:rPr>
              <w:t>47,100</w:t>
            </w:r>
          </w:p>
        </w:tc>
        <w:tc>
          <w:tcPr>
            <w:tcW w:w="300" w:type="dxa"/>
            <w:vAlign w:val="bottom"/>
            <w:tcBorders>
              <w:left w:val="single" w:sz="8" w:color="E2EDED"/>
              <w:bottom w:val="single" w:sz="8" w:color="DEDBD3"/>
            </w:tcBorders>
            <w:shd w:val="clear" w:color="auto" w:fill="DEDBD3"/>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EDBD3"/>
            </w:tcBorders>
            <w:shd w:val="clear" w:color="auto" w:fill="DEDBD3"/>
          </w:tcPr>
          <w:p>
            <w:pPr>
              <w:jc w:val="right"/>
              <w:ind w:right="194"/>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35"/>
        </w:trPr>
        <w:tc>
          <w:tcPr>
            <w:tcW w:w="8300" w:type="dxa"/>
            <w:vAlign w:val="bottom"/>
            <w:tcBorders>
              <w:right w:val="single" w:sz="8" w:color="E2EDED"/>
            </w:tcBorders>
            <w:shd w:val="clear" w:color="auto" w:fill="FCFCF7"/>
          </w:tcPr>
          <w:p>
            <w:pPr>
              <w:ind w:left="60"/>
              <w:spacing w:after="0"/>
              <w:rPr>
                <w:sz w:val="20"/>
                <w:szCs w:val="20"/>
                <w:color w:val="auto"/>
              </w:rPr>
            </w:pPr>
            <w:r>
              <w:rPr>
                <w:rFonts w:ascii="Arial" w:cs="Arial" w:eastAsia="Arial" w:hAnsi="Arial"/>
                <w:sz w:val="14"/>
                <w:szCs w:val="14"/>
                <w:color w:val="auto"/>
              </w:rPr>
              <w:t>All other fees</w:t>
            </w:r>
          </w:p>
        </w:tc>
        <w:tc>
          <w:tcPr>
            <w:tcW w:w="260" w:type="dxa"/>
            <w:vAlign w:val="bottom"/>
            <w:shd w:val="clear" w:color="auto" w:fill="FCFCF7"/>
          </w:tcPr>
          <w:p>
            <w:pPr>
              <w:spacing w:after="0"/>
              <w:rPr>
                <w:sz w:val="20"/>
                <w:szCs w:val="20"/>
                <w:color w:val="auto"/>
              </w:rPr>
            </w:pPr>
          </w:p>
        </w:tc>
        <w:tc>
          <w:tcPr>
            <w:tcW w:w="880" w:type="dxa"/>
            <w:vAlign w:val="bottom"/>
            <w:shd w:val="clear" w:color="auto" w:fill="FCFCF7"/>
          </w:tcPr>
          <w:p>
            <w:pPr>
              <w:jc w:val="right"/>
              <w:ind w:right="196"/>
              <w:spacing w:after="0"/>
              <w:rPr>
                <w:sz w:val="20"/>
                <w:szCs w:val="20"/>
                <w:color w:val="auto"/>
              </w:rPr>
            </w:pPr>
            <w:r>
              <w:rPr>
                <w:rFonts w:ascii="Arial" w:cs="Arial" w:eastAsia="Arial" w:hAnsi="Arial"/>
                <w:sz w:val="14"/>
                <w:szCs w:val="14"/>
                <w:color w:val="auto"/>
              </w:rPr>
              <w:t>-</w:t>
            </w:r>
          </w:p>
        </w:tc>
        <w:tc>
          <w:tcPr>
            <w:tcW w:w="300" w:type="dxa"/>
            <w:vAlign w:val="bottom"/>
            <w:tcBorders>
              <w:left w:val="single" w:sz="8" w:color="E2EDED"/>
            </w:tcBorders>
            <w:shd w:val="clear" w:color="auto" w:fill="FCFCF7"/>
          </w:tcPr>
          <w:p>
            <w:pPr>
              <w:spacing w:after="0"/>
              <w:rPr>
                <w:sz w:val="20"/>
                <w:szCs w:val="20"/>
                <w:color w:val="auto"/>
              </w:rPr>
            </w:pPr>
          </w:p>
        </w:tc>
        <w:tc>
          <w:tcPr>
            <w:tcW w:w="880" w:type="dxa"/>
            <w:vAlign w:val="bottom"/>
            <w:shd w:val="clear" w:color="auto" w:fill="FCFCF7"/>
          </w:tcPr>
          <w:p>
            <w:pPr>
              <w:jc w:val="right"/>
              <w:ind w:right="19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8300" w:type="dxa"/>
            <w:vAlign w:val="bottom"/>
            <w:tcBorders>
              <w:right w:val="single" w:sz="8" w:color="E2EDED"/>
            </w:tcBorders>
            <w:shd w:val="clear" w:color="auto" w:fill="FCFCF7"/>
          </w:tcPr>
          <w:p>
            <w:pPr>
              <w:spacing w:after="0"/>
              <w:rPr>
                <w:sz w:val="3"/>
                <w:szCs w:val="3"/>
                <w:color w:val="auto"/>
              </w:rPr>
            </w:pPr>
          </w:p>
        </w:tc>
        <w:tc>
          <w:tcPr>
            <w:tcW w:w="260" w:type="dxa"/>
            <w:vAlign w:val="bottom"/>
            <w:shd w:val="clear" w:color="auto" w:fill="FCFCF7"/>
          </w:tcPr>
          <w:p>
            <w:pPr>
              <w:spacing w:after="0"/>
              <w:rPr>
                <w:sz w:val="3"/>
                <w:szCs w:val="3"/>
                <w:color w:val="auto"/>
              </w:rPr>
            </w:pPr>
          </w:p>
        </w:tc>
        <w:tc>
          <w:tcPr>
            <w:tcW w:w="880" w:type="dxa"/>
            <w:vAlign w:val="bottom"/>
            <w:shd w:val="clear" w:color="auto" w:fill="FCFCF7"/>
          </w:tcPr>
          <w:p>
            <w:pPr>
              <w:spacing w:after="0"/>
              <w:rPr>
                <w:sz w:val="3"/>
                <w:szCs w:val="3"/>
                <w:color w:val="auto"/>
              </w:rPr>
            </w:pPr>
          </w:p>
        </w:tc>
        <w:tc>
          <w:tcPr>
            <w:tcW w:w="300" w:type="dxa"/>
            <w:vAlign w:val="bottom"/>
            <w:tcBorders>
              <w:left w:val="single" w:sz="8" w:color="E2EDED"/>
            </w:tcBorders>
            <w:shd w:val="clear" w:color="auto" w:fill="FCFCF7"/>
          </w:tcPr>
          <w:p>
            <w:pPr>
              <w:spacing w:after="0"/>
              <w:rPr>
                <w:sz w:val="3"/>
                <w:szCs w:val="3"/>
                <w:color w:val="auto"/>
              </w:rPr>
            </w:pPr>
          </w:p>
        </w:tc>
        <w:tc>
          <w:tcPr>
            <w:tcW w:w="880" w:type="dxa"/>
            <w:vAlign w:val="bottom"/>
            <w:shd w:val="clear" w:color="auto" w:fill="FCFCF7"/>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5454650</wp:posOffset>
            </wp:positionH>
            <wp:positionV relativeFrom="paragraph">
              <wp:posOffset>-850265</wp:posOffset>
            </wp:positionV>
            <wp:extent cx="14871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87170" cy="8255"/>
                    </a:xfrm>
                    <a:prstGeom prst="rect">
                      <a:avLst/>
                    </a:prstGeom>
                    <a:noFill/>
                  </pic:spPr>
                </pic:pic>
              </a:graphicData>
            </a:graphic>
          </wp:anchor>
        </w:drawing>
      </w:r>
    </w:p>
    <w:p>
      <w:pPr>
        <w:spacing w:after="0" w:line="161" w:lineRule="exact"/>
        <w:rPr>
          <w:sz w:val="20"/>
          <w:szCs w:val="20"/>
          <w:color w:val="auto"/>
        </w:rPr>
      </w:pPr>
    </w:p>
    <w:p>
      <w:pPr>
        <w:ind w:left="320" w:right="60"/>
        <w:spacing w:after="0" w:line="242" w:lineRule="auto"/>
        <w:rPr>
          <w:sz w:val="20"/>
          <w:szCs w:val="20"/>
          <w:color w:val="auto"/>
        </w:rPr>
      </w:pPr>
      <w:r>
        <w:rPr>
          <w:rFonts w:ascii="Arial" w:cs="Arial" w:eastAsia="Arial" w:hAnsi="Arial"/>
          <w:sz w:val="17"/>
          <w:szCs w:val="17"/>
          <w:color w:val="auto"/>
        </w:rPr>
        <w:t>“Audit fees” includes the aggregate fees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2022 and 2021, and for the audit of our internal controls over financial reporting as of December 31, 2022 and 2021. “Audit fees” also include fees for services provided in connection with capital market transactions, audit-related accounting consultations and statutory audits of certain subsidiaries of the Company. “Audit-related fees” include the aggregate fees for the audit of the Company’s defined contribution employee benefit plan, and for 2021, fees for pre-acquisition audits of an acquired company. “Tax fees” include fees for domestic tax planning and other research.</w:t>
      </w:r>
    </w:p>
    <w:p>
      <w:pPr>
        <w:spacing w:after="0" w:line="28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1655E"/>
        </w:rPr>
        <w:t>PRE-APPROVAL POLICY</w:t>
      </w:r>
    </w:p>
    <w:p>
      <w:pPr>
        <w:spacing w:after="0" w:line="6" w:lineRule="exact"/>
        <w:rPr>
          <w:sz w:val="20"/>
          <w:szCs w:val="20"/>
          <w:color w:val="auto"/>
        </w:rPr>
      </w:pPr>
    </w:p>
    <w:p>
      <w:pPr>
        <w:ind w:left="320" w:right="60"/>
        <w:spacing w:after="0" w:line="243" w:lineRule="auto"/>
        <w:rPr>
          <w:sz w:val="20"/>
          <w:szCs w:val="20"/>
          <w:color w:val="auto"/>
        </w:rPr>
      </w:pPr>
      <w:r>
        <w:rPr>
          <w:rFonts w:ascii="Arial" w:cs="Arial" w:eastAsia="Arial" w:hAnsi="Arial"/>
          <w:sz w:val="17"/>
          <w:szCs w:val="17"/>
          <w:color w:val="auto"/>
        </w:rPr>
        <w:t>The Audit Committee’s policy is to pre-approve all audit and non-audit services provided by the independent registered public accountants by pre-approving certain types of services at usual and customary rates. These services may include audit services, audit-related services, tax services and other permissible non-audit services. The pre-approval authority details the particular service or category of service that the independent registered public accountants will perform. Management reports to the Audit Committee on the actual fees charged by the independent registered public accountants for each category of service.</w:t>
      </w:r>
    </w:p>
    <w:p>
      <w:pPr>
        <w:spacing w:after="0" w:line="155" w:lineRule="exact"/>
        <w:rPr>
          <w:sz w:val="20"/>
          <w:szCs w:val="20"/>
          <w:color w:val="auto"/>
        </w:rPr>
      </w:pPr>
    </w:p>
    <w:p>
      <w:pPr>
        <w:ind w:left="320" w:right="80"/>
        <w:spacing w:after="0" w:line="245" w:lineRule="auto"/>
        <w:rPr>
          <w:sz w:val="20"/>
          <w:szCs w:val="20"/>
          <w:color w:val="auto"/>
        </w:rPr>
      </w:pPr>
      <w:r>
        <w:rPr>
          <w:rFonts w:ascii="Arial" w:cs="Arial" w:eastAsia="Arial" w:hAnsi="Arial"/>
          <w:sz w:val="17"/>
          <w:szCs w:val="17"/>
          <w:color w:val="auto"/>
        </w:rPr>
        <w:t>During the year, circumstances may arise when it becomes necessary to engage the independent registered public accountants for additional services not contemplated in the original pre-approval authority. In those instances, management submits a request to the Audit Committee describing a specific project at a specific fee or rate and, if deemed appropriate and necessary, the Audit Committee approves the services before we engage the independent registered public accountants.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Audit Committee pre-approved all fees related to services provided by Ernst &amp; Young LLP in 2022.</w:t>
      </w:r>
    </w:p>
    <w:p>
      <w:pPr>
        <w:spacing w:after="0" w:line="30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1655E"/>
        </w:rPr>
        <w:t>REPORT OF THE AUDIT COMMITTEE</w:t>
      </w:r>
    </w:p>
    <w:p>
      <w:pPr>
        <w:spacing w:after="0" w:line="6" w:lineRule="exact"/>
        <w:rPr>
          <w:sz w:val="20"/>
          <w:szCs w:val="20"/>
          <w:color w:val="auto"/>
        </w:rPr>
      </w:pPr>
    </w:p>
    <w:p>
      <w:pPr>
        <w:ind w:left="320" w:right="320"/>
        <w:spacing w:after="0" w:line="245" w:lineRule="auto"/>
        <w:rPr>
          <w:sz w:val="20"/>
          <w:szCs w:val="20"/>
          <w:color w:val="auto"/>
        </w:rPr>
      </w:pPr>
      <w:r>
        <w:rPr>
          <w:rFonts w:ascii="Arial" w:cs="Arial" w:eastAsia="Arial" w:hAnsi="Arial"/>
          <w:sz w:val="17"/>
          <w:szCs w:val="17"/>
          <w:color w:val="auto"/>
        </w:rPr>
        <w:t>The Audit Committee is comprised of the five members named below. As required by our committee charter, each member of the Audit Committee has been determined to be an independent director, as defined under the NASDAQ listing rules and the rules of SEC. In addition, the Board has determined that two of the five committee members (Mr. Byrne and Ms. Webb) are Audit Committee financial experts, as defined by SEC rules.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During 2022, we held five full committee meetings.</w:t>
      </w:r>
    </w:p>
    <w:p>
      <w:pPr>
        <w:spacing w:after="0" w:line="169" w:lineRule="exact"/>
        <w:rPr>
          <w:sz w:val="20"/>
          <w:szCs w:val="20"/>
          <w:color w:val="auto"/>
        </w:rPr>
      </w:pPr>
    </w:p>
    <w:p>
      <w:pPr>
        <w:ind w:left="320" w:right="680"/>
        <w:spacing w:after="0" w:line="256" w:lineRule="auto"/>
        <w:rPr>
          <w:sz w:val="20"/>
          <w:szCs w:val="20"/>
          <w:color w:val="auto"/>
        </w:rPr>
      </w:pPr>
      <w:r>
        <w:rPr>
          <w:rFonts w:ascii="Arial" w:cs="Arial" w:eastAsia="Arial" w:hAnsi="Arial"/>
          <w:sz w:val="17"/>
          <w:szCs w:val="17"/>
          <w:color w:val="auto"/>
        </w:rPr>
        <w:t>Our purpose and responsibilities are set forth in our committee charter, which is reviewed and updated, as appropriate, to address changes in regulatory requirements, authoritative guidance, evolving oversight practices and investor feedback.</w:t>
      </w:r>
    </w:p>
    <w:p>
      <w:pPr>
        <w:spacing w:after="0" w:line="142" w:lineRule="exact"/>
        <w:rPr>
          <w:sz w:val="20"/>
          <w:szCs w:val="20"/>
          <w:color w:val="auto"/>
        </w:rPr>
      </w:pPr>
    </w:p>
    <w:p>
      <w:pPr>
        <w:jc w:val="both"/>
        <w:ind w:left="320" w:right="460"/>
        <w:spacing w:after="0" w:line="247" w:lineRule="auto"/>
        <w:rPr>
          <w:sz w:val="20"/>
          <w:szCs w:val="20"/>
          <w:color w:val="auto"/>
        </w:rPr>
      </w:pPr>
      <w:r>
        <w:rPr>
          <w:rFonts w:ascii="Arial" w:cs="Arial" w:eastAsia="Arial" w:hAnsi="Arial"/>
          <w:sz w:val="17"/>
          <w:szCs w:val="17"/>
          <w:color w:val="auto"/>
        </w:rPr>
        <w:t>Our role is to oversee, on behalf of the Board, the accounting and financial reporting processes of the Company and the audits of the Company’s financial statements, including review of the Company’s guidelines and policies with respect to risk assessment and risk management related to financial reporting and internal controls, major financial risk exposures of the</w:t>
      </w:r>
    </w:p>
    <w:p>
      <w:pPr>
        <w:spacing w:after="0" w:line="130"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 59 //</w:t>
      </w:r>
    </w:p>
    <w:p>
      <w:pPr>
        <w:sectPr>
          <w:pgSz w:w="11900" w:h="16838" w:orient="portrait"/>
          <w:cols w:equalWidth="0" w:num="1">
            <w:col w:w="10940"/>
          </w:cols>
          <w:pgMar w:left="320" w:top="473" w:right="6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right="80"/>
        <w:spacing w:after="0" w:line="242" w:lineRule="auto"/>
        <w:rPr>
          <w:sz w:val="20"/>
          <w:szCs w:val="20"/>
          <w:color w:val="auto"/>
        </w:rPr>
      </w:pPr>
      <w:r>
        <w:rPr>
          <w:rFonts w:ascii="Arial" w:cs="Arial" w:eastAsia="Arial" w:hAnsi="Arial"/>
          <w:sz w:val="17"/>
          <w:szCs w:val="17"/>
          <w:color w:val="auto"/>
        </w:rPr>
        <w:t>Company and the steps the Company’s management has taken to monitor and control such exposures.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170" w:lineRule="exact"/>
        <w:rPr>
          <w:sz w:val="20"/>
          <w:szCs w:val="20"/>
          <w:color w:val="auto"/>
        </w:rPr>
      </w:pPr>
    </w:p>
    <w:p>
      <w:pPr>
        <w:ind w:left="320"/>
        <w:spacing w:after="0" w:line="241" w:lineRule="auto"/>
        <w:rPr>
          <w:sz w:val="20"/>
          <w:szCs w:val="20"/>
          <w:color w:val="auto"/>
        </w:rPr>
      </w:pPr>
      <w:r>
        <w:rPr>
          <w:rFonts w:ascii="Arial" w:cs="Arial" w:eastAsia="Arial" w:hAnsi="Arial"/>
          <w:sz w:val="17"/>
          <w:szCs w:val="17"/>
          <w:color w:val="auto"/>
        </w:rPr>
        <w:t>In fulfilling our oversight duties, at each regular quarterly meeting of the Audit Committee, we met separately in executive session with Ernst &amp; Young LLP, our independent registered public accountants, as well with each of the Company’s General Counsel, Chief Audit Executive (who heads internal audit), Chief Financial Officer, and Global Chief Compliance Officer. During these meetings, we discussed the quality of the Company’s accounting and financial reporting processes and the adequacy and effectiveness of its internal controls and procedures; reviewed significant audit findings prepared by each of the independent registered public accountants and internal audit department, together with management’s responses; reviewed the overall scope and plans for the audits by the internal audit department and the independent registered public accountants; reviewed critical accounting policies and the significant estimates and judgments management used in preparing the financial statements and their appropriateness for the Company’s business and current circumstances; and reviewed each Company press release concerning Company earnings prior to its release.</w:t>
      </w:r>
    </w:p>
    <w:p>
      <w:pPr>
        <w:spacing w:after="0" w:line="159" w:lineRule="exact"/>
        <w:rPr>
          <w:sz w:val="20"/>
          <w:szCs w:val="20"/>
          <w:color w:val="auto"/>
        </w:rPr>
      </w:pPr>
    </w:p>
    <w:p>
      <w:pPr>
        <w:ind w:left="320" w:right="40"/>
        <w:spacing w:after="0" w:line="242" w:lineRule="auto"/>
        <w:rPr>
          <w:sz w:val="20"/>
          <w:szCs w:val="20"/>
          <w:color w:val="auto"/>
        </w:rPr>
      </w:pPr>
      <w:r>
        <w:rPr>
          <w:rFonts w:ascii="Arial" w:cs="Arial" w:eastAsia="Arial" w:hAnsi="Arial"/>
          <w:sz w:val="17"/>
          <w:szCs w:val="17"/>
          <w:color w:val="auto"/>
        </w:rPr>
        <w:t>Ernst &amp; Young LLP has served as the Company’s independent registered public accounting firm since 2006. In evaluating and selecting the Company’s independent registered public accounting firm, we consider, among other things, the historical and recent performance of our current firm, the firm’s global reach, external data on audit quality and performance, including Public Company Accounting Oversight Board (“PCAOB”) reports, industry experience, audit fee revenues, firm capabilities and audit approach, and the independence and tenure of the accounting firm. As discussed above, we have engaged Ernst &amp; Young LLP to serve as our independent registered public accountants for the year ending December 31, 2023.</w:t>
      </w:r>
    </w:p>
    <w:p>
      <w:pPr>
        <w:spacing w:after="0" w:line="157" w:lineRule="exact"/>
        <w:rPr>
          <w:sz w:val="20"/>
          <w:szCs w:val="20"/>
          <w:color w:val="auto"/>
        </w:rPr>
      </w:pPr>
    </w:p>
    <w:p>
      <w:pPr>
        <w:ind w:left="320"/>
        <w:spacing w:after="0" w:line="241" w:lineRule="auto"/>
        <w:rPr>
          <w:sz w:val="20"/>
          <w:szCs w:val="20"/>
          <w:color w:val="auto"/>
        </w:rPr>
      </w:pPr>
      <w:r>
        <w:rPr>
          <w:rFonts w:ascii="Arial" w:cs="Arial" w:eastAsia="Arial" w:hAnsi="Arial"/>
          <w:sz w:val="17"/>
          <w:szCs w:val="17"/>
          <w:color w:val="auto"/>
        </w:rPr>
        <w:t>In addition to the activities discussed above, prior to the Company’s filing of its Annual Report on Form 10-K for the year ended December 31, 2022 with the SEC, we reviewed and discussed with management the Company’s audited financial statements for the year ended December 31, 2022, including the Company’s disclosures under “Management’s Discussion and Analysis of Financial Condition and Results of Operations.” We discussed with the independent registered public accounting firm the matters required to be discussed by the applicable standards of the PCAOB and the SEC, including the quality, not just the acceptability, of the accounting principles, the reasonableness of significant judgments and the clarity of the disclosures in the financial statements. We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discussions described in this report, we recommended to the Board that the audited financial statements referred to above be included in the Company’s Annual Report on Form 10-K for the year ended December 31, 2022, filed with the SEC.</w:t>
      </w:r>
    </w:p>
    <w:p>
      <w:pPr>
        <w:spacing w:after="0" w:line="344"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Audit Committee</w:t>
      </w:r>
    </w:p>
    <w:p>
      <w:pPr>
        <w:spacing w:after="0" w:line="19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Winifred M. Webb, Chair</w:t>
      </w:r>
    </w:p>
    <w:p>
      <w:pPr>
        <w:ind w:left="6060"/>
        <w:spacing w:after="0"/>
        <w:rPr>
          <w:sz w:val="20"/>
          <w:szCs w:val="20"/>
          <w:color w:val="auto"/>
        </w:rPr>
      </w:pPr>
      <w:r>
        <w:rPr>
          <w:rFonts w:ascii="Arial" w:cs="Arial" w:eastAsia="Arial" w:hAnsi="Arial"/>
          <w:sz w:val="17"/>
          <w:szCs w:val="17"/>
          <w:color w:val="auto"/>
        </w:rPr>
        <w:t>Richard J. Byrne</w:t>
      </w:r>
    </w:p>
    <w:p>
      <w:pPr>
        <w:ind w:left="6060"/>
        <w:spacing w:after="0"/>
        <w:rPr>
          <w:sz w:val="20"/>
          <w:szCs w:val="20"/>
          <w:color w:val="auto"/>
        </w:rPr>
      </w:pPr>
      <w:r>
        <w:rPr>
          <w:rFonts w:ascii="Arial" w:cs="Arial" w:eastAsia="Arial" w:hAnsi="Arial"/>
          <w:sz w:val="17"/>
          <w:szCs w:val="17"/>
          <w:color w:val="auto"/>
        </w:rPr>
        <w:t>Patricia Mulroy</w:t>
      </w:r>
    </w:p>
    <w:p>
      <w:pPr>
        <w:ind w:left="6060"/>
        <w:spacing w:after="0"/>
        <w:rPr>
          <w:sz w:val="20"/>
          <w:szCs w:val="20"/>
          <w:color w:val="auto"/>
        </w:rPr>
      </w:pPr>
      <w:r>
        <w:rPr>
          <w:rFonts w:ascii="Arial" w:cs="Arial" w:eastAsia="Arial" w:hAnsi="Arial"/>
          <w:sz w:val="17"/>
          <w:szCs w:val="17"/>
          <w:color w:val="auto"/>
        </w:rPr>
        <w:t>Darnell O. Strom</w:t>
      </w:r>
    </w:p>
    <w:p>
      <w:pPr>
        <w:spacing w:after="0" w:line="13"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60 //</w:t>
      </w:r>
    </w:p>
    <w:p>
      <w:pPr>
        <w:sectPr>
          <w:pgSz w:w="11900" w:h="16838" w:orient="portrait"/>
          <w:cols w:equalWidth="0" w:num="1">
            <w:col w:w="10920"/>
          </w:cols>
          <w:pgMar w:left="320" w:top="473" w:right="65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 w:right="2780"/>
        <w:spacing w:after="0" w:line="294" w:lineRule="auto"/>
        <w:rPr>
          <w:sz w:val="20"/>
          <w:szCs w:val="20"/>
          <w:color w:val="auto"/>
        </w:rPr>
      </w:pPr>
      <w:r>
        <w:rPr>
          <w:rFonts w:ascii="Arial" w:cs="Arial" w:eastAsia="Arial" w:hAnsi="Arial"/>
          <w:sz w:val="29"/>
          <w:szCs w:val="29"/>
          <w:b w:val="1"/>
          <w:bCs w:val="1"/>
          <w:color w:val="auto"/>
        </w:rPr>
        <w:t>Proposal 3: Advisory vote to approve the compensation of named executive officers</w:t>
      </w:r>
    </w:p>
    <w:p>
      <w:pPr>
        <w:spacing w:after="0" w:line="96" w:lineRule="exact"/>
        <w:rPr>
          <w:sz w:val="20"/>
          <w:szCs w:val="20"/>
          <w:color w:val="auto"/>
        </w:rPr>
      </w:pPr>
    </w:p>
    <w:p>
      <w:pPr>
        <w:ind w:left="320" w:right="100"/>
        <w:spacing w:after="0" w:line="245" w:lineRule="auto"/>
        <w:rPr>
          <w:sz w:val="20"/>
          <w:szCs w:val="20"/>
          <w:color w:val="auto"/>
        </w:rPr>
      </w:pPr>
      <w:r>
        <w:rPr>
          <w:rFonts w:ascii="Arial" w:cs="Arial" w:eastAsia="Arial" w:hAnsi="Arial"/>
          <w:sz w:val="17"/>
          <w:szCs w:val="17"/>
          <w:color w:val="auto"/>
        </w:rPr>
        <w:t>In accordance with Section 14A of the Exchange Act (which was added by the Dodd-Frank Wall Street Reform and Consumer Protection Act (the “Dodd Frank Act”)) and the related rules of the SEC, the Company presents its shareholders with the opportunity each year to vote to approve, on an advisory and non-binding basis, the compensation of our NEOs as disclosed in the Compensation Discussion and Analysis, the accompanying compensation tables and the related narrative disclosure in this Proxy Statement.</w:t>
      </w:r>
    </w:p>
    <w:p>
      <w:pPr>
        <w:spacing w:after="0" w:line="151" w:lineRule="exact"/>
        <w:rPr>
          <w:sz w:val="20"/>
          <w:szCs w:val="20"/>
          <w:color w:val="auto"/>
        </w:rPr>
      </w:pPr>
    </w:p>
    <w:p>
      <w:pPr>
        <w:jc w:val="both"/>
        <w:ind w:left="320"/>
        <w:spacing w:after="0" w:line="245" w:lineRule="auto"/>
        <w:rPr>
          <w:sz w:val="20"/>
          <w:szCs w:val="20"/>
          <w:color w:val="auto"/>
        </w:rPr>
      </w:pPr>
      <w:r>
        <w:rPr>
          <w:rFonts w:ascii="Arial" w:cs="Arial" w:eastAsia="Arial" w:hAnsi="Arial"/>
          <w:sz w:val="17"/>
          <w:szCs w:val="17"/>
          <w:color w:val="auto"/>
        </w:rPr>
        <w:t>This proposal, commonly known as a “Say-on-Pay” proposal, allows our shareholders the opportunity to express their views on our NEOs’ compensation. In considering this proposal, we urge shareholders to read the Compensation Discussion and Analysis, the accompanying compensation tables and the related narrative disclosure. Although this vote is advisory only, and therefore non-binding, the Board and the Compensation Committee will review and evaluate the voting result when considering future executive compensation decisions.</w:t>
      </w:r>
    </w:p>
    <w:p>
      <w:pPr>
        <w:spacing w:after="0" w:line="151" w:lineRule="exact"/>
        <w:rPr>
          <w:sz w:val="20"/>
          <w:szCs w:val="20"/>
          <w:color w:val="auto"/>
        </w:rPr>
      </w:pPr>
    </w:p>
    <w:p>
      <w:pPr>
        <w:jc w:val="both"/>
        <w:ind w:left="320" w:right="100"/>
        <w:spacing w:after="0" w:line="245" w:lineRule="auto"/>
        <w:rPr>
          <w:sz w:val="20"/>
          <w:szCs w:val="20"/>
          <w:color w:val="auto"/>
        </w:rPr>
      </w:pPr>
      <w:r>
        <w:rPr>
          <w:rFonts w:ascii="Arial" w:cs="Arial" w:eastAsia="Arial" w:hAnsi="Arial"/>
          <w:sz w:val="17"/>
          <w:szCs w:val="17"/>
          <w:color w:val="auto"/>
        </w:rPr>
        <w:t>As described in detail in the Compensation Discussion and Analysis, the majority of our executives’ total compensation is at-risk, tied to achieving annual and long-term goals that enhance the value of our reputation and brand, sustain the performance and attractiveness of our resorts and drive long-term shareholder value. The design of our long-term incentives coupled with robust stock ownership guidelines ensure that our executives’ interests are aligned with those of long-term shareholders.</w:t>
      </w:r>
    </w:p>
    <w:p>
      <w:pPr>
        <w:spacing w:after="0" w:line="164" w:lineRule="exact"/>
        <w:rPr>
          <w:sz w:val="20"/>
          <w:szCs w:val="20"/>
          <w:color w:val="auto"/>
        </w:rPr>
      </w:pPr>
    </w:p>
    <w:p>
      <w:pPr>
        <w:ind w:left="320" w:right="960"/>
        <w:spacing w:after="0" w:line="256" w:lineRule="auto"/>
        <w:rPr>
          <w:sz w:val="20"/>
          <w:szCs w:val="20"/>
          <w:color w:val="auto"/>
        </w:rPr>
      </w:pPr>
      <w:r>
        <w:rPr>
          <w:rFonts w:ascii="Arial" w:cs="Arial" w:eastAsia="Arial" w:hAnsi="Arial"/>
          <w:sz w:val="17"/>
          <w:szCs w:val="17"/>
          <w:color w:val="auto"/>
        </w:rPr>
        <w:t>Therefore, in accordance with Section 14A of the Exchange Act and as a matter of good corporate governance, we are asking shareholders to approve the following advisory resolution at the Annual Meeting:</w:t>
      </w:r>
    </w:p>
    <w:p>
      <w:pPr>
        <w:spacing w:after="0" w:line="142" w:lineRule="exact"/>
        <w:rPr>
          <w:sz w:val="20"/>
          <w:szCs w:val="20"/>
          <w:color w:val="auto"/>
        </w:rPr>
      </w:pPr>
    </w:p>
    <w:p>
      <w:pPr>
        <w:ind w:left="320" w:right="80"/>
        <w:spacing w:after="0" w:line="245" w:lineRule="auto"/>
        <w:rPr>
          <w:sz w:val="20"/>
          <w:szCs w:val="20"/>
          <w:color w:val="auto"/>
        </w:rPr>
      </w:pPr>
      <w:r>
        <w:rPr>
          <w:rFonts w:ascii="Arial" w:cs="Arial" w:eastAsia="Arial" w:hAnsi="Arial"/>
          <w:sz w:val="17"/>
          <w:szCs w:val="17"/>
          <w:color w:val="auto"/>
        </w:rPr>
        <w:t>“RESOLVED, that the shareholders of Wynn Resorts, Limited (the “Company”) approve, on an advisory basis, the compensation of the Company’s named executive officers as disclosed in the Compensation Discussion and Analysis and the tabular disclosure regarding each named executive officer’s compensation (together with the accompanying narrative disclosure) in the Proxy Statement, as disclosed pursuant to Item 402 of Regulation S-K, for the 2023 Annual Meeting of Shareholders.”</w:t>
      </w:r>
    </w:p>
    <w:p>
      <w:pPr>
        <w:spacing w:after="0" w:line="141" w:lineRule="exact"/>
        <w:rPr>
          <w:sz w:val="20"/>
          <w:szCs w:val="20"/>
          <w:color w:val="auto"/>
        </w:rPr>
      </w:pPr>
    </w:p>
    <w:p>
      <w:pPr>
        <w:ind w:left="320" w:right="160"/>
        <w:spacing w:after="0" w:line="263" w:lineRule="auto"/>
        <w:rPr>
          <w:sz w:val="20"/>
          <w:szCs w:val="20"/>
          <w:color w:val="auto"/>
        </w:rPr>
      </w:pPr>
      <w:r>
        <w:rPr>
          <w:rFonts w:ascii="Arial" w:cs="Arial" w:eastAsia="Arial" w:hAnsi="Arial"/>
          <w:sz w:val="14"/>
          <w:szCs w:val="14"/>
          <w:b w:val="1"/>
          <w:bCs w:val="1"/>
          <w:color w:val="71655E"/>
        </w:rPr>
        <w:t>OUR BOARD OF DIRECTORS RECOMMENDS THAT YOU VOTE FOR THE APPROVAL OF THE ADVISORY RESOLUTION ON OUR NAMED EXECUTIVE OFFICER COMPENSATION, AS DISCLOSED IN THIS PROXY STATEMENT.</w:t>
      </w:r>
    </w:p>
    <w:p>
      <w:pPr>
        <w:spacing w:after="0" w:line="11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 61 //</w:t>
      </w:r>
    </w:p>
    <w:p>
      <w:pPr>
        <w:sectPr>
          <w:pgSz w:w="11900" w:h="16838" w:orient="portrait"/>
          <w:cols w:equalWidth="0" w:num="1">
            <w:col w:w="10920"/>
          </w:cols>
          <w:pgMar w:left="320" w:top="473" w:right="65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right="60"/>
        <w:spacing w:after="0" w:line="294" w:lineRule="auto"/>
        <w:rPr>
          <w:sz w:val="20"/>
          <w:szCs w:val="20"/>
          <w:color w:val="auto"/>
        </w:rPr>
      </w:pPr>
      <w:r>
        <w:rPr>
          <w:rFonts w:ascii="Arial" w:cs="Arial" w:eastAsia="Arial" w:hAnsi="Arial"/>
          <w:sz w:val="29"/>
          <w:szCs w:val="29"/>
          <w:b w:val="1"/>
          <w:bCs w:val="1"/>
          <w:color w:val="auto"/>
        </w:rPr>
        <w:t>Proposal 4: Advisory vote to approve the frequency of future “Say-on-Pay” proposals</w:t>
      </w:r>
    </w:p>
    <w:p>
      <w:pPr>
        <w:spacing w:after="0" w:line="96" w:lineRule="exact"/>
        <w:rPr>
          <w:sz w:val="20"/>
          <w:szCs w:val="20"/>
          <w:color w:val="auto"/>
        </w:rPr>
      </w:pPr>
    </w:p>
    <w:p>
      <w:pPr>
        <w:ind w:left="320"/>
        <w:spacing w:after="0" w:line="243" w:lineRule="auto"/>
        <w:rPr>
          <w:sz w:val="20"/>
          <w:szCs w:val="20"/>
          <w:color w:val="auto"/>
        </w:rPr>
      </w:pPr>
      <w:r>
        <w:rPr>
          <w:rFonts w:ascii="Arial" w:cs="Arial" w:eastAsia="Arial" w:hAnsi="Arial"/>
          <w:sz w:val="17"/>
          <w:szCs w:val="17"/>
          <w:color w:val="auto"/>
        </w:rPr>
        <w:t>Pursuant to Section 14A of the Exchange Act, every six (6) years we are required to present a non-binding advisory vote to our shareholders on how frequently we should seek an advisory (or “Say-on-Pay”) vote to approve the compensation of our NEOs. This non-binding advisory vote is commonly referred to as a “Say-on-Pay Frequency” vote. In this Proposal No. 4, our shareholders may cast a non-binding advisory vote on whether they would prefer to have a Say-on-Pay vote every one year, every two years or every three years. Shareholders may also abstain from voting.</w:t>
      </w:r>
    </w:p>
    <w:p>
      <w:pPr>
        <w:spacing w:after="0" w:line="155" w:lineRule="exact"/>
        <w:rPr>
          <w:sz w:val="20"/>
          <w:szCs w:val="20"/>
          <w:color w:val="auto"/>
        </w:rPr>
      </w:pPr>
    </w:p>
    <w:p>
      <w:pPr>
        <w:ind w:left="320" w:right="20"/>
        <w:spacing w:after="0" w:line="243" w:lineRule="auto"/>
        <w:rPr>
          <w:sz w:val="20"/>
          <w:szCs w:val="20"/>
          <w:color w:val="auto"/>
        </w:rPr>
      </w:pPr>
      <w:r>
        <w:rPr>
          <w:rFonts w:ascii="Arial" w:cs="Arial" w:eastAsia="Arial" w:hAnsi="Arial"/>
          <w:sz w:val="17"/>
          <w:szCs w:val="17"/>
          <w:color w:val="auto"/>
        </w:rPr>
        <w:t>After careful consideration, our Board has determined that a Say-on-Pay vote that occurs every year continues to be the most appropriate alternative, and therefore, recommends that you vote that future non-binding advisory votes to approve the compensation of our NEOs be held every year (annually). In making this recommendation, our Board considered that an annual Say-on-Pay advisory vote furthers our objective of engaging in regular and timely communication with our shareholders on matters of corporate governance, including our executive compensation philosophy, policies and practices.</w:t>
      </w:r>
    </w:p>
    <w:p>
      <w:pPr>
        <w:spacing w:after="0" w:line="155" w:lineRule="exact"/>
        <w:rPr>
          <w:sz w:val="20"/>
          <w:szCs w:val="20"/>
          <w:color w:val="auto"/>
        </w:rPr>
      </w:pPr>
    </w:p>
    <w:p>
      <w:pPr>
        <w:jc w:val="both"/>
        <w:ind w:left="320" w:right="300"/>
        <w:spacing w:after="0" w:line="247" w:lineRule="auto"/>
        <w:rPr>
          <w:sz w:val="20"/>
          <w:szCs w:val="20"/>
          <w:color w:val="auto"/>
        </w:rPr>
      </w:pPr>
      <w:r>
        <w:rPr>
          <w:rFonts w:ascii="Arial" w:cs="Arial" w:eastAsia="Arial" w:hAnsi="Arial"/>
          <w:sz w:val="17"/>
          <w:szCs w:val="17"/>
          <w:color w:val="auto"/>
        </w:rPr>
        <w:t>We understand that our shareholders may have different views as to what is an appropriate frequency for future advisory Say-on-Pay votes, and our Board will carefully review the voting results. Shareholders may cast their vote by specifying one of four choices for this proposal on their proxy card or voting instruction form: “One Year”, “Two Years”, “Three Years” or “Abstain.”</w:t>
      </w:r>
    </w:p>
    <w:p>
      <w:pPr>
        <w:spacing w:after="0" w:line="164" w:lineRule="exact"/>
        <w:rPr>
          <w:sz w:val="20"/>
          <w:szCs w:val="20"/>
          <w:color w:val="auto"/>
        </w:rPr>
      </w:pPr>
    </w:p>
    <w:p>
      <w:pPr>
        <w:ind w:left="320"/>
        <w:spacing w:after="0" w:line="243" w:lineRule="auto"/>
        <w:rPr>
          <w:sz w:val="20"/>
          <w:szCs w:val="20"/>
          <w:color w:val="auto"/>
        </w:rPr>
      </w:pPr>
      <w:r>
        <w:rPr>
          <w:rFonts w:ascii="Arial" w:cs="Arial" w:eastAsia="Arial" w:hAnsi="Arial"/>
          <w:sz w:val="17"/>
          <w:szCs w:val="17"/>
          <w:color w:val="auto"/>
        </w:rPr>
        <w:t>The option of one year, two years or three years that receives the highest number of votes cast by shareholders entitled to vote at the Annual Meeting will be the frequency for future Say-on-Pay advisory votes selected by shareholders on an advisory basis. As an advisory vote, this proposal is not binding on our Board or the Company. While our Board will consider the outcome of the advisory vote when making a decision regarding the frequency of future advisory Say-on-Pay votes, it may decide that it is in the best interests of our shareholders and the Company to hold an advisory Say-on-Pay vote more or less frequently than the option selected by the shareholders.</w:t>
      </w:r>
    </w:p>
    <w:p>
      <w:pPr>
        <w:spacing w:after="0" w:line="145" w:lineRule="exact"/>
        <w:rPr>
          <w:sz w:val="20"/>
          <w:szCs w:val="20"/>
          <w:color w:val="auto"/>
        </w:rPr>
      </w:pPr>
    </w:p>
    <w:p>
      <w:pPr>
        <w:ind w:left="320" w:right="180"/>
        <w:spacing w:after="0" w:line="251" w:lineRule="auto"/>
        <w:rPr>
          <w:sz w:val="20"/>
          <w:szCs w:val="20"/>
          <w:color w:val="auto"/>
        </w:rPr>
      </w:pPr>
      <w:r>
        <w:rPr>
          <w:rFonts w:ascii="Arial" w:cs="Arial" w:eastAsia="Arial" w:hAnsi="Arial"/>
          <w:sz w:val="14"/>
          <w:szCs w:val="14"/>
          <w:b w:val="1"/>
          <w:bCs w:val="1"/>
          <w:color w:val="71655E"/>
        </w:rPr>
        <w:t>OUR BOARD OF DIRECTORS RECOMMENDS THAT YOU VOTE FOR THE OPTION OF “ONE YEAR” AS THE FREQUENCY WITH WHICH SHAREHOLDERS ARE PROVIDED FUTURE ADVISORY VOTES TO APPROVE THE COMPENSATION OF OUR NAMED EXECUTIVE OFFICERS.</w:t>
      </w:r>
    </w:p>
    <w:p>
      <w:pPr>
        <w:spacing w:after="0" w:line="1"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62 //</w:t>
      </w:r>
    </w:p>
    <w:p>
      <w:pPr>
        <w:sectPr>
          <w:pgSz w:w="11900" w:h="16838" w:orient="portrait"/>
          <w:cols w:equalWidth="0" w:num="1">
            <w:col w:w="10880"/>
          </w:cols>
          <w:pgMar w:left="320" w:top="473" w:right="69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General Information</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1655E"/>
        </w:rPr>
        <w:t>OUR 2023 ANNUAL MEETING OF SHAREHOLDERS</w:t>
      </w:r>
    </w:p>
    <w:p>
      <w:pPr>
        <w:spacing w:after="0" w:line="6" w:lineRule="exact"/>
        <w:rPr>
          <w:sz w:val="20"/>
          <w:szCs w:val="20"/>
          <w:color w:val="auto"/>
        </w:rPr>
      </w:pPr>
    </w:p>
    <w:p>
      <w:pPr>
        <w:ind w:left="320" w:right="140"/>
        <w:spacing w:after="0" w:line="242" w:lineRule="auto"/>
        <w:rPr>
          <w:sz w:val="20"/>
          <w:szCs w:val="20"/>
          <w:color w:val="auto"/>
        </w:rPr>
      </w:pPr>
      <w:r>
        <w:rPr>
          <w:rFonts w:ascii="Arial" w:cs="Arial" w:eastAsia="Arial" w:hAnsi="Arial"/>
          <w:sz w:val="17"/>
          <w:szCs w:val="17"/>
          <w:color w:val="auto"/>
        </w:rPr>
        <w:t>This Proxy Statement is furnished to the shareholders of Wynn Resorts in connection with the solicitation by the Board of proxies for its 2023 Annual Meeting of Shareholders (the “Annual Meeting”) that will be held online. Our 2023 Annual Meeting will be held on May 4, 2023, via live webcast accessed at this website: http://www.virtualshareholdermeeting.com/WYNN2023, at 9:00 am (local time), and at any adjournments or postponements thereof. Our principal executive offices are located at 3131 Las Vegas Boulevard South, Las Vegas, Nevada 89109. Matters to be considered and acted upon at the Annual Meeting are set forth in the Notice of Annual Meeting of Shareholders accompanying this Proxy Statement and are more fully described herein.</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1655E"/>
        </w:rPr>
        <w:t>THE BOARD RECOMMENDS A VOTE AS FOLLOWS:</w:t>
      </w: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162"/>
        </w:trPr>
        <w:tc>
          <w:tcPr>
            <w:tcW w:w="1400" w:type="dxa"/>
            <w:vAlign w:val="bottom"/>
            <w:tcBorders>
              <w:right w:val="single" w:sz="8" w:color="E2EDED"/>
            </w:tcBorders>
            <w:shd w:val="clear" w:color="auto" w:fill="71655E"/>
          </w:tcPr>
          <w:p>
            <w:pPr>
              <w:ind w:left="60"/>
              <w:spacing w:after="0"/>
              <w:rPr>
                <w:sz w:val="20"/>
                <w:szCs w:val="20"/>
                <w:color w:val="auto"/>
              </w:rPr>
            </w:pPr>
            <w:r>
              <w:rPr>
                <w:rFonts w:ascii="Arial" w:cs="Arial" w:eastAsia="Arial" w:hAnsi="Arial"/>
                <w:sz w:val="12"/>
                <w:szCs w:val="12"/>
                <w:b w:val="1"/>
                <w:bCs w:val="1"/>
                <w:color w:val="FFFFFF"/>
              </w:rPr>
              <w:t>PROPOSAL</w:t>
            </w:r>
          </w:p>
        </w:tc>
        <w:tc>
          <w:tcPr>
            <w:tcW w:w="6560" w:type="dxa"/>
            <w:vAlign w:val="bottom"/>
            <w:tcBorders>
              <w:right w:val="single" w:sz="8" w:color="E2EDED"/>
            </w:tcBorders>
            <w:vMerge w:val="restart"/>
            <w:shd w:val="clear" w:color="auto" w:fill="71655E"/>
          </w:tcPr>
          <w:p>
            <w:pPr>
              <w:ind w:left="3080"/>
              <w:spacing w:after="0"/>
              <w:rPr>
                <w:sz w:val="20"/>
                <w:szCs w:val="20"/>
                <w:color w:val="auto"/>
              </w:rPr>
            </w:pPr>
            <w:r>
              <w:rPr>
                <w:rFonts w:ascii="Arial" w:cs="Arial" w:eastAsia="Arial" w:hAnsi="Arial"/>
                <w:sz w:val="12"/>
                <w:szCs w:val="12"/>
                <w:b w:val="1"/>
                <w:bCs w:val="1"/>
                <w:color w:val="FFFFFF"/>
              </w:rPr>
              <w:t>PROPOSAL</w:t>
            </w:r>
          </w:p>
        </w:tc>
        <w:tc>
          <w:tcPr>
            <w:tcW w:w="2660" w:type="dxa"/>
            <w:vAlign w:val="bottom"/>
            <w:shd w:val="clear" w:color="auto" w:fill="71655E"/>
          </w:tcPr>
          <w:p>
            <w:pPr>
              <w:ind w:left="1300"/>
              <w:spacing w:after="0"/>
              <w:rPr>
                <w:sz w:val="20"/>
                <w:szCs w:val="20"/>
                <w:color w:val="auto"/>
              </w:rPr>
            </w:pPr>
            <w:r>
              <w:rPr>
                <w:rFonts w:ascii="Arial" w:cs="Arial" w:eastAsia="Arial" w:hAnsi="Arial"/>
                <w:sz w:val="12"/>
                <w:szCs w:val="12"/>
                <w:b w:val="1"/>
                <w:bCs w:val="1"/>
                <w:color w:val="FFFFFF"/>
              </w:rPr>
              <w:t>BOARD</w:t>
            </w:r>
          </w:p>
        </w:tc>
        <w:tc>
          <w:tcPr>
            <w:tcW w:w="0" w:type="dxa"/>
            <w:vAlign w:val="bottom"/>
          </w:tcPr>
          <w:p>
            <w:pPr>
              <w:spacing w:after="0"/>
              <w:rPr>
                <w:sz w:val="1"/>
                <w:szCs w:val="1"/>
                <w:color w:val="auto"/>
              </w:rPr>
            </w:pPr>
          </w:p>
        </w:tc>
      </w:tr>
      <w:tr>
        <w:trPr>
          <w:trHeight w:val="108"/>
        </w:trPr>
        <w:tc>
          <w:tcPr>
            <w:tcW w:w="1400" w:type="dxa"/>
            <w:vAlign w:val="bottom"/>
            <w:tcBorders>
              <w:right w:val="single" w:sz="8" w:color="E2EDED"/>
            </w:tcBorders>
            <w:vMerge w:val="restart"/>
            <w:shd w:val="clear" w:color="auto" w:fill="71655E"/>
          </w:tcPr>
          <w:p>
            <w:pPr>
              <w:ind w:left="60"/>
              <w:spacing w:after="0"/>
              <w:rPr>
                <w:sz w:val="20"/>
                <w:szCs w:val="20"/>
                <w:color w:val="auto"/>
              </w:rPr>
            </w:pPr>
            <w:r>
              <w:rPr>
                <w:rFonts w:ascii="Arial" w:cs="Arial" w:eastAsia="Arial" w:hAnsi="Arial"/>
                <w:sz w:val="12"/>
                <w:szCs w:val="12"/>
                <w:b w:val="1"/>
                <w:bCs w:val="1"/>
                <w:color w:val="FFFFFF"/>
              </w:rPr>
              <w:t>NUMBER</w:t>
            </w:r>
          </w:p>
        </w:tc>
        <w:tc>
          <w:tcPr>
            <w:tcW w:w="6560" w:type="dxa"/>
            <w:vAlign w:val="bottom"/>
            <w:tcBorders>
              <w:right w:val="single" w:sz="8" w:color="E2EDED"/>
            </w:tcBorders>
            <w:vMerge w:val="continue"/>
            <w:shd w:val="clear" w:color="auto" w:fill="71655E"/>
          </w:tcPr>
          <w:p>
            <w:pPr>
              <w:spacing w:after="0"/>
              <w:rPr>
                <w:sz w:val="9"/>
                <w:szCs w:val="9"/>
                <w:color w:val="auto"/>
              </w:rPr>
            </w:pPr>
          </w:p>
        </w:tc>
        <w:tc>
          <w:tcPr>
            <w:tcW w:w="2660" w:type="dxa"/>
            <w:vAlign w:val="bottom"/>
            <w:vMerge w:val="restart"/>
            <w:shd w:val="clear" w:color="auto" w:fill="71655E"/>
          </w:tcPr>
          <w:p>
            <w:pPr>
              <w:ind w:left="940"/>
              <w:spacing w:after="0"/>
              <w:rPr>
                <w:sz w:val="20"/>
                <w:szCs w:val="20"/>
                <w:color w:val="auto"/>
              </w:rPr>
            </w:pPr>
            <w:r>
              <w:rPr>
                <w:rFonts w:ascii="Arial" w:cs="Arial" w:eastAsia="Arial" w:hAnsi="Arial"/>
                <w:sz w:val="12"/>
                <w:szCs w:val="12"/>
                <w:b w:val="1"/>
                <w:bCs w:val="1"/>
                <w:color w:val="FFFFFF"/>
              </w:rPr>
              <w:t>RECOMMENDATION</w:t>
            </w:r>
          </w:p>
        </w:tc>
        <w:tc>
          <w:tcPr>
            <w:tcW w:w="0" w:type="dxa"/>
            <w:vAlign w:val="bottom"/>
          </w:tcPr>
          <w:p>
            <w:pPr>
              <w:spacing w:after="0"/>
              <w:rPr>
                <w:sz w:val="1"/>
                <w:szCs w:val="1"/>
                <w:color w:val="auto"/>
              </w:rPr>
            </w:pPr>
          </w:p>
        </w:tc>
      </w:tr>
      <w:tr>
        <w:trPr>
          <w:trHeight w:val="68"/>
        </w:trPr>
        <w:tc>
          <w:tcPr>
            <w:tcW w:w="1400" w:type="dxa"/>
            <w:vAlign w:val="bottom"/>
            <w:tcBorders>
              <w:right w:val="single" w:sz="8" w:color="E2EDED"/>
            </w:tcBorders>
            <w:vMerge w:val="continue"/>
            <w:shd w:val="clear" w:color="auto" w:fill="71655E"/>
          </w:tcPr>
          <w:p>
            <w:pPr>
              <w:spacing w:after="0"/>
              <w:rPr>
                <w:sz w:val="5"/>
                <w:szCs w:val="5"/>
                <w:color w:val="auto"/>
              </w:rPr>
            </w:pPr>
          </w:p>
        </w:tc>
        <w:tc>
          <w:tcPr>
            <w:tcW w:w="6560" w:type="dxa"/>
            <w:vAlign w:val="bottom"/>
            <w:tcBorders>
              <w:right w:val="single" w:sz="8" w:color="E2EDED"/>
            </w:tcBorders>
            <w:shd w:val="clear" w:color="auto" w:fill="71655E"/>
          </w:tcPr>
          <w:p>
            <w:pPr>
              <w:spacing w:after="0"/>
              <w:rPr>
                <w:sz w:val="5"/>
                <w:szCs w:val="5"/>
                <w:color w:val="auto"/>
              </w:rPr>
            </w:pPr>
          </w:p>
        </w:tc>
        <w:tc>
          <w:tcPr>
            <w:tcW w:w="2660" w:type="dxa"/>
            <w:vAlign w:val="bottom"/>
            <w:vMerge w:val="continue"/>
            <w:shd w:val="clear" w:color="auto" w:fill="71655E"/>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400" w:type="dxa"/>
            <w:vAlign w:val="bottom"/>
            <w:tcBorders>
              <w:right w:val="single" w:sz="8" w:color="E2EDED"/>
            </w:tcBorders>
            <w:shd w:val="clear" w:color="auto" w:fill="DEDBD3"/>
          </w:tcPr>
          <w:p>
            <w:pPr>
              <w:ind w:left="60"/>
              <w:spacing w:after="0"/>
              <w:rPr>
                <w:sz w:val="20"/>
                <w:szCs w:val="20"/>
                <w:color w:val="auto"/>
              </w:rPr>
            </w:pPr>
            <w:r>
              <w:rPr>
                <w:rFonts w:ascii="Arial" w:cs="Arial" w:eastAsia="Arial" w:hAnsi="Arial"/>
                <w:sz w:val="14"/>
                <w:szCs w:val="14"/>
                <w:color w:val="auto"/>
              </w:rPr>
              <w:t>1</w:t>
            </w:r>
          </w:p>
        </w:tc>
        <w:tc>
          <w:tcPr>
            <w:tcW w:w="6560" w:type="dxa"/>
            <w:vAlign w:val="bottom"/>
            <w:tcBorders>
              <w:right w:val="single" w:sz="8" w:color="E2EDED"/>
            </w:tcBorders>
            <w:shd w:val="clear" w:color="auto" w:fill="DEDBD3"/>
          </w:tcPr>
          <w:p>
            <w:pPr>
              <w:ind w:left="280"/>
              <w:spacing w:after="0"/>
              <w:rPr>
                <w:sz w:val="20"/>
                <w:szCs w:val="20"/>
                <w:color w:val="auto"/>
              </w:rPr>
            </w:pPr>
            <w:r>
              <w:rPr>
                <w:rFonts w:ascii="Arial" w:cs="Arial" w:eastAsia="Arial" w:hAnsi="Arial"/>
                <w:sz w:val="14"/>
                <w:szCs w:val="14"/>
                <w:color w:val="auto"/>
              </w:rPr>
              <w:t>Election of the three Class III director nominees named in this Proxy Statement to serve until the</w:t>
            </w:r>
          </w:p>
        </w:tc>
        <w:tc>
          <w:tcPr>
            <w:tcW w:w="2660" w:type="dxa"/>
            <w:vAlign w:val="bottom"/>
            <w:shd w:val="clear" w:color="auto" w:fill="DEDBD3"/>
          </w:tcPr>
          <w:p>
            <w:pPr>
              <w:ind w:left="400"/>
              <w:spacing w:after="0"/>
              <w:rPr>
                <w:sz w:val="20"/>
                <w:szCs w:val="20"/>
                <w:color w:val="auto"/>
              </w:rPr>
            </w:pPr>
            <w:r>
              <w:rPr>
                <w:rFonts w:ascii="Arial" w:cs="Arial" w:eastAsia="Arial" w:hAnsi="Arial"/>
                <w:sz w:val="14"/>
                <w:szCs w:val="14"/>
                <w:color w:val="auto"/>
              </w:rPr>
              <w:t>“FOR” each nominee</w:t>
            </w:r>
          </w:p>
        </w:tc>
        <w:tc>
          <w:tcPr>
            <w:tcW w:w="0" w:type="dxa"/>
            <w:vAlign w:val="bottom"/>
          </w:tcPr>
          <w:p>
            <w:pPr>
              <w:spacing w:after="0"/>
              <w:rPr>
                <w:sz w:val="1"/>
                <w:szCs w:val="1"/>
                <w:color w:val="auto"/>
              </w:rPr>
            </w:pPr>
          </w:p>
        </w:tc>
      </w:tr>
      <w:tr>
        <w:trPr>
          <w:trHeight w:val="209"/>
        </w:trPr>
        <w:tc>
          <w:tcPr>
            <w:tcW w:w="1400" w:type="dxa"/>
            <w:vAlign w:val="bottom"/>
            <w:tcBorders>
              <w:bottom w:val="single" w:sz="8" w:color="DEDBD3"/>
              <w:right w:val="single" w:sz="8" w:color="E2EDED"/>
            </w:tcBorders>
            <w:shd w:val="clear" w:color="auto" w:fill="DEDBD3"/>
          </w:tcPr>
          <w:p>
            <w:pPr>
              <w:spacing w:after="0"/>
              <w:rPr>
                <w:sz w:val="17"/>
                <w:szCs w:val="17"/>
                <w:color w:val="auto"/>
              </w:rPr>
            </w:pPr>
          </w:p>
        </w:tc>
        <w:tc>
          <w:tcPr>
            <w:tcW w:w="6560" w:type="dxa"/>
            <w:vAlign w:val="bottom"/>
            <w:tcBorders>
              <w:bottom w:val="single" w:sz="8" w:color="DEDBD3"/>
              <w:right w:val="single" w:sz="8" w:color="E2EDED"/>
            </w:tcBorders>
            <w:shd w:val="clear" w:color="auto" w:fill="DEDBD3"/>
          </w:tcPr>
          <w:p>
            <w:pPr>
              <w:ind w:left="280"/>
              <w:spacing w:after="0"/>
              <w:rPr>
                <w:sz w:val="20"/>
                <w:szCs w:val="20"/>
                <w:color w:val="auto"/>
              </w:rPr>
            </w:pPr>
            <w:r>
              <w:rPr>
                <w:rFonts w:ascii="Arial" w:cs="Arial" w:eastAsia="Arial" w:hAnsi="Arial"/>
                <w:sz w:val="14"/>
                <w:szCs w:val="14"/>
                <w:color w:val="auto"/>
              </w:rPr>
              <w:t>2026 Annual Meeting of Shareholders</w:t>
            </w:r>
          </w:p>
        </w:tc>
        <w:tc>
          <w:tcPr>
            <w:tcW w:w="2660" w:type="dxa"/>
            <w:vAlign w:val="bottom"/>
            <w:tcBorders>
              <w:bottom w:val="single" w:sz="8" w:color="DEDBD3"/>
            </w:tcBorders>
            <w:shd w:val="clear" w:color="auto" w:fill="DEDBD3"/>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400" w:type="dxa"/>
            <w:vAlign w:val="bottom"/>
            <w:tcBorders>
              <w:top w:val="single" w:sz="8" w:color="E2EDED"/>
              <w:right w:val="single" w:sz="8" w:color="E2EDED"/>
            </w:tcBorders>
            <w:shd w:val="clear" w:color="auto" w:fill="FCFCF7"/>
          </w:tcPr>
          <w:p>
            <w:pPr>
              <w:ind w:left="60"/>
              <w:spacing w:after="0"/>
              <w:rPr>
                <w:sz w:val="20"/>
                <w:szCs w:val="20"/>
                <w:color w:val="auto"/>
              </w:rPr>
            </w:pPr>
            <w:r>
              <w:rPr>
                <w:rFonts w:ascii="Arial" w:cs="Arial" w:eastAsia="Arial" w:hAnsi="Arial"/>
                <w:sz w:val="14"/>
                <w:szCs w:val="14"/>
                <w:color w:val="auto"/>
              </w:rPr>
              <w:t>2</w:t>
            </w:r>
          </w:p>
        </w:tc>
        <w:tc>
          <w:tcPr>
            <w:tcW w:w="6560" w:type="dxa"/>
            <w:vAlign w:val="bottom"/>
            <w:tcBorders>
              <w:top w:val="single" w:sz="8" w:color="E2EDED"/>
              <w:right w:val="single" w:sz="8" w:color="E2EDED"/>
            </w:tcBorders>
            <w:shd w:val="clear" w:color="auto" w:fill="FCFCF7"/>
          </w:tcPr>
          <w:p>
            <w:pPr>
              <w:ind w:left="280"/>
              <w:spacing w:after="0"/>
              <w:rPr>
                <w:sz w:val="20"/>
                <w:szCs w:val="20"/>
                <w:color w:val="auto"/>
              </w:rPr>
            </w:pPr>
            <w:r>
              <w:rPr>
                <w:rFonts w:ascii="Arial" w:cs="Arial" w:eastAsia="Arial" w:hAnsi="Arial"/>
                <w:sz w:val="14"/>
                <w:szCs w:val="14"/>
                <w:color w:val="auto"/>
              </w:rPr>
              <w:t>Ratification of the appointment of Ernst &amp; Young LLP as our independent registered public</w:t>
            </w:r>
          </w:p>
        </w:tc>
        <w:tc>
          <w:tcPr>
            <w:tcW w:w="2660" w:type="dxa"/>
            <w:vAlign w:val="bottom"/>
            <w:tcBorders>
              <w:top w:val="single" w:sz="8" w:color="E2EDED"/>
            </w:tcBorders>
            <w:shd w:val="clear" w:color="auto" w:fill="FCFCF7"/>
          </w:tcPr>
          <w:p>
            <w:pPr>
              <w:ind w:left="400"/>
              <w:spacing w:after="0"/>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r>
        <w:trPr>
          <w:trHeight w:val="229"/>
        </w:trPr>
        <w:tc>
          <w:tcPr>
            <w:tcW w:w="1400" w:type="dxa"/>
            <w:vAlign w:val="bottom"/>
            <w:tcBorders>
              <w:bottom w:val="single" w:sz="8" w:color="FCFCF7"/>
              <w:right w:val="single" w:sz="8" w:color="E2EDED"/>
            </w:tcBorders>
            <w:shd w:val="clear" w:color="auto" w:fill="FCFCF7"/>
          </w:tcPr>
          <w:p>
            <w:pPr>
              <w:spacing w:after="0"/>
              <w:rPr>
                <w:sz w:val="19"/>
                <w:szCs w:val="19"/>
                <w:color w:val="auto"/>
              </w:rPr>
            </w:pPr>
          </w:p>
        </w:tc>
        <w:tc>
          <w:tcPr>
            <w:tcW w:w="6560" w:type="dxa"/>
            <w:vAlign w:val="bottom"/>
            <w:tcBorders>
              <w:bottom w:val="single" w:sz="8" w:color="FCFCF7"/>
              <w:right w:val="single" w:sz="8" w:color="E2EDED"/>
            </w:tcBorders>
            <w:shd w:val="clear" w:color="auto" w:fill="FCFCF7"/>
          </w:tcPr>
          <w:p>
            <w:pPr>
              <w:ind w:left="280"/>
              <w:spacing w:after="0"/>
              <w:rPr>
                <w:sz w:val="20"/>
                <w:szCs w:val="20"/>
                <w:color w:val="auto"/>
              </w:rPr>
            </w:pPr>
            <w:r>
              <w:rPr>
                <w:rFonts w:ascii="Arial" w:cs="Arial" w:eastAsia="Arial" w:hAnsi="Arial"/>
                <w:sz w:val="14"/>
                <w:szCs w:val="14"/>
                <w:color w:val="auto"/>
              </w:rPr>
              <w:t>accounting firm for the fiscal year ending December 31, 2023</w:t>
            </w:r>
          </w:p>
        </w:tc>
        <w:tc>
          <w:tcPr>
            <w:tcW w:w="2660" w:type="dxa"/>
            <w:vAlign w:val="bottom"/>
            <w:tcBorders>
              <w:bottom w:val="single" w:sz="8" w:color="FCFCF7"/>
            </w:tcBorders>
            <w:shd w:val="clear" w:color="auto" w:fill="FCFCF7"/>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400" w:type="dxa"/>
            <w:vAlign w:val="bottom"/>
            <w:tcBorders>
              <w:top w:val="single" w:sz="8" w:color="DEDBD3"/>
              <w:right w:val="single" w:sz="8" w:color="E2EDED"/>
            </w:tcBorders>
            <w:shd w:val="clear" w:color="auto" w:fill="DEDBD3"/>
          </w:tcPr>
          <w:p>
            <w:pPr>
              <w:ind w:left="60"/>
              <w:spacing w:after="0"/>
              <w:rPr>
                <w:sz w:val="20"/>
                <w:szCs w:val="20"/>
                <w:color w:val="auto"/>
              </w:rPr>
            </w:pPr>
            <w:r>
              <w:rPr>
                <w:rFonts w:ascii="Arial" w:cs="Arial" w:eastAsia="Arial" w:hAnsi="Arial"/>
                <w:sz w:val="14"/>
                <w:szCs w:val="14"/>
                <w:color w:val="auto"/>
              </w:rPr>
              <w:t>3</w:t>
            </w:r>
          </w:p>
        </w:tc>
        <w:tc>
          <w:tcPr>
            <w:tcW w:w="6560" w:type="dxa"/>
            <w:vAlign w:val="bottom"/>
            <w:tcBorders>
              <w:top w:val="single" w:sz="8" w:color="DEDBD3"/>
              <w:right w:val="single" w:sz="8" w:color="E2EDED"/>
            </w:tcBorders>
            <w:shd w:val="clear" w:color="auto" w:fill="DEDBD3"/>
          </w:tcPr>
          <w:p>
            <w:pPr>
              <w:ind w:left="280"/>
              <w:spacing w:after="0"/>
              <w:rPr>
                <w:sz w:val="20"/>
                <w:szCs w:val="20"/>
                <w:color w:val="auto"/>
              </w:rPr>
            </w:pPr>
            <w:r>
              <w:rPr>
                <w:rFonts w:ascii="Arial" w:cs="Arial" w:eastAsia="Arial" w:hAnsi="Arial"/>
                <w:sz w:val="14"/>
                <w:szCs w:val="14"/>
                <w:color w:val="auto"/>
              </w:rPr>
              <w:t>Approval, on a non-binding advisory basis, of the compensation of our named executive officers as</w:t>
            </w:r>
          </w:p>
        </w:tc>
        <w:tc>
          <w:tcPr>
            <w:tcW w:w="2660" w:type="dxa"/>
            <w:vAlign w:val="bottom"/>
            <w:tcBorders>
              <w:top w:val="single" w:sz="8" w:color="DEDBD3"/>
            </w:tcBorders>
            <w:shd w:val="clear" w:color="auto" w:fill="DEDBD3"/>
          </w:tcPr>
          <w:p>
            <w:pPr>
              <w:ind w:left="400"/>
              <w:spacing w:after="0"/>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r>
        <w:trPr>
          <w:trHeight w:val="197"/>
        </w:trPr>
        <w:tc>
          <w:tcPr>
            <w:tcW w:w="1400" w:type="dxa"/>
            <w:vAlign w:val="bottom"/>
            <w:tcBorders>
              <w:bottom w:val="single" w:sz="8" w:color="DEDBD3"/>
              <w:right w:val="single" w:sz="8" w:color="E2EDED"/>
            </w:tcBorders>
            <w:shd w:val="clear" w:color="auto" w:fill="DEDBD3"/>
          </w:tcPr>
          <w:p>
            <w:pPr>
              <w:spacing w:after="0"/>
              <w:rPr>
                <w:sz w:val="17"/>
                <w:szCs w:val="17"/>
                <w:color w:val="auto"/>
              </w:rPr>
            </w:pPr>
          </w:p>
        </w:tc>
        <w:tc>
          <w:tcPr>
            <w:tcW w:w="6560" w:type="dxa"/>
            <w:vAlign w:val="bottom"/>
            <w:tcBorders>
              <w:bottom w:val="single" w:sz="8" w:color="DEDBD3"/>
              <w:right w:val="single" w:sz="8" w:color="E2EDED"/>
            </w:tcBorders>
            <w:shd w:val="clear" w:color="auto" w:fill="DEDBD3"/>
          </w:tcPr>
          <w:p>
            <w:pPr>
              <w:ind w:left="280"/>
              <w:spacing w:after="0"/>
              <w:rPr>
                <w:sz w:val="20"/>
                <w:szCs w:val="20"/>
                <w:color w:val="auto"/>
              </w:rPr>
            </w:pPr>
            <w:r>
              <w:rPr>
                <w:rFonts w:ascii="Arial" w:cs="Arial" w:eastAsia="Arial" w:hAnsi="Arial"/>
                <w:sz w:val="14"/>
                <w:szCs w:val="14"/>
                <w:color w:val="auto"/>
              </w:rPr>
              <w:t>described in this Proxy Statement</w:t>
            </w:r>
          </w:p>
        </w:tc>
        <w:tc>
          <w:tcPr>
            <w:tcW w:w="2660" w:type="dxa"/>
            <w:vAlign w:val="bottom"/>
            <w:tcBorders>
              <w:bottom w:val="single" w:sz="8" w:color="DEDBD3"/>
            </w:tcBorders>
            <w:shd w:val="clear" w:color="auto" w:fill="DEDBD3"/>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00" w:type="dxa"/>
            <w:vAlign w:val="bottom"/>
            <w:tcBorders>
              <w:right w:val="single" w:sz="8" w:color="E2EDED"/>
            </w:tcBorders>
            <w:shd w:val="clear" w:color="auto" w:fill="FCFCF7"/>
          </w:tcPr>
          <w:p>
            <w:pPr>
              <w:ind w:left="60"/>
              <w:spacing w:after="0"/>
              <w:rPr>
                <w:sz w:val="20"/>
                <w:szCs w:val="20"/>
                <w:color w:val="auto"/>
              </w:rPr>
            </w:pPr>
            <w:r>
              <w:rPr>
                <w:rFonts w:ascii="Arial" w:cs="Arial" w:eastAsia="Arial" w:hAnsi="Arial"/>
                <w:sz w:val="14"/>
                <w:szCs w:val="14"/>
                <w:color w:val="auto"/>
              </w:rPr>
              <w:t>4</w:t>
            </w:r>
          </w:p>
        </w:tc>
        <w:tc>
          <w:tcPr>
            <w:tcW w:w="6560" w:type="dxa"/>
            <w:vAlign w:val="bottom"/>
            <w:tcBorders>
              <w:right w:val="single" w:sz="8" w:color="E2EDED"/>
            </w:tcBorders>
            <w:shd w:val="clear" w:color="auto" w:fill="FCFCF7"/>
          </w:tcPr>
          <w:p>
            <w:pPr>
              <w:ind w:left="280"/>
              <w:spacing w:after="0"/>
              <w:rPr>
                <w:sz w:val="20"/>
                <w:szCs w:val="20"/>
                <w:color w:val="auto"/>
              </w:rPr>
            </w:pPr>
            <w:r>
              <w:rPr>
                <w:rFonts w:ascii="Arial" w:cs="Arial" w:eastAsia="Arial" w:hAnsi="Arial"/>
                <w:sz w:val="14"/>
                <w:szCs w:val="14"/>
                <w:color w:val="auto"/>
              </w:rPr>
              <w:t>Approval, on a non-binding advisory basis, the frequency of future advisory votes to approve the</w:t>
            </w:r>
          </w:p>
        </w:tc>
        <w:tc>
          <w:tcPr>
            <w:tcW w:w="2660" w:type="dxa"/>
            <w:vAlign w:val="bottom"/>
            <w:shd w:val="clear" w:color="auto" w:fill="FCFCF7"/>
          </w:tcPr>
          <w:p>
            <w:pPr>
              <w:ind w:left="400"/>
              <w:spacing w:after="0"/>
              <w:rPr>
                <w:sz w:val="20"/>
                <w:szCs w:val="20"/>
                <w:color w:val="auto"/>
              </w:rPr>
            </w:pPr>
            <w:r>
              <w:rPr>
                <w:rFonts w:ascii="Arial" w:cs="Arial" w:eastAsia="Arial" w:hAnsi="Arial"/>
                <w:sz w:val="14"/>
                <w:szCs w:val="14"/>
                <w:color w:val="auto"/>
              </w:rPr>
              <w:t>“FOR Every One</w:t>
            </w:r>
          </w:p>
        </w:tc>
        <w:tc>
          <w:tcPr>
            <w:tcW w:w="0" w:type="dxa"/>
            <w:vAlign w:val="bottom"/>
          </w:tcPr>
          <w:p>
            <w:pPr>
              <w:spacing w:after="0"/>
              <w:rPr>
                <w:sz w:val="1"/>
                <w:szCs w:val="1"/>
                <w:color w:val="auto"/>
              </w:rPr>
            </w:pPr>
          </w:p>
        </w:tc>
      </w:tr>
      <w:tr>
        <w:trPr>
          <w:trHeight w:val="184"/>
        </w:trPr>
        <w:tc>
          <w:tcPr>
            <w:tcW w:w="1400" w:type="dxa"/>
            <w:vAlign w:val="bottom"/>
            <w:tcBorders>
              <w:bottom w:val="single" w:sz="8" w:color="FCFCF7"/>
              <w:right w:val="single" w:sz="8" w:color="E2EDED"/>
            </w:tcBorders>
            <w:shd w:val="clear" w:color="auto" w:fill="FCFCF7"/>
          </w:tcPr>
          <w:p>
            <w:pPr>
              <w:spacing w:after="0"/>
              <w:rPr>
                <w:sz w:val="15"/>
                <w:szCs w:val="15"/>
                <w:color w:val="auto"/>
              </w:rPr>
            </w:pPr>
          </w:p>
        </w:tc>
        <w:tc>
          <w:tcPr>
            <w:tcW w:w="6560" w:type="dxa"/>
            <w:vAlign w:val="bottom"/>
            <w:tcBorders>
              <w:bottom w:val="single" w:sz="8" w:color="FCFCF7"/>
              <w:right w:val="single" w:sz="8" w:color="E2EDED"/>
            </w:tcBorders>
            <w:shd w:val="clear" w:color="auto" w:fill="FCFCF7"/>
          </w:tcPr>
          <w:p>
            <w:pPr>
              <w:ind w:left="280"/>
              <w:spacing w:after="0"/>
              <w:rPr>
                <w:sz w:val="20"/>
                <w:szCs w:val="20"/>
                <w:color w:val="auto"/>
              </w:rPr>
            </w:pPr>
            <w:r>
              <w:rPr>
                <w:rFonts w:ascii="Arial" w:cs="Arial" w:eastAsia="Arial" w:hAnsi="Arial"/>
                <w:sz w:val="14"/>
                <w:szCs w:val="14"/>
                <w:color w:val="auto"/>
              </w:rPr>
              <w:t>compensation of our named executive officers</w:t>
            </w:r>
          </w:p>
        </w:tc>
        <w:tc>
          <w:tcPr>
            <w:tcW w:w="2660" w:type="dxa"/>
            <w:vAlign w:val="bottom"/>
            <w:tcBorders>
              <w:bottom w:val="single" w:sz="8" w:color="FCFCF7"/>
            </w:tcBorders>
            <w:shd w:val="clear" w:color="auto" w:fill="FCFCF7"/>
          </w:tcPr>
          <w:p>
            <w:pPr>
              <w:ind w:left="400"/>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20"/>
        </w:trPr>
        <w:tc>
          <w:tcPr>
            <w:tcW w:w="1400" w:type="dxa"/>
            <w:vAlign w:val="bottom"/>
            <w:tcBorders>
              <w:right w:val="single" w:sz="8" w:color="E2EDED"/>
            </w:tcBorders>
            <w:shd w:val="clear" w:color="auto" w:fill="E2EDED"/>
          </w:tcPr>
          <w:p>
            <w:pPr>
              <w:spacing w:after="0" w:line="20" w:lineRule="exact"/>
              <w:rPr>
                <w:sz w:val="1"/>
                <w:szCs w:val="1"/>
                <w:color w:val="auto"/>
              </w:rPr>
            </w:pPr>
          </w:p>
        </w:tc>
        <w:tc>
          <w:tcPr>
            <w:tcW w:w="6560" w:type="dxa"/>
            <w:vAlign w:val="bottom"/>
            <w:tcBorders>
              <w:right w:val="single" w:sz="8" w:color="E2EDED"/>
            </w:tcBorders>
            <w:shd w:val="clear" w:color="auto" w:fill="E2EDED"/>
          </w:tcPr>
          <w:p>
            <w:pPr>
              <w:spacing w:after="0" w:line="20" w:lineRule="exact"/>
              <w:rPr>
                <w:sz w:val="1"/>
                <w:szCs w:val="1"/>
                <w:color w:val="auto"/>
              </w:rPr>
            </w:pPr>
          </w:p>
        </w:tc>
        <w:tc>
          <w:tcPr>
            <w:tcW w:w="2660" w:type="dxa"/>
            <w:vAlign w:val="bottom"/>
            <w:shd w:val="clear" w:color="auto" w:fill="E2EDE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1655E"/>
        </w:rPr>
        <w:t>VOTING AND SOLICITATION</w:t>
      </w:r>
    </w:p>
    <w:p>
      <w:pPr>
        <w:spacing w:after="0" w:line="6" w:lineRule="exact"/>
        <w:rPr>
          <w:sz w:val="20"/>
          <w:szCs w:val="20"/>
          <w:color w:val="auto"/>
        </w:rPr>
      </w:pPr>
    </w:p>
    <w:p>
      <w:pPr>
        <w:ind w:left="320" w:right="60"/>
        <w:spacing w:after="0" w:line="243" w:lineRule="auto"/>
        <w:rPr>
          <w:sz w:val="20"/>
          <w:szCs w:val="20"/>
          <w:color w:val="auto"/>
        </w:rPr>
      </w:pPr>
      <w:r>
        <w:rPr>
          <w:rFonts w:ascii="Arial" w:cs="Arial" w:eastAsia="Arial" w:hAnsi="Arial"/>
          <w:sz w:val="17"/>
          <w:szCs w:val="17"/>
          <w:color w:val="auto"/>
        </w:rPr>
        <w:t>Only holders of record of shares of the Company’s common stock, par value $0.01 (“Common Stock”), as of the close of business on March 10, 2023, the record date fixed by the Board (the “Record Date”), are entitled to notice of, and to vote at, the Annual Meeting and at any adjournments or postponements thereof. As of the Record Date, there were 113,681,662 shares of Common Stock outstanding. Each shareholder is entitled to one vote for each share of Common Stock held as of the Record Date on all matters presented at the Annual Meeting.</w:t>
      </w:r>
    </w:p>
    <w:p>
      <w:pPr>
        <w:spacing w:after="0" w:line="168" w:lineRule="exact"/>
        <w:rPr>
          <w:sz w:val="20"/>
          <w:szCs w:val="20"/>
          <w:color w:val="auto"/>
        </w:rPr>
      </w:pPr>
    </w:p>
    <w:p>
      <w:pPr>
        <w:jc w:val="both"/>
        <w:ind w:left="320" w:right="180"/>
        <w:spacing w:after="0" w:line="247" w:lineRule="auto"/>
        <w:rPr>
          <w:sz w:val="20"/>
          <w:szCs w:val="20"/>
          <w:color w:val="auto"/>
        </w:rPr>
      </w:pPr>
      <w:r>
        <w:rPr>
          <w:rFonts w:ascii="Arial" w:cs="Arial" w:eastAsia="Arial" w:hAnsi="Arial"/>
          <w:sz w:val="17"/>
          <w:szCs w:val="17"/>
          <w:color w:val="auto"/>
        </w:rPr>
        <w:t>At least a majority of the outstanding shares of Common Stock must be represented at the Annual Meeting, either present virtually at the Annual Meeting or represented by proxy, to constitute a quorum and to transact business at the Annual Meeting. Abstentions and broker non-votes, as discussed further below, are counted for purposes determining whether there is a quorum.</w:t>
      </w:r>
    </w:p>
    <w:p>
      <w:pPr>
        <w:spacing w:after="0" w:line="151" w:lineRule="exact"/>
        <w:rPr>
          <w:sz w:val="20"/>
          <w:szCs w:val="20"/>
          <w:color w:val="auto"/>
        </w:rPr>
      </w:pPr>
    </w:p>
    <w:p>
      <w:pPr>
        <w:ind w:left="320" w:right="140"/>
        <w:spacing w:after="0" w:line="241" w:lineRule="auto"/>
        <w:rPr>
          <w:sz w:val="20"/>
          <w:szCs w:val="20"/>
          <w:color w:val="auto"/>
        </w:rPr>
      </w:pPr>
      <w:r>
        <w:rPr>
          <w:rFonts w:ascii="Arial" w:cs="Arial" w:eastAsia="Arial" w:hAnsi="Arial"/>
          <w:sz w:val="17"/>
          <w:szCs w:val="17"/>
          <w:color w:val="auto"/>
        </w:rPr>
        <w:t>For each item to be acted upon at the Annual Meeting, the item will be approved if the number of votes cast in favor of the item by the shareholders entitled to vote exceeds the number of votes cast in opposition to the item. You may vote “for,” “against” or abstain from voting on these proposals, and in the case of Proposal 1, you may vote “for,” “against” or abstain from voting on each director nominee. Abstentions will not be counted as votes cast on an item and, therefore, will not affect the outcome of these proposals. Broker non-votes will not be counted as votes cast on Proposals 1 and 3 and, therefore, will not affect the outcome of these proposals. Shares represented by properly executed and unrevoked proxies will be voted at the Annual Meeting in accordance with the directions of shareholders indicated in their proxies. If no specification is made, shares represented by properly executed and unrevoked proxies will be voted in accordance with the specific recommendations of the Board set forth above. If any other matter properly comes before the Annual Meeting, the shares will be voted in the discretion of the persons voting pursuant to the respective proxies.</w:t>
      </w:r>
    </w:p>
    <w:p>
      <w:pPr>
        <w:spacing w:after="0" w:line="159" w:lineRule="exact"/>
        <w:rPr>
          <w:sz w:val="20"/>
          <w:szCs w:val="20"/>
          <w:color w:val="auto"/>
        </w:rPr>
      </w:pPr>
    </w:p>
    <w:p>
      <w:pPr>
        <w:ind w:left="320" w:right="40"/>
        <w:spacing w:after="0" w:line="242" w:lineRule="auto"/>
        <w:rPr>
          <w:sz w:val="20"/>
          <w:szCs w:val="20"/>
          <w:color w:val="auto"/>
        </w:rPr>
      </w:pPr>
      <w:r>
        <w:rPr>
          <w:rFonts w:ascii="Arial" w:cs="Arial" w:eastAsia="Arial" w:hAnsi="Arial"/>
          <w:sz w:val="17"/>
          <w:szCs w:val="17"/>
          <w:color w:val="auto"/>
        </w:rPr>
        <w:t>For a shareholder who holds his or her shares through an intermediary, such as a broker, bank or other nominee (referred to as “beneficial owners”), such intermediary will not be permitted to vote on Proposal 1 (the election of directors) or Proposal 3 (approval of the compensation of our named executive officers (known as a “Say-on-Pay” vote)) or Proposal 4 (approval of the frequency of future Say-on-Pay votes) (this situation is called a “broker non-vote”). ACCORDINGLY, WE ENCOURAGE YOU TO VOTE YOUR SHARES ON ALL MATTERS BEING CONSIDERED AT THE ANNUAL MEETING. Notwithstanding the occurrence of a broker non-vote, the intermediary may still vote the shareholder’s shares on Proposal 2 (ratification of Ernst &amp; Young LLP as our independent auditor).</w:t>
      </w:r>
    </w:p>
    <w:p>
      <w:pPr>
        <w:spacing w:after="0" w:line="137"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 63 //</w:t>
      </w:r>
    </w:p>
    <w:p>
      <w:pPr>
        <w:sectPr>
          <w:pgSz w:w="11900" w:h="16838" w:orient="portrait"/>
          <w:cols w:equalWidth="0" w:num="1">
            <w:col w:w="10940"/>
          </w:cols>
          <w:pgMar w:left="320" w:top="473" w:right="6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voting requirements to elect directors and to approve each of the proposals in this Proxy Statement:</w:t>
      </w:r>
    </w:p>
    <w:p>
      <w:pPr>
        <w:spacing w:after="0" w:line="209" w:lineRule="exact"/>
        <w:rPr>
          <w:sz w:val="20"/>
          <w:szCs w:val="20"/>
          <w:color w:val="auto"/>
        </w:rPr>
      </w:pPr>
    </w:p>
    <w:tbl>
      <w:tblPr>
        <w:tblLayout w:type="fixed"/>
        <w:tblInd w:w="320" w:type="dxa"/>
        <w:tblCellMar>
          <w:top w:w="0" w:type="dxa"/>
          <w:left w:w="0" w:type="dxa"/>
          <w:bottom w:w="0" w:type="dxa"/>
          <w:right w:w="0" w:type="dxa"/>
        </w:tblCellMar>
      </w:tblPr>
      <w:tr>
        <w:trPr>
          <w:trHeight w:val="162"/>
        </w:trPr>
        <w:tc>
          <w:tcPr>
            <w:tcW w:w="1400" w:type="dxa"/>
            <w:vAlign w:val="bottom"/>
            <w:tcBorders>
              <w:right w:val="single" w:sz="8" w:color="E2EDED"/>
            </w:tcBorders>
            <w:shd w:val="clear" w:color="auto" w:fill="71655E"/>
          </w:tcPr>
          <w:p>
            <w:pPr>
              <w:ind w:left="60"/>
              <w:spacing w:after="0"/>
              <w:rPr>
                <w:sz w:val="20"/>
                <w:szCs w:val="20"/>
                <w:color w:val="auto"/>
              </w:rPr>
            </w:pPr>
            <w:r>
              <w:rPr>
                <w:rFonts w:ascii="Arial" w:cs="Arial" w:eastAsia="Arial" w:hAnsi="Arial"/>
                <w:sz w:val="12"/>
                <w:szCs w:val="12"/>
                <w:b w:val="1"/>
                <w:bCs w:val="1"/>
                <w:color w:val="FFFFFF"/>
              </w:rPr>
              <w:t>PROPOSAL</w:t>
            </w:r>
          </w:p>
        </w:tc>
        <w:tc>
          <w:tcPr>
            <w:tcW w:w="3280" w:type="dxa"/>
            <w:vAlign w:val="bottom"/>
            <w:tcBorders>
              <w:right w:val="single" w:sz="8" w:color="E2EDED"/>
            </w:tcBorders>
            <w:vMerge w:val="restart"/>
            <w:shd w:val="clear" w:color="auto" w:fill="71655E"/>
          </w:tcPr>
          <w:p>
            <w:pPr>
              <w:ind w:left="1540"/>
              <w:spacing w:after="0"/>
              <w:rPr>
                <w:sz w:val="20"/>
                <w:szCs w:val="20"/>
                <w:color w:val="auto"/>
              </w:rPr>
            </w:pPr>
            <w:r>
              <w:rPr>
                <w:rFonts w:ascii="Arial" w:cs="Arial" w:eastAsia="Arial" w:hAnsi="Arial"/>
                <w:sz w:val="12"/>
                <w:szCs w:val="12"/>
                <w:b w:val="1"/>
                <w:bCs w:val="1"/>
                <w:color w:val="FFFFFF"/>
              </w:rPr>
              <w:t>PROPOSAL</w:t>
            </w:r>
          </w:p>
        </w:tc>
        <w:tc>
          <w:tcPr>
            <w:tcW w:w="3160" w:type="dxa"/>
            <w:vAlign w:val="bottom"/>
            <w:tcBorders>
              <w:right w:val="single" w:sz="8" w:color="E2EDED"/>
            </w:tcBorders>
            <w:vMerge w:val="restart"/>
            <w:shd w:val="clear" w:color="auto" w:fill="71655E"/>
          </w:tcPr>
          <w:p>
            <w:pPr>
              <w:ind w:left="1360"/>
              <w:spacing w:after="0"/>
              <w:rPr>
                <w:sz w:val="20"/>
                <w:szCs w:val="20"/>
                <w:color w:val="auto"/>
              </w:rPr>
            </w:pPr>
            <w:r>
              <w:rPr>
                <w:rFonts w:ascii="Arial" w:cs="Arial" w:eastAsia="Arial" w:hAnsi="Arial"/>
                <w:sz w:val="12"/>
                <w:szCs w:val="12"/>
                <w:b w:val="1"/>
                <w:bCs w:val="1"/>
                <w:color w:val="FFFFFF"/>
              </w:rPr>
              <w:t>VOTE REQUIRED</w:t>
            </w:r>
          </w:p>
        </w:tc>
        <w:tc>
          <w:tcPr>
            <w:tcW w:w="2780" w:type="dxa"/>
            <w:vAlign w:val="bottom"/>
            <w:shd w:val="clear" w:color="auto" w:fill="71655E"/>
          </w:tcPr>
          <w:p>
            <w:pPr>
              <w:jc w:val="center"/>
              <w:ind w:left="274"/>
              <w:spacing w:after="0"/>
              <w:rPr>
                <w:sz w:val="20"/>
                <w:szCs w:val="20"/>
                <w:color w:val="auto"/>
              </w:rPr>
            </w:pPr>
            <w:r>
              <w:rPr>
                <w:rFonts w:ascii="Arial" w:cs="Arial" w:eastAsia="Arial" w:hAnsi="Arial"/>
                <w:sz w:val="12"/>
                <w:szCs w:val="12"/>
                <w:b w:val="1"/>
                <w:bCs w:val="1"/>
                <w:color w:val="FFFFFF"/>
              </w:rPr>
              <w:t>BROKER DISCRETIONARY</w:t>
            </w:r>
          </w:p>
        </w:tc>
        <w:tc>
          <w:tcPr>
            <w:tcW w:w="0" w:type="dxa"/>
            <w:vAlign w:val="bottom"/>
          </w:tcPr>
          <w:p>
            <w:pPr>
              <w:spacing w:after="0"/>
              <w:rPr>
                <w:sz w:val="1"/>
                <w:szCs w:val="1"/>
                <w:color w:val="auto"/>
              </w:rPr>
            </w:pPr>
          </w:p>
        </w:tc>
      </w:tr>
      <w:tr>
        <w:trPr>
          <w:trHeight w:val="176"/>
        </w:trPr>
        <w:tc>
          <w:tcPr>
            <w:tcW w:w="1400" w:type="dxa"/>
            <w:vAlign w:val="bottom"/>
            <w:tcBorders>
              <w:right w:val="single" w:sz="8" w:color="E2EDED"/>
            </w:tcBorders>
            <w:shd w:val="clear" w:color="auto" w:fill="71655E"/>
          </w:tcPr>
          <w:p>
            <w:pPr>
              <w:ind w:left="60"/>
              <w:spacing w:after="0"/>
              <w:rPr>
                <w:sz w:val="20"/>
                <w:szCs w:val="20"/>
                <w:color w:val="auto"/>
              </w:rPr>
            </w:pPr>
            <w:r>
              <w:rPr>
                <w:rFonts w:ascii="Arial" w:cs="Arial" w:eastAsia="Arial" w:hAnsi="Arial"/>
                <w:sz w:val="12"/>
                <w:szCs w:val="12"/>
                <w:b w:val="1"/>
                <w:bCs w:val="1"/>
                <w:color w:val="FFFFFF"/>
              </w:rPr>
              <w:t>NUMBER</w:t>
            </w:r>
          </w:p>
        </w:tc>
        <w:tc>
          <w:tcPr>
            <w:tcW w:w="3280" w:type="dxa"/>
            <w:vAlign w:val="bottom"/>
            <w:tcBorders>
              <w:right w:val="single" w:sz="8" w:color="E2EDED"/>
            </w:tcBorders>
            <w:vMerge w:val="continue"/>
            <w:shd w:val="clear" w:color="auto" w:fill="71655E"/>
          </w:tcPr>
          <w:p>
            <w:pPr>
              <w:spacing w:after="0"/>
              <w:rPr>
                <w:sz w:val="15"/>
                <w:szCs w:val="15"/>
                <w:color w:val="auto"/>
              </w:rPr>
            </w:pPr>
          </w:p>
        </w:tc>
        <w:tc>
          <w:tcPr>
            <w:tcW w:w="3160" w:type="dxa"/>
            <w:vAlign w:val="bottom"/>
            <w:tcBorders>
              <w:right w:val="single" w:sz="8" w:color="E2EDED"/>
            </w:tcBorders>
            <w:vMerge w:val="continue"/>
            <w:shd w:val="clear" w:color="auto" w:fill="71655E"/>
          </w:tcPr>
          <w:p>
            <w:pPr>
              <w:spacing w:after="0"/>
              <w:rPr>
                <w:sz w:val="15"/>
                <w:szCs w:val="15"/>
                <w:color w:val="auto"/>
              </w:rPr>
            </w:pPr>
          </w:p>
        </w:tc>
        <w:tc>
          <w:tcPr>
            <w:tcW w:w="2780" w:type="dxa"/>
            <w:vAlign w:val="bottom"/>
            <w:shd w:val="clear" w:color="auto" w:fill="71655E"/>
          </w:tcPr>
          <w:p>
            <w:pPr>
              <w:jc w:val="center"/>
              <w:ind w:left="254"/>
              <w:spacing w:after="0"/>
              <w:rPr>
                <w:sz w:val="20"/>
                <w:szCs w:val="20"/>
                <w:color w:val="auto"/>
              </w:rPr>
            </w:pPr>
            <w:r>
              <w:rPr>
                <w:rFonts w:ascii="Arial" w:cs="Arial" w:eastAsia="Arial" w:hAnsi="Arial"/>
                <w:sz w:val="12"/>
                <w:szCs w:val="12"/>
                <w:b w:val="1"/>
                <w:bCs w:val="1"/>
                <w:color w:val="FFFFFF"/>
                <w:w w:val="99"/>
              </w:rPr>
              <w:t>VOTING ALLOWED</w:t>
            </w:r>
          </w:p>
        </w:tc>
        <w:tc>
          <w:tcPr>
            <w:tcW w:w="0" w:type="dxa"/>
            <w:vAlign w:val="bottom"/>
          </w:tcPr>
          <w:p>
            <w:pPr>
              <w:spacing w:after="0"/>
              <w:rPr>
                <w:sz w:val="1"/>
                <w:szCs w:val="1"/>
                <w:color w:val="auto"/>
              </w:rPr>
            </w:pPr>
          </w:p>
        </w:tc>
      </w:tr>
      <w:tr>
        <w:trPr>
          <w:trHeight w:val="213"/>
        </w:trPr>
        <w:tc>
          <w:tcPr>
            <w:tcW w:w="1400" w:type="dxa"/>
            <w:vAlign w:val="bottom"/>
            <w:tcBorders>
              <w:right w:val="single" w:sz="8" w:color="E2EDED"/>
            </w:tcBorders>
            <w:shd w:val="clear" w:color="auto" w:fill="DEDBD3"/>
          </w:tcPr>
          <w:p>
            <w:pPr>
              <w:ind w:left="60"/>
              <w:spacing w:after="0"/>
              <w:rPr>
                <w:sz w:val="20"/>
                <w:szCs w:val="20"/>
                <w:color w:val="auto"/>
              </w:rPr>
            </w:pPr>
            <w:r>
              <w:rPr>
                <w:rFonts w:ascii="Arial" w:cs="Arial" w:eastAsia="Arial" w:hAnsi="Arial"/>
                <w:sz w:val="14"/>
                <w:szCs w:val="14"/>
                <w:color w:val="auto"/>
              </w:rPr>
              <w:t>1</w:t>
            </w:r>
          </w:p>
        </w:tc>
        <w:tc>
          <w:tcPr>
            <w:tcW w:w="3280" w:type="dxa"/>
            <w:vAlign w:val="bottom"/>
            <w:tcBorders>
              <w:right w:val="single" w:sz="8" w:color="E2EDED"/>
            </w:tcBorders>
            <w:shd w:val="clear" w:color="auto" w:fill="DEDBD3"/>
          </w:tcPr>
          <w:p>
            <w:pPr>
              <w:ind w:left="60"/>
              <w:spacing w:after="0"/>
              <w:rPr>
                <w:sz w:val="20"/>
                <w:szCs w:val="20"/>
                <w:color w:val="auto"/>
              </w:rPr>
            </w:pPr>
            <w:r>
              <w:rPr>
                <w:rFonts w:ascii="Arial" w:cs="Arial" w:eastAsia="Arial" w:hAnsi="Arial"/>
                <w:sz w:val="14"/>
                <w:szCs w:val="14"/>
                <w:color w:val="auto"/>
              </w:rPr>
              <w:t>Election of the three Class III directors</w:t>
            </w:r>
          </w:p>
        </w:tc>
        <w:tc>
          <w:tcPr>
            <w:tcW w:w="3160" w:type="dxa"/>
            <w:vAlign w:val="bottom"/>
            <w:tcBorders>
              <w:right w:val="single" w:sz="8" w:color="E2EDED"/>
            </w:tcBorders>
            <w:shd w:val="clear" w:color="auto" w:fill="DEDBD3"/>
          </w:tcPr>
          <w:p>
            <w:pPr>
              <w:ind w:left="160"/>
              <w:spacing w:after="0"/>
              <w:rPr>
                <w:sz w:val="20"/>
                <w:szCs w:val="20"/>
                <w:color w:val="auto"/>
              </w:rPr>
            </w:pPr>
            <w:r>
              <w:rPr>
                <w:rFonts w:ascii="Arial" w:cs="Arial" w:eastAsia="Arial" w:hAnsi="Arial"/>
                <w:sz w:val="14"/>
                <w:szCs w:val="14"/>
                <w:color w:val="auto"/>
              </w:rPr>
              <w:t>Number of votes cast in favor exceeds number</w:t>
            </w:r>
          </w:p>
        </w:tc>
        <w:tc>
          <w:tcPr>
            <w:tcW w:w="2780" w:type="dxa"/>
            <w:vAlign w:val="bottom"/>
            <w:shd w:val="clear" w:color="auto" w:fill="DEDBD3"/>
          </w:tcPr>
          <w:p>
            <w:pPr>
              <w:jc w:val="center"/>
              <w:ind w:left="54"/>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97"/>
        </w:trPr>
        <w:tc>
          <w:tcPr>
            <w:tcW w:w="1400" w:type="dxa"/>
            <w:vAlign w:val="bottom"/>
            <w:tcBorders>
              <w:bottom w:val="single" w:sz="8" w:color="DEDBD3"/>
              <w:right w:val="single" w:sz="8" w:color="E2EDED"/>
            </w:tcBorders>
            <w:shd w:val="clear" w:color="auto" w:fill="DEDBD3"/>
          </w:tcPr>
          <w:p>
            <w:pPr>
              <w:spacing w:after="0"/>
              <w:rPr>
                <w:sz w:val="17"/>
                <w:szCs w:val="17"/>
                <w:color w:val="auto"/>
              </w:rPr>
            </w:pPr>
          </w:p>
        </w:tc>
        <w:tc>
          <w:tcPr>
            <w:tcW w:w="3280" w:type="dxa"/>
            <w:vAlign w:val="bottom"/>
            <w:tcBorders>
              <w:bottom w:val="single" w:sz="8" w:color="DEDBD3"/>
              <w:right w:val="single" w:sz="8" w:color="E2EDED"/>
            </w:tcBorders>
            <w:shd w:val="clear" w:color="auto" w:fill="DEDBD3"/>
          </w:tcPr>
          <w:p>
            <w:pPr>
              <w:spacing w:after="0"/>
              <w:rPr>
                <w:sz w:val="17"/>
                <w:szCs w:val="17"/>
                <w:color w:val="auto"/>
              </w:rPr>
            </w:pPr>
          </w:p>
        </w:tc>
        <w:tc>
          <w:tcPr>
            <w:tcW w:w="3160" w:type="dxa"/>
            <w:vAlign w:val="bottom"/>
            <w:tcBorders>
              <w:bottom w:val="single" w:sz="8" w:color="DEDBD3"/>
              <w:right w:val="single" w:sz="8" w:color="E2EDED"/>
            </w:tcBorders>
            <w:shd w:val="clear" w:color="auto" w:fill="DEDBD3"/>
          </w:tcPr>
          <w:p>
            <w:pPr>
              <w:ind w:left="160"/>
              <w:spacing w:after="0"/>
              <w:rPr>
                <w:sz w:val="20"/>
                <w:szCs w:val="20"/>
                <w:color w:val="auto"/>
              </w:rPr>
            </w:pPr>
            <w:r>
              <w:rPr>
                <w:rFonts w:ascii="Arial" w:cs="Arial" w:eastAsia="Arial" w:hAnsi="Arial"/>
                <w:sz w:val="14"/>
                <w:szCs w:val="14"/>
                <w:color w:val="auto"/>
              </w:rPr>
              <w:t>of votes cast in opposition</w:t>
            </w:r>
          </w:p>
        </w:tc>
        <w:tc>
          <w:tcPr>
            <w:tcW w:w="2780" w:type="dxa"/>
            <w:vAlign w:val="bottom"/>
            <w:tcBorders>
              <w:bottom w:val="single" w:sz="8" w:color="DEDBD3"/>
            </w:tcBorders>
            <w:shd w:val="clear" w:color="auto" w:fill="DEDBD3"/>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00" w:type="dxa"/>
            <w:vAlign w:val="bottom"/>
            <w:tcBorders>
              <w:right w:val="single" w:sz="8" w:color="E2EDED"/>
            </w:tcBorders>
            <w:shd w:val="clear" w:color="auto" w:fill="FCFCF7"/>
          </w:tcPr>
          <w:p>
            <w:pPr>
              <w:ind w:left="60"/>
              <w:spacing w:after="0"/>
              <w:rPr>
                <w:sz w:val="20"/>
                <w:szCs w:val="20"/>
                <w:color w:val="auto"/>
              </w:rPr>
            </w:pPr>
            <w:r>
              <w:rPr>
                <w:rFonts w:ascii="Arial" w:cs="Arial" w:eastAsia="Arial" w:hAnsi="Arial"/>
                <w:sz w:val="14"/>
                <w:szCs w:val="14"/>
                <w:color w:val="auto"/>
              </w:rPr>
              <w:t>2</w:t>
            </w:r>
          </w:p>
        </w:tc>
        <w:tc>
          <w:tcPr>
            <w:tcW w:w="3280" w:type="dxa"/>
            <w:vAlign w:val="bottom"/>
            <w:tcBorders>
              <w:right w:val="single" w:sz="8" w:color="E2EDED"/>
            </w:tcBorders>
            <w:shd w:val="clear" w:color="auto" w:fill="FCFCF7"/>
          </w:tcPr>
          <w:p>
            <w:pPr>
              <w:ind w:left="60"/>
              <w:spacing w:after="0"/>
              <w:rPr>
                <w:sz w:val="20"/>
                <w:szCs w:val="20"/>
                <w:color w:val="auto"/>
              </w:rPr>
            </w:pPr>
            <w:r>
              <w:rPr>
                <w:rFonts w:ascii="Arial" w:cs="Arial" w:eastAsia="Arial" w:hAnsi="Arial"/>
                <w:sz w:val="14"/>
                <w:szCs w:val="14"/>
                <w:color w:val="auto"/>
              </w:rPr>
              <w:t>Ratification of Ernst &amp; Young LLP</w:t>
            </w:r>
          </w:p>
        </w:tc>
        <w:tc>
          <w:tcPr>
            <w:tcW w:w="3160" w:type="dxa"/>
            <w:vAlign w:val="bottom"/>
            <w:tcBorders>
              <w:right w:val="single" w:sz="8" w:color="E2EDED"/>
            </w:tcBorders>
            <w:shd w:val="clear" w:color="auto" w:fill="FCFCF7"/>
          </w:tcPr>
          <w:p>
            <w:pPr>
              <w:ind w:left="160"/>
              <w:spacing w:after="0"/>
              <w:rPr>
                <w:sz w:val="20"/>
                <w:szCs w:val="20"/>
                <w:color w:val="auto"/>
              </w:rPr>
            </w:pPr>
            <w:r>
              <w:rPr>
                <w:rFonts w:ascii="Arial" w:cs="Arial" w:eastAsia="Arial" w:hAnsi="Arial"/>
                <w:sz w:val="14"/>
                <w:szCs w:val="14"/>
                <w:color w:val="auto"/>
              </w:rPr>
              <w:t>Number of votes cast in favor exceeds number</w:t>
            </w:r>
          </w:p>
        </w:tc>
        <w:tc>
          <w:tcPr>
            <w:tcW w:w="2780" w:type="dxa"/>
            <w:vAlign w:val="bottom"/>
            <w:shd w:val="clear" w:color="auto" w:fill="FCFCF7"/>
          </w:tcPr>
          <w:p>
            <w:pPr>
              <w:jc w:val="center"/>
              <w:ind w:left="54"/>
              <w:spacing w:after="0"/>
              <w:rPr>
                <w:sz w:val="20"/>
                <w:szCs w:val="20"/>
                <w:color w:val="auto"/>
              </w:rPr>
            </w:pPr>
            <w:r>
              <w:rPr>
                <w:rFonts w:ascii="Arial" w:cs="Arial" w:eastAsia="Arial" w:hAnsi="Arial"/>
                <w:sz w:val="14"/>
                <w:szCs w:val="14"/>
                <w:color w:val="auto"/>
                <w:w w:val="90"/>
              </w:rPr>
              <w:t>Yes</w:t>
            </w:r>
          </w:p>
        </w:tc>
        <w:tc>
          <w:tcPr>
            <w:tcW w:w="0" w:type="dxa"/>
            <w:vAlign w:val="bottom"/>
          </w:tcPr>
          <w:p>
            <w:pPr>
              <w:spacing w:after="0"/>
              <w:rPr>
                <w:sz w:val="1"/>
                <w:szCs w:val="1"/>
                <w:color w:val="auto"/>
              </w:rPr>
            </w:pPr>
          </w:p>
        </w:tc>
      </w:tr>
      <w:tr>
        <w:trPr>
          <w:trHeight w:val="184"/>
        </w:trPr>
        <w:tc>
          <w:tcPr>
            <w:tcW w:w="1400" w:type="dxa"/>
            <w:vAlign w:val="bottom"/>
            <w:tcBorders>
              <w:bottom w:val="single" w:sz="8" w:color="FCFCF7"/>
              <w:right w:val="single" w:sz="8" w:color="E2EDED"/>
            </w:tcBorders>
            <w:shd w:val="clear" w:color="auto" w:fill="FCFCF7"/>
          </w:tcPr>
          <w:p>
            <w:pPr>
              <w:spacing w:after="0"/>
              <w:rPr>
                <w:sz w:val="15"/>
                <w:szCs w:val="15"/>
                <w:color w:val="auto"/>
              </w:rPr>
            </w:pPr>
          </w:p>
        </w:tc>
        <w:tc>
          <w:tcPr>
            <w:tcW w:w="3280" w:type="dxa"/>
            <w:vAlign w:val="bottom"/>
            <w:tcBorders>
              <w:bottom w:val="single" w:sz="8" w:color="FCFCF7"/>
              <w:right w:val="single" w:sz="8" w:color="E2EDED"/>
            </w:tcBorders>
            <w:shd w:val="clear" w:color="auto" w:fill="FCFCF7"/>
          </w:tcPr>
          <w:p>
            <w:pPr>
              <w:spacing w:after="0"/>
              <w:rPr>
                <w:sz w:val="15"/>
                <w:szCs w:val="15"/>
                <w:color w:val="auto"/>
              </w:rPr>
            </w:pPr>
          </w:p>
        </w:tc>
        <w:tc>
          <w:tcPr>
            <w:tcW w:w="3160" w:type="dxa"/>
            <w:vAlign w:val="bottom"/>
            <w:tcBorders>
              <w:bottom w:val="single" w:sz="8" w:color="FCFCF7"/>
              <w:right w:val="single" w:sz="8" w:color="E2EDED"/>
            </w:tcBorders>
            <w:shd w:val="clear" w:color="auto" w:fill="FCFCF7"/>
          </w:tcPr>
          <w:p>
            <w:pPr>
              <w:ind w:left="160"/>
              <w:spacing w:after="0"/>
              <w:rPr>
                <w:sz w:val="20"/>
                <w:szCs w:val="20"/>
                <w:color w:val="auto"/>
              </w:rPr>
            </w:pPr>
            <w:r>
              <w:rPr>
                <w:rFonts w:ascii="Arial" w:cs="Arial" w:eastAsia="Arial" w:hAnsi="Arial"/>
                <w:sz w:val="14"/>
                <w:szCs w:val="14"/>
                <w:color w:val="auto"/>
              </w:rPr>
              <w:t>of votes cast in opposition</w:t>
            </w:r>
          </w:p>
        </w:tc>
        <w:tc>
          <w:tcPr>
            <w:tcW w:w="2780" w:type="dxa"/>
            <w:vAlign w:val="bottom"/>
            <w:tcBorders>
              <w:bottom w:val="single" w:sz="8" w:color="FCFCF7"/>
            </w:tcBorders>
            <w:shd w:val="clear" w:color="auto" w:fill="FCFCF7"/>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400" w:type="dxa"/>
            <w:vAlign w:val="bottom"/>
            <w:tcBorders>
              <w:right w:val="single" w:sz="8" w:color="E2EDED"/>
            </w:tcBorders>
            <w:shd w:val="clear" w:color="auto" w:fill="DEDBD3"/>
          </w:tcPr>
          <w:p>
            <w:pPr>
              <w:ind w:left="60"/>
              <w:spacing w:after="0"/>
              <w:rPr>
                <w:sz w:val="20"/>
                <w:szCs w:val="20"/>
                <w:color w:val="auto"/>
              </w:rPr>
            </w:pPr>
            <w:r>
              <w:rPr>
                <w:rFonts w:ascii="Arial" w:cs="Arial" w:eastAsia="Arial" w:hAnsi="Arial"/>
                <w:sz w:val="14"/>
                <w:szCs w:val="14"/>
                <w:color w:val="auto"/>
              </w:rPr>
              <w:t>3</w:t>
            </w:r>
          </w:p>
        </w:tc>
        <w:tc>
          <w:tcPr>
            <w:tcW w:w="3280" w:type="dxa"/>
            <w:vAlign w:val="bottom"/>
            <w:tcBorders>
              <w:right w:val="single" w:sz="8" w:color="E2EDED"/>
            </w:tcBorders>
            <w:shd w:val="clear" w:color="auto" w:fill="DEDBD3"/>
          </w:tcPr>
          <w:p>
            <w:pPr>
              <w:ind w:left="60"/>
              <w:spacing w:after="0"/>
              <w:rPr>
                <w:sz w:val="20"/>
                <w:szCs w:val="20"/>
                <w:color w:val="auto"/>
              </w:rPr>
            </w:pPr>
            <w:r>
              <w:rPr>
                <w:rFonts w:ascii="Arial" w:cs="Arial" w:eastAsia="Arial" w:hAnsi="Arial"/>
                <w:sz w:val="14"/>
                <w:szCs w:val="14"/>
                <w:color w:val="auto"/>
              </w:rPr>
              <w:t>Advisory Vote to Approve the Compensation of</w:t>
            </w:r>
          </w:p>
        </w:tc>
        <w:tc>
          <w:tcPr>
            <w:tcW w:w="3160" w:type="dxa"/>
            <w:vAlign w:val="bottom"/>
            <w:tcBorders>
              <w:right w:val="single" w:sz="8" w:color="E2EDED"/>
            </w:tcBorders>
            <w:shd w:val="clear" w:color="auto" w:fill="DEDBD3"/>
          </w:tcPr>
          <w:p>
            <w:pPr>
              <w:ind w:left="160"/>
              <w:spacing w:after="0"/>
              <w:rPr>
                <w:sz w:val="20"/>
                <w:szCs w:val="20"/>
                <w:color w:val="auto"/>
              </w:rPr>
            </w:pPr>
            <w:r>
              <w:rPr>
                <w:rFonts w:ascii="Arial" w:cs="Arial" w:eastAsia="Arial" w:hAnsi="Arial"/>
                <w:sz w:val="14"/>
                <w:szCs w:val="14"/>
                <w:color w:val="auto"/>
              </w:rPr>
              <w:t>Number of votes cast in favor exceeds number</w:t>
            </w:r>
          </w:p>
        </w:tc>
        <w:tc>
          <w:tcPr>
            <w:tcW w:w="2780" w:type="dxa"/>
            <w:vAlign w:val="bottom"/>
            <w:shd w:val="clear" w:color="auto" w:fill="DEDBD3"/>
          </w:tcPr>
          <w:p>
            <w:pPr>
              <w:jc w:val="center"/>
              <w:ind w:left="54"/>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09"/>
        </w:trPr>
        <w:tc>
          <w:tcPr>
            <w:tcW w:w="1400" w:type="dxa"/>
            <w:vAlign w:val="bottom"/>
            <w:tcBorders>
              <w:bottom w:val="single" w:sz="8" w:color="DEDBD3"/>
              <w:right w:val="single" w:sz="8" w:color="E2EDED"/>
            </w:tcBorders>
            <w:shd w:val="clear" w:color="auto" w:fill="DEDBD3"/>
          </w:tcPr>
          <w:p>
            <w:pPr>
              <w:spacing w:after="0"/>
              <w:rPr>
                <w:sz w:val="17"/>
                <w:szCs w:val="17"/>
                <w:color w:val="auto"/>
              </w:rPr>
            </w:pPr>
          </w:p>
        </w:tc>
        <w:tc>
          <w:tcPr>
            <w:tcW w:w="3280" w:type="dxa"/>
            <w:vAlign w:val="bottom"/>
            <w:tcBorders>
              <w:bottom w:val="single" w:sz="8" w:color="DEDBD3"/>
              <w:right w:val="single" w:sz="8" w:color="E2EDED"/>
            </w:tcBorders>
            <w:shd w:val="clear" w:color="auto" w:fill="DEDBD3"/>
          </w:tcPr>
          <w:p>
            <w:pPr>
              <w:ind w:left="60"/>
              <w:spacing w:after="0"/>
              <w:rPr>
                <w:sz w:val="20"/>
                <w:szCs w:val="20"/>
                <w:color w:val="auto"/>
              </w:rPr>
            </w:pPr>
            <w:r>
              <w:rPr>
                <w:rFonts w:ascii="Arial" w:cs="Arial" w:eastAsia="Arial" w:hAnsi="Arial"/>
                <w:sz w:val="14"/>
                <w:szCs w:val="14"/>
                <w:color w:val="auto"/>
              </w:rPr>
              <w:t>Named Executive Officers</w:t>
            </w:r>
          </w:p>
        </w:tc>
        <w:tc>
          <w:tcPr>
            <w:tcW w:w="3160" w:type="dxa"/>
            <w:vAlign w:val="bottom"/>
            <w:tcBorders>
              <w:bottom w:val="single" w:sz="8" w:color="DEDBD3"/>
              <w:right w:val="single" w:sz="8" w:color="E2EDED"/>
            </w:tcBorders>
            <w:shd w:val="clear" w:color="auto" w:fill="DEDBD3"/>
          </w:tcPr>
          <w:p>
            <w:pPr>
              <w:ind w:left="160"/>
              <w:spacing w:after="0"/>
              <w:rPr>
                <w:sz w:val="20"/>
                <w:szCs w:val="20"/>
                <w:color w:val="auto"/>
              </w:rPr>
            </w:pPr>
            <w:r>
              <w:rPr>
                <w:rFonts w:ascii="Arial" w:cs="Arial" w:eastAsia="Arial" w:hAnsi="Arial"/>
                <w:sz w:val="14"/>
                <w:szCs w:val="14"/>
                <w:color w:val="auto"/>
              </w:rPr>
              <w:t>of votes cast in opposition</w:t>
            </w:r>
          </w:p>
        </w:tc>
        <w:tc>
          <w:tcPr>
            <w:tcW w:w="2780" w:type="dxa"/>
            <w:vAlign w:val="bottom"/>
            <w:tcBorders>
              <w:bottom w:val="single" w:sz="8" w:color="DEDBD3"/>
            </w:tcBorders>
            <w:shd w:val="clear" w:color="auto" w:fill="DEDBD3"/>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400" w:type="dxa"/>
            <w:vAlign w:val="bottom"/>
            <w:tcBorders>
              <w:top w:val="single" w:sz="8" w:color="E2EDED"/>
              <w:right w:val="single" w:sz="8" w:color="E2EDED"/>
            </w:tcBorders>
            <w:shd w:val="clear" w:color="auto" w:fill="FCFCF7"/>
          </w:tcPr>
          <w:p>
            <w:pPr>
              <w:ind w:left="60"/>
              <w:spacing w:after="0"/>
              <w:rPr>
                <w:sz w:val="20"/>
                <w:szCs w:val="20"/>
                <w:color w:val="auto"/>
              </w:rPr>
            </w:pPr>
            <w:r>
              <w:rPr>
                <w:rFonts w:ascii="Arial" w:cs="Arial" w:eastAsia="Arial" w:hAnsi="Arial"/>
                <w:sz w:val="14"/>
                <w:szCs w:val="14"/>
                <w:color w:val="auto"/>
              </w:rPr>
              <w:t>4</w:t>
            </w:r>
          </w:p>
        </w:tc>
        <w:tc>
          <w:tcPr>
            <w:tcW w:w="3280" w:type="dxa"/>
            <w:vAlign w:val="bottom"/>
            <w:tcBorders>
              <w:top w:val="single" w:sz="8" w:color="E2EDED"/>
              <w:right w:val="single" w:sz="8" w:color="E2EDED"/>
            </w:tcBorders>
            <w:shd w:val="clear" w:color="auto" w:fill="FCFCF7"/>
          </w:tcPr>
          <w:p>
            <w:pPr>
              <w:ind w:left="60"/>
              <w:spacing w:after="0"/>
              <w:rPr>
                <w:sz w:val="20"/>
                <w:szCs w:val="20"/>
                <w:color w:val="auto"/>
              </w:rPr>
            </w:pPr>
            <w:r>
              <w:rPr>
                <w:rFonts w:ascii="Arial" w:cs="Arial" w:eastAsia="Arial" w:hAnsi="Arial"/>
                <w:sz w:val="14"/>
                <w:szCs w:val="14"/>
                <w:color w:val="auto"/>
              </w:rPr>
              <w:t>Advisory Vote to Approve the Frequency of Future</w:t>
            </w:r>
          </w:p>
        </w:tc>
        <w:tc>
          <w:tcPr>
            <w:tcW w:w="3160" w:type="dxa"/>
            <w:vAlign w:val="bottom"/>
            <w:tcBorders>
              <w:top w:val="single" w:sz="8" w:color="E2EDED"/>
              <w:right w:val="single" w:sz="8" w:color="E2EDED"/>
            </w:tcBorders>
            <w:shd w:val="clear" w:color="auto" w:fill="FCFCF7"/>
          </w:tcPr>
          <w:p>
            <w:pPr>
              <w:ind w:left="160"/>
              <w:spacing w:after="0"/>
              <w:rPr>
                <w:sz w:val="20"/>
                <w:szCs w:val="20"/>
                <w:color w:val="auto"/>
              </w:rPr>
            </w:pPr>
            <w:r>
              <w:rPr>
                <w:rFonts w:ascii="Arial" w:cs="Arial" w:eastAsia="Arial" w:hAnsi="Arial"/>
                <w:sz w:val="14"/>
                <w:szCs w:val="14"/>
                <w:color w:val="auto"/>
              </w:rPr>
              <w:t>The option (one year, two years or three years)</w:t>
            </w:r>
          </w:p>
        </w:tc>
        <w:tc>
          <w:tcPr>
            <w:tcW w:w="2780" w:type="dxa"/>
            <w:vAlign w:val="bottom"/>
            <w:tcBorders>
              <w:top w:val="single" w:sz="8" w:color="E2EDED"/>
            </w:tcBorders>
            <w:shd w:val="clear" w:color="auto" w:fill="FCFCF7"/>
          </w:tcPr>
          <w:p>
            <w:pPr>
              <w:jc w:val="center"/>
              <w:ind w:left="54"/>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56"/>
        </w:trPr>
        <w:tc>
          <w:tcPr>
            <w:tcW w:w="1400" w:type="dxa"/>
            <w:vAlign w:val="bottom"/>
            <w:tcBorders>
              <w:right w:val="single" w:sz="8" w:color="E2EDED"/>
            </w:tcBorders>
            <w:shd w:val="clear" w:color="auto" w:fill="FCFCF7"/>
          </w:tcPr>
          <w:p>
            <w:pPr>
              <w:spacing w:after="0"/>
              <w:rPr>
                <w:sz w:val="13"/>
                <w:szCs w:val="13"/>
                <w:color w:val="auto"/>
              </w:rPr>
            </w:pPr>
          </w:p>
        </w:tc>
        <w:tc>
          <w:tcPr>
            <w:tcW w:w="3280" w:type="dxa"/>
            <w:vAlign w:val="bottom"/>
            <w:tcBorders>
              <w:right w:val="single" w:sz="8" w:color="E2EDED"/>
            </w:tcBorders>
            <w:shd w:val="clear" w:color="auto" w:fill="FCFCF7"/>
          </w:tcPr>
          <w:p>
            <w:pPr>
              <w:ind w:left="60"/>
              <w:spacing w:after="0" w:line="156" w:lineRule="exact"/>
              <w:rPr>
                <w:sz w:val="20"/>
                <w:szCs w:val="20"/>
                <w:color w:val="auto"/>
              </w:rPr>
            </w:pPr>
            <w:r>
              <w:rPr>
                <w:rFonts w:ascii="Arial" w:cs="Arial" w:eastAsia="Arial" w:hAnsi="Arial"/>
                <w:sz w:val="14"/>
                <w:szCs w:val="14"/>
                <w:color w:val="auto"/>
              </w:rPr>
              <w:t>Say-on-Pay Votes</w:t>
            </w:r>
          </w:p>
        </w:tc>
        <w:tc>
          <w:tcPr>
            <w:tcW w:w="3160" w:type="dxa"/>
            <w:vAlign w:val="bottom"/>
            <w:tcBorders>
              <w:right w:val="single" w:sz="8" w:color="E2EDED"/>
            </w:tcBorders>
            <w:shd w:val="clear" w:color="auto" w:fill="FCFCF7"/>
          </w:tcPr>
          <w:p>
            <w:pPr>
              <w:ind w:left="160"/>
              <w:spacing w:after="0" w:line="156" w:lineRule="exact"/>
              <w:rPr>
                <w:sz w:val="20"/>
                <w:szCs w:val="20"/>
                <w:color w:val="auto"/>
              </w:rPr>
            </w:pPr>
            <w:r>
              <w:rPr>
                <w:rFonts w:ascii="Arial" w:cs="Arial" w:eastAsia="Arial" w:hAnsi="Arial"/>
                <w:sz w:val="14"/>
                <w:szCs w:val="14"/>
                <w:color w:val="auto"/>
              </w:rPr>
              <w:t>receiving the highest number of votes cast will</w:t>
            </w:r>
          </w:p>
        </w:tc>
        <w:tc>
          <w:tcPr>
            <w:tcW w:w="2780" w:type="dxa"/>
            <w:vAlign w:val="bottom"/>
            <w:shd w:val="clear" w:color="auto" w:fill="FCFCF7"/>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0" w:type="dxa"/>
            <w:vAlign w:val="bottom"/>
            <w:tcBorders>
              <w:right w:val="single" w:sz="8" w:color="E2EDED"/>
            </w:tcBorders>
            <w:shd w:val="clear" w:color="auto" w:fill="FCFCF7"/>
          </w:tcPr>
          <w:p>
            <w:pPr>
              <w:spacing w:after="0"/>
              <w:rPr>
                <w:sz w:val="13"/>
                <w:szCs w:val="13"/>
                <w:color w:val="auto"/>
              </w:rPr>
            </w:pPr>
          </w:p>
        </w:tc>
        <w:tc>
          <w:tcPr>
            <w:tcW w:w="3280" w:type="dxa"/>
            <w:vAlign w:val="bottom"/>
            <w:tcBorders>
              <w:right w:val="single" w:sz="8" w:color="E2EDED"/>
            </w:tcBorders>
            <w:shd w:val="clear" w:color="auto" w:fill="FCFCF7"/>
          </w:tcPr>
          <w:p>
            <w:pPr>
              <w:spacing w:after="0"/>
              <w:rPr>
                <w:sz w:val="13"/>
                <w:szCs w:val="13"/>
                <w:color w:val="auto"/>
              </w:rPr>
            </w:pPr>
          </w:p>
        </w:tc>
        <w:tc>
          <w:tcPr>
            <w:tcW w:w="3160" w:type="dxa"/>
            <w:vAlign w:val="bottom"/>
            <w:tcBorders>
              <w:right w:val="single" w:sz="8" w:color="E2EDED"/>
            </w:tcBorders>
            <w:shd w:val="clear" w:color="auto" w:fill="FCFCF7"/>
          </w:tcPr>
          <w:p>
            <w:pPr>
              <w:ind w:left="160"/>
              <w:spacing w:after="0" w:line="156" w:lineRule="exact"/>
              <w:rPr>
                <w:sz w:val="20"/>
                <w:szCs w:val="20"/>
                <w:color w:val="auto"/>
              </w:rPr>
            </w:pPr>
            <w:r>
              <w:rPr>
                <w:rFonts w:ascii="Arial" w:cs="Arial" w:eastAsia="Arial" w:hAnsi="Arial"/>
                <w:sz w:val="14"/>
                <w:szCs w:val="14"/>
                <w:color w:val="auto"/>
              </w:rPr>
              <w:t>be the option determined to be shareholders’</w:t>
            </w:r>
          </w:p>
        </w:tc>
        <w:tc>
          <w:tcPr>
            <w:tcW w:w="2780" w:type="dxa"/>
            <w:vAlign w:val="bottom"/>
            <w:shd w:val="clear" w:color="auto" w:fill="FCFCF7"/>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400" w:type="dxa"/>
            <w:vAlign w:val="bottom"/>
            <w:tcBorders>
              <w:bottom w:val="single" w:sz="8" w:color="FCFCF7"/>
              <w:right w:val="single" w:sz="8" w:color="E2EDED"/>
            </w:tcBorders>
            <w:shd w:val="clear" w:color="auto" w:fill="FCFCF7"/>
          </w:tcPr>
          <w:p>
            <w:pPr>
              <w:spacing w:after="0"/>
              <w:rPr>
                <w:sz w:val="15"/>
                <w:szCs w:val="15"/>
                <w:color w:val="auto"/>
              </w:rPr>
            </w:pPr>
          </w:p>
        </w:tc>
        <w:tc>
          <w:tcPr>
            <w:tcW w:w="3280" w:type="dxa"/>
            <w:vAlign w:val="bottom"/>
            <w:tcBorders>
              <w:bottom w:val="single" w:sz="8" w:color="FCFCF7"/>
              <w:right w:val="single" w:sz="8" w:color="E2EDED"/>
            </w:tcBorders>
            <w:shd w:val="clear" w:color="auto" w:fill="FCFCF7"/>
          </w:tcPr>
          <w:p>
            <w:pPr>
              <w:spacing w:after="0"/>
              <w:rPr>
                <w:sz w:val="15"/>
                <w:szCs w:val="15"/>
                <w:color w:val="auto"/>
              </w:rPr>
            </w:pPr>
          </w:p>
        </w:tc>
        <w:tc>
          <w:tcPr>
            <w:tcW w:w="3160" w:type="dxa"/>
            <w:vAlign w:val="bottom"/>
            <w:tcBorders>
              <w:bottom w:val="single" w:sz="8" w:color="FCFCF7"/>
              <w:right w:val="single" w:sz="8" w:color="E2EDED"/>
            </w:tcBorders>
            <w:shd w:val="clear" w:color="auto" w:fill="FCFCF7"/>
          </w:tcPr>
          <w:p>
            <w:pPr>
              <w:ind w:left="160"/>
              <w:spacing w:after="0"/>
              <w:rPr>
                <w:sz w:val="20"/>
                <w:szCs w:val="20"/>
                <w:color w:val="auto"/>
              </w:rPr>
            </w:pPr>
            <w:r>
              <w:rPr>
                <w:rFonts w:ascii="Arial" w:cs="Arial" w:eastAsia="Arial" w:hAnsi="Arial"/>
                <w:sz w:val="14"/>
                <w:szCs w:val="14"/>
                <w:color w:val="auto"/>
              </w:rPr>
              <w:t>preferred frequency</w:t>
            </w:r>
          </w:p>
        </w:tc>
        <w:tc>
          <w:tcPr>
            <w:tcW w:w="2780" w:type="dxa"/>
            <w:vAlign w:val="bottom"/>
            <w:tcBorders>
              <w:bottom w:val="single" w:sz="8" w:color="FCFCF7"/>
            </w:tcBorders>
            <w:shd w:val="clear" w:color="auto" w:fill="FCFCF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Borders>
              <w:right w:val="single" w:sz="8" w:color="E2EDED"/>
            </w:tcBorders>
            <w:shd w:val="clear" w:color="auto" w:fill="E2EDED"/>
          </w:tcPr>
          <w:p>
            <w:pPr>
              <w:spacing w:after="0" w:line="20" w:lineRule="exact"/>
              <w:rPr>
                <w:sz w:val="1"/>
                <w:szCs w:val="1"/>
                <w:color w:val="auto"/>
              </w:rPr>
            </w:pPr>
          </w:p>
        </w:tc>
        <w:tc>
          <w:tcPr>
            <w:tcW w:w="3280" w:type="dxa"/>
            <w:vAlign w:val="bottom"/>
            <w:tcBorders>
              <w:right w:val="single" w:sz="8" w:color="E2EDED"/>
            </w:tcBorders>
            <w:shd w:val="clear" w:color="auto" w:fill="E2EDED"/>
          </w:tcPr>
          <w:p>
            <w:pPr>
              <w:spacing w:after="0" w:line="20" w:lineRule="exact"/>
              <w:rPr>
                <w:sz w:val="1"/>
                <w:szCs w:val="1"/>
                <w:color w:val="auto"/>
              </w:rPr>
            </w:pPr>
          </w:p>
        </w:tc>
        <w:tc>
          <w:tcPr>
            <w:tcW w:w="3160" w:type="dxa"/>
            <w:vAlign w:val="bottom"/>
            <w:tcBorders>
              <w:right w:val="single" w:sz="8" w:color="E2EDED"/>
            </w:tcBorders>
            <w:shd w:val="clear" w:color="auto" w:fill="E2EDED"/>
          </w:tcPr>
          <w:p>
            <w:pPr>
              <w:spacing w:after="0" w:line="20" w:lineRule="exact"/>
              <w:rPr>
                <w:sz w:val="1"/>
                <w:szCs w:val="1"/>
                <w:color w:val="auto"/>
              </w:rPr>
            </w:pPr>
          </w:p>
        </w:tc>
        <w:tc>
          <w:tcPr>
            <w:tcW w:w="2780" w:type="dxa"/>
            <w:vAlign w:val="bottom"/>
            <w:shd w:val="clear" w:color="auto" w:fill="E2EDE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1655E"/>
        </w:rPr>
        <w:t>HOW YOU CAN VOTE</w:t>
      </w:r>
    </w:p>
    <w:p>
      <w:pPr>
        <w:spacing w:after="0" w:line="6" w:lineRule="exact"/>
        <w:rPr>
          <w:sz w:val="20"/>
          <w:szCs w:val="20"/>
          <w:color w:val="auto"/>
        </w:rPr>
      </w:pPr>
    </w:p>
    <w:p>
      <w:pPr>
        <w:ind w:left="320"/>
        <w:spacing w:after="0"/>
        <w:rPr>
          <w:sz w:val="20"/>
          <w:szCs w:val="20"/>
          <w:color w:val="auto"/>
        </w:rPr>
      </w:pPr>
      <w:r>
        <w:rPr>
          <w:rFonts w:ascii="Arial" w:cs="Arial" w:eastAsia="Arial" w:hAnsi="Arial"/>
          <w:sz w:val="17"/>
          <w:szCs w:val="17"/>
          <w:color w:val="71655E"/>
        </w:rPr>
        <w:t xml:space="preserve">SHAREHOLDERS OF RECORD. </w:t>
      </w:r>
      <w:r>
        <w:rPr>
          <w:rFonts w:ascii="Arial" w:cs="Arial" w:eastAsia="Arial" w:hAnsi="Arial"/>
          <w:sz w:val="17"/>
          <w:szCs w:val="17"/>
          <w:color w:val="000000"/>
        </w:rPr>
        <w:t>For shareholders of record, there are four different ways you can vote:</w:t>
      </w:r>
    </w:p>
    <w:p>
      <w:pPr>
        <w:spacing w:after="0" w:line="39" w:lineRule="exact"/>
        <w:rPr>
          <w:sz w:val="20"/>
          <w:szCs w:val="20"/>
          <w:color w:val="auto"/>
        </w:rPr>
      </w:pPr>
    </w:p>
    <w:p>
      <w:pPr>
        <w:ind w:left="1140" w:hanging="407"/>
        <w:spacing w:after="0"/>
        <w:tabs>
          <w:tab w:leader="none" w:pos="1140" w:val="left"/>
        </w:tabs>
        <w:numPr>
          <w:ilvl w:val="0"/>
          <w:numId w:val="52"/>
        </w:numPr>
        <w:rPr>
          <w:rFonts w:ascii="Arial" w:cs="Arial" w:eastAsia="Arial" w:hAnsi="Arial"/>
          <w:sz w:val="17"/>
          <w:szCs w:val="17"/>
          <w:color w:val="auto"/>
        </w:rPr>
      </w:pPr>
      <w:r>
        <w:rPr>
          <w:rFonts w:ascii="Arial" w:cs="Arial" w:eastAsia="Arial" w:hAnsi="Arial"/>
          <w:sz w:val="17"/>
          <w:szCs w:val="17"/>
          <w:color w:val="71655E"/>
        </w:rPr>
        <w:t xml:space="preserve">By Internet. </w:t>
      </w:r>
      <w:r>
        <w:rPr>
          <w:rFonts w:ascii="Arial" w:cs="Arial" w:eastAsia="Arial" w:hAnsi="Arial"/>
          <w:sz w:val="17"/>
          <w:szCs w:val="17"/>
          <w:color w:val="000000"/>
        </w:rPr>
        <w:t>To vote via the Internet, use the website on the enclosed proxy card.</w:t>
      </w:r>
    </w:p>
    <w:p>
      <w:pPr>
        <w:spacing w:after="0" w:line="38" w:lineRule="exact"/>
        <w:rPr>
          <w:rFonts w:ascii="Arial" w:cs="Arial" w:eastAsia="Arial" w:hAnsi="Arial"/>
          <w:sz w:val="17"/>
          <w:szCs w:val="17"/>
          <w:color w:val="auto"/>
        </w:rPr>
      </w:pPr>
    </w:p>
    <w:p>
      <w:pPr>
        <w:ind w:left="1140" w:hanging="407"/>
        <w:spacing w:after="0"/>
        <w:tabs>
          <w:tab w:leader="none" w:pos="1140" w:val="left"/>
        </w:tabs>
        <w:numPr>
          <w:ilvl w:val="0"/>
          <w:numId w:val="52"/>
        </w:numPr>
        <w:rPr>
          <w:rFonts w:ascii="Arial" w:cs="Arial" w:eastAsia="Arial" w:hAnsi="Arial"/>
          <w:sz w:val="17"/>
          <w:szCs w:val="17"/>
          <w:color w:val="auto"/>
        </w:rPr>
      </w:pPr>
      <w:r>
        <w:rPr>
          <w:rFonts w:ascii="Arial" w:cs="Arial" w:eastAsia="Arial" w:hAnsi="Arial"/>
          <w:sz w:val="17"/>
          <w:szCs w:val="17"/>
          <w:color w:val="71655E"/>
        </w:rPr>
        <w:t xml:space="preserve">By Telephone. </w:t>
      </w:r>
      <w:r>
        <w:rPr>
          <w:rFonts w:ascii="Arial" w:cs="Arial" w:eastAsia="Arial" w:hAnsi="Arial"/>
          <w:sz w:val="17"/>
          <w:szCs w:val="17"/>
          <w:color w:val="000000"/>
        </w:rPr>
        <w:t>To vote by telephone, call the toll-free number on the enclosed proxy card.</w:t>
      </w:r>
    </w:p>
    <w:p>
      <w:pPr>
        <w:spacing w:after="0" w:line="38" w:lineRule="exact"/>
        <w:rPr>
          <w:rFonts w:ascii="Arial" w:cs="Arial" w:eastAsia="Arial" w:hAnsi="Arial"/>
          <w:sz w:val="17"/>
          <w:szCs w:val="17"/>
          <w:color w:val="auto"/>
        </w:rPr>
      </w:pPr>
    </w:p>
    <w:p>
      <w:pPr>
        <w:ind w:left="1140" w:hanging="407"/>
        <w:spacing w:after="0"/>
        <w:tabs>
          <w:tab w:leader="none" w:pos="1140" w:val="left"/>
        </w:tabs>
        <w:numPr>
          <w:ilvl w:val="0"/>
          <w:numId w:val="52"/>
        </w:numPr>
        <w:rPr>
          <w:rFonts w:ascii="Arial" w:cs="Arial" w:eastAsia="Arial" w:hAnsi="Arial"/>
          <w:sz w:val="17"/>
          <w:szCs w:val="17"/>
          <w:color w:val="auto"/>
        </w:rPr>
      </w:pPr>
      <w:r>
        <w:rPr>
          <w:rFonts w:ascii="Arial" w:cs="Arial" w:eastAsia="Arial" w:hAnsi="Arial"/>
          <w:sz w:val="17"/>
          <w:szCs w:val="17"/>
          <w:color w:val="71655E"/>
        </w:rPr>
        <w:t xml:space="preserve">By Mail. </w:t>
      </w:r>
      <w:r>
        <w:rPr>
          <w:rFonts w:ascii="Arial" w:cs="Arial" w:eastAsia="Arial" w:hAnsi="Arial"/>
          <w:sz w:val="17"/>
          <w:szCs w:val="17"/>
          <w:color w:val="000000"/>
        </w:rPr>
        <w:t>To vote by mail, follow the instructions on the enclosed proxy card.</w:t>
      </w:r>
    </w:p>
    <w:p>
      <w:pPr>
        <w:spacing w:after="0" w:line="38" w:lineRule="exact"/>
        <w:rPr>
          <w:rFonts w:ascii="Arial" w:cs="Arial" w:eastAsia="Arial" w:hAnsi="Arial"/>
          <w:sz w:val="17"/>
          <w:szCs w:val="17"/>
          <w:color w:val="auto"/>
        </w:rPr>
      </w:pPr>
    </w:p>
    <w:p>
      <w:pPr>
        <w:ind w:left="1140" w:right="140" w:hanging="407"/>
        <w:spacing w:after="0" w:line="245" w:lineRule="auto"/>
        <w:tabs>
          <w:tab w:leader="none" w:pos="1140" w:val="left"/>
        </w:tabs>
        <w:numPr>
          <w:ilvl w:val="0"/>
          <w:numId w:val="52"/>
        </w:numPr>
        <w:rPr>
          <w:rFonts w:ascii="Arial" w:cs="Arial" w:eastAsia="Arial" w:hAnsi="Arial"/>
          <w:sz w:val="17"/>
          <w:szCs w:val="17"/>
          <w:color w:val="auto"/>
        </w:rPr>
      </w:pPr>
      <w:r>
        <w:rPr>
          <w:rFonts w:ascii="Arial" w:cs="Arial" w:eastAsia="Arial" w:hAnsi="Arial"/>
          <w:sz w:val="17"/>
          <w:szCs w:val="17"/>
          <w:color w:val="71655E"/>
        </w:rPr>
        <w:t xml:space="preserve">By Participating in the Virtual Annual Meeting. </w:t>
      </w:r>
      <w:r>
        <w:rPr>
          <w:rFonts w:ascii="Arial" w:cs="Arial" w:eastAsia="Arial" w:hAnsi="Arial"/>
          <w:sz w:val="17"/>
          <w:szCs w:val="17"/>
          <w:color w:val="000000"/>
        </w:rPr>
        <w:t>To vote electronically during the virtual Annual Meeting, visit</w:t>
      </w:r>
      <w:r>
        <w:rPr>
          <w:rFonts w:ascii="Arial" w:cs="Arial" w:eastAsia="Arial" w:hAnsi="Arial"/>
          <w:sz w:val="17"/>
          <w:szCs w:val="17"/>
          <w:color w:val="71655E"/>
        </w:rPr>
        <w:t xml:space="preserve"> </w:t>
      </w:r>
      <w:r>
        <w:rPr>
          <w:rFonts w:ascii="Arial" w:cs="Arial" w:eastAsia="Arial" w:hAnsi="Arial"/>
          <w:sz w:val="17"/>
          <w:szCs w:val="17"/>
          <w:color w:val="000000"/>
        </w:rPr>
        <w:t>http://www.virtualshareholdermeeting.com/WYNN2023, log in using the 16-digit control number printed in the box marked by the arrow on your Notice of Internet Availability or proxy card, click on the vote button on the screen and follow the instructions provided.</w:t>
      </w:r>
    </w:p>
    <w:p>
      <w:pPr>
        <w:spacing w:after="0" w:line="151" w:lineRule="exact"/>
        <w:rPr>
          <w:sz w:val="20"/>
          <w:szCs w:val="20"/>
          <w:color w:val="auto"/>
        </w:rPr>
      </w:pPr>
    </w:p>
    <w:p>
      <w:pPr>
        <w:ind w:left="320" w:right="220"/>
        <w:spacing w:after="0" w:line="245" w:lineRule="auto"/>
        <w:rPr>
          <w:sz w:val="20"/>
          <w:szCs w:val="20"/>
          <w:color w:val="auto"/>
        </w:rPr>
      </w:pPr>
      <w:r>
        <w:rPr>
          <w:rFonts w:ascii="Arial" w:cs="Arial" w:eastAsia="Arial" w:hAnsi="Arial"/>
          <w:sz w:val="17"/>
          <w:szCs w:val="17"/>
          <w:color w:val="auto"/>
        </w:rPr>
        <w:t>The Internet and telephone voting procedures are designed to authenticate your identity, to allow you to vote your shares and to confirm that your voting instructions have been properly recorded. Specific instructions are set forth on the enclosed proxy card. In order to be timely processed, an Internet or telephone vote must be received by 11:59 P.M. EASTERN TIME ON MAY 3, 2023. Regardless of the method you choose, your vote is important. Please vote by following the specific instructions on your proxy card.</w:t>
      </w:r>
    </w:p>
    <w:p>
      <w:pPr>
        <w:spacing w:after="0" w:line="151" w:lineRule="exact"/>
        <w:rPr>
          <w:sz w:val="20"/>
          <w:szCs w:val="20"/>
          <w:color w:val="auto"/>
        </w:rPr>
      </w:pPr>
    </w:p>
    <w:p>
      <w:pPr>
        <w:ind w:left="320" w:right="80"/>
        <w:spacing w:after="0" w:line="245" w:lineRule="auto"/>
        <w:rPr>
          <w:sz w:val="20"/>
          <w:szCs w:val="20"/>
          <w:color w:val="auto"/>
        </w:rPr>
      </w:pPr>
      <w:r>
        <w:rPr>
          <w:rFonts w:ascii="Arial" w:cs="Arial" w:eastAsia="Arial" w:hAnsi="Arial"/>
          <w:sz w:val="17"/>
          <w:szCs w:val="17"/>
          <w:color w:val="71655E"/>
        </w:rPr>
        <w:t xml:space="preserve">BENEFICIAL SHAREHOLDERS. </w:t>
      </w:r>
      <w:r>
        <w:rPr>
          <w:rFonts w:ascii="Arial" w:cs="Arial" w:eastAsia="Arial" w:hAnsi="Arial"/>
          <w:sz w:val="17"/>
          <w:szCs w:val="17"/>
          <w:color w:val="000000"/>
        </w:rPr>
        <w:t>For shareholders who own shares of the Company’s Common Stock through an intermediary, such as a</w:t>
      </w:r>
      <w:r>
        <w:rPr>
          <w:rFonts w:ascii="Arial" w:cs="Arial" w:eastAsia="Arial" w:hAnsi="Arial"/>
          <w:sz w:val="17"/>
          <w:szCs w:val="17"/>
          <w:color w:val="71655E"/>
        </w:rPr>
        <w:t xml:space="preserve"> </w:t>
      </w:r>
      <w:r>
        <w:rPr>
          <w:rFonts w:ascii="Arial" w:cs="Arial" w:eastAsia="Arial" w:hAnsi="Arial"/>
          <w:sz w:val="17"/>
          <w:szCs w:val="17"/>
          <w:color w:val="000000"/>
        </w:rPr>
        <w:t>broker, bank or other nominee, the ultimate intermediary is the shareholder of record but will vote your shares in accordance with your instructions. In order to have your shares voted, you will need to follow the instructions for voting provided by your broker, bank or other nominee.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1655E"/>
        </w:rPr>
        <w:t>REVOCABILITY OF PROXIES</w:t>
      </w:r>
    </w:p>
    <w:p>
      <w:pPr>
        <w:spacing w:after="0" w:line="6" w:lineRule="exact"/>
        <w:rPr>
          <w:sz w:val="20"/>
          <w:szCs w:val="20"/>
          <w:color w:val="auto"/>
        </w:rPr>
      </w:pPr>
    </w:p>
    <w:p>
      <w:pPr>
        <w:ind w:left="320" w:right="180"/>
        <w:spacing w:after="0" w:line="243" w:lineRule="auto"/>
        <w:rPr>
          <w:sz w:val="20"/>
          <w:szCs w:val="20"/>
          <w:color w:val="auto"/>
        </w:rPr>
      </w:pPr>
      <w:r>
        <w:rPr>
          <w:rFonts w:ascii="Arial" w:cs="Arial" w:eastAsia="Arial" w:hAnsi="Arial"/>
          <w:sz w:val="17"/>
          <w:szCs w:val="17"/>
          <w:color w:val="71655E"/>
        </w:rPr>
        <w:t xml:space="preserve">SHAREHOLDERS OF RECORD. </w:t>
      </w:r>
      <w:r>
        <w:rPr>
          <w:rFonts w:ascii="Arial" w:cs="Arial" w:eastAsia="Arial" w:hAnsi="Arial"/>
          <w:sz w:val="17"/>
          <w:szCs w:val="17"/>
          <w:color w:val="000000"/>
        </w:rPr>
        <w:t>If you are a shareholder of record and you deliver a proxy pursuant to this solicitation, you may revoke</w:t>
      </w:r>
      <w:r>
        <w:rPr>
          <w:rFonts w:ascii="Arial" w:cs="Arial" w:eastAsia="Arial" w:hAnsi="Arial"/>
          <w:sz w:val="17"/>
          <w:szCs w:val="17"/>
          <w:color w:val="71655E"/>
        </w:rPr>
        <w:t xml:space="preserve"> </w:t>
      </w:r>
      <w:r>
        <w:rPr>
          <w:rFonts w:ascii="Arial" w:cs="Arial" w:eastAsia="Arial" w:hAnsi="Arial"/>
          <w:sz w:val="17"/>
          <w:szCs w:val="17"/>
          <w:color w:val="000000"/>
        </w:rPr>
        <w:t>that proxy at any time before it is voted by (a) giving written notice to our Secretary at the address set forth below, (b) delivering to our Secretary a later dated proxy, (c) submitting another proxy by telephone or over the Internet (your latest telephone or Internet voting instructions are followed), or (d) voting electronically during the Annual Meeting. Written notice of revocation or subsequent proxy should be sent to:</w:t>
      </w:r>
    </w:p>
    <w:p>
      <w:pPr>
        <w:spacing w:after="0" w:line="19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Wynn Resorts, Limited</w:t>
      </w:r>
    </w:p>
    <w:p>
      <w:pPr>
        <w:ind w:left="740"/>
        <w:spacing w:after="0"/>
        <w:rPr>
          <w:sz w:val="20"/>
          <w:szCs w:val="20"/>
          <w:color w:val="auto"/>
        </w:rPr>
      </w:pPr>
      <w:r>
        <w:rPr>
          <w:rFonts w:ascii="Arial" w:cs="Arial" w:eastAsia="Arial" w:hAnsi="Arial"/>
          <w:sz w:val="17"/>
          <w:szCs w:val="17"/>
          <w:color w:val="auto"/>
        </w:rPr>
        <w:t>c/o Secretary</w:t>
      </w:r>
    </w:p>
    <w:p>
      <w:pPr>
        <w:ind w:left="740"/>
        <w:spacing w:after="0"/>
        <w:rPr>
          <w:sz w:val="20"/>
          <w:szCs w:val="20"/>
          <w:color w:val="auto"/>
        </w:rPr>
      </w:pPr>
      <w:r>
        <w:rPr>
          <w:rFonts w:ascii="Arial" w:cs="Arial" w:eastAsia="Arial" w:hAnsi="Arial"/>
          <w:sz w:val="17"/>
          <w:szCs w:val="17"/>
          <w:color w:val="auto"/>
        </w:rPr>
        <w:t>3131 Las Vegas Boulevard South</w:t>
      </w:r>
    </w:p>
    <w:p>
      <w:pPr>
        <w:ind w:left="740"/>
        <w:spacing w:after="0"/>
        <w:rPr>
          <w:sz w:val="20"/>
          <w:szCs w:val="20"/>
          <w:color w:val="auto"/>
        </w:rPr>
      </w:pPr>
      <w:r>
        <w:rPr>
          <w:rFonts w:ascii="Arial" w:cs="Arial" w:eastAsia="Arial" w:hAnsi="Arial"/>
          <w:sz w:val="17"/>
          <w:szCs w:val="17"/>
          <w:color w:val="auto"/>
        </w:rPr>
        <w:t>Las Vegas, Nevada 89109</w:t>
      </w:r>
    </w:p>
    <w:p>
      <w:pPr>
        <w:spacing w:after="0" w:line="182" w:lineRule="exact"/>
        <w:rPr>
          <w:sz w:val="20"/>
          <w:szCs w:val="20"/>
          <w:color w:val="auto"/>
        </w:rPr>
      </w:pPr>
    </w:p>
    <w:p>
      <w:pPr>
        <w:jc w:val="both"/>
        <w:ind w:left="320" w:right="380"/>
        <w:spacing w:after="0" w:line="245" w:lineRule="auto"/>
        <w:rPr>
          <w:sz w:val="20"/>
          <w:szCs w:val="20"/>
          <w:color w:val="auto"/>
        </w:rPr>
      </w:pPr>
      <w:r>
        <w:rPr>
          <w:rFonts w:ascii="Arial" w:cs="Arial" w:eastAsia="Arial" w:hAnsi="Arial"/>
          <w:sz w:val="17"/>
          <w:szCs w:val="17"/>
          <w:color w:val="71655E"/>
        </w:rPr>
        <w:t xml:space="preserve">BENEFICIAL SHAREHOLDERS. </w:t>
      </w:r>
      <w:r>
        <w:rPr>
          <w:rFonts w:ascii="Arial" w:cs="Arial" w:eastAsia="Arial" w:hAnsi="Arial"/>
          <w:sz w:val="17"/>
          <w:szCs w:val="17"/>
          <w:color w:val="000000"/>
        </w:rPr>
        <w:t>If your shares are held through an intermediary, such as a bank, broker or other nominee, you must</w:t>
      </w:r>
      <w:r>
        <w:rPr>
          <w:rFonts w:ascii="Arial" w:cs="Arial" w:eastAsia="Arial" w:hAnsi="Arial"/>
          <w:sz w:val="17"/>
          <w:szCs w:val="17"/>
          <w:color w:val="71655E"/>
        </w:rPr>
        <w:t xml:space="preserve"> </w:t>
      </w:r>
      <w:r>
        <w:rPr>
          <w:rFonts w:ascii="Arial" w:cs="Arial" w:eastAsia="Arial" w:hAnsi="Arial"/>
          <w:sz w:val="17"/>
          <w:szCs w:val="17"/>
          <w:color w:val="000000"/>
        </w:rPr>
        <w:t>contact that person if you wish to revoke previously given voting instructions. In this case, attendance at the Annual Meeting, in and of itself, does not revoke a prior proxy.</w:t>
      </w:r>
    </w:p>
    <w:p>
      <w:pPr>
        <w:spacing w:after="0" w:line="1"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64 //</w:t>
      </w:r>
    </w:p>
    <w:p>
      <w:pPr>
        <w:sectPr>
          <w:pgSz w:w="11900" w:h="16838" w:orient="portrait"/>
          <w:cols w:equalWidth="0" w:num="1">
            <w:col w:w="10940"/>
          </w:cols>
          <w:pgMar w:left="320" w:top="473" w:right="6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1655E"/>
        </w:rPr>
        <w:t>PARTICIPATING IN THE ANNUAL MEETING</w:t>
      </w:r>
    </w:p>
    <w:p>
      <w:pPr>
        <w:spacing w:after="0" w:line="6" w:lineRule="exact"/>
        <w:rPr>
          <w:sz w:val="20"/>
          <w:szCs w:val="20"/>
          <w:color w:val="auto"/>
        </w:rPr>
      </w:pPr>
    </w:p>
    <w:p>
      <w:pPr>
        <w:ind w:left="320" w:right="220"/>
        <w:spacing w:after="0" w:line="256" w:lineRule="auto"/>
        <w:rPr>
          <w:sz w:val="20"/>
          <w:szCs w:val="20"/>
          <w:color w:val="auto"/>
        </w:rPr>
      </w:pPr>
      <w:r>
        <w:rPr>
          <w:rFonts w:ascii="Arial" w:cs="Arial" w:eastAsia="Arial" w:hAnsi="Arial"/>
          <w:sz w:val="17"/>
          <w:szCs w:val="17"/>
          <w:color w:val="71655E"/>
        </w:rPr>
        <w:t xml:space="preserve">CONTROL NUMBER. </w:t>
      </w:r>
      <w:r>
        <w:rPr>
          <w:rFonts w:ascii="Arial" w:cs="Arial" w:eastAsia="Arial" w:hAnsi="Arial"/>
          <w:sz w:val="17"/>
          <w:szCs w:val="17"/>
          <w:color w:val="000000"/>
        </w:rPr>
        <w:t>You will need the 16-digit control number that is printed in the box marked by the arrow on your Notice of Internet</w:t>
      </w:r>
      <w:r>
        <w:rPr>
          <w:rFonts w:ascii="Arial" w:cs="Arial" w:eastAsia="Arial" w:hAnsi="Arial"/>
          <w:sz w:val="17"/>
          <w:szCs w:val="17"/>
          <w:color w:val="71655E"/>
        </w:rPr>
        <w:t xml:space="preserve"> </w:t>
      </w:r>
      <w:r>
        <w:rPr>
          <w:rFonts w:ascii="Arial" w:cs="Arial" w:eastAsia="Arial" w:hAnsi="Arial"/>
          <w:sz w:val="17"/>
          <w:szCs w:val="17"/>
          <w:color w:val="000000"/>
        </w:rPr>
        <w:t>Availability, proxy card or voter instruction form to attend the virtual Annual Meeting and vote.</w:t>
      </w:r>
    </w:p>
    <w:p>
      <w:pPr>
        <w:spacing w:after="0" w:line="155" w:lineRule="exact"/>
        <w:rPr>
          <w:sz w:val="20"/>
          <w:szCs w:val="20"/>
          <w:color w:val="auto"/>
        </w:rPr>
      </w:pPr>
    </w:p>
    <w:p>
      <w:pPr>
        <w:ind w:left="320"/>
        <w:spacing w:after="0" w:line="242" w:lineRule="auto"/>
        <w:rPr>
          <w:sz w:val="20"/>
          <w:szCs w:val="20"/>
          <w:color w:val="auto"/>
        </w:rPr>
      </w:pPr>
      <w:r>
        <w:rPr>
          <w:rFonts w:ascii="Arial" w:cs="Arial" w:eastAsia="Arial" w:hAnsi="Arial"/>
          <w:sz w:val="17"/>
          <w:szCs w:val="17"/>
          <w:color w:val="71655E"/>
        </w:rPr>
        <w:t xml:space="preserve">NOTICE OF INTERNET AVAILABILITY OF PROXY MATERIALS. </w:t>
      </w:r>
      <w:r>
        <w:rPr>
          <w:rFonts w:ascii="Arial" w:cs="Arial" w:eastAsia="Arial" w:hAnsi="Arial"/>
          <w:sz w:val="17"/>
          <w:szCs w:val="17"/>
          <w:color w:val="000000"/>
        </w:rPr>
        <w:t>Under rules adopted by the U.S. Securities and Exchange Commission</w:t>
      </w:r>
      <w:r>
        <w:rPr>
          <w:rFonts w:ascii="Arial" w:cs="Arial" w:eastAsia="Arial" w:hAnsi="Arial"/>
          <w:sz w:val="17"/>
          <w:szCs w:val="17"/>
          <w:color w:val="71655E"/>
        </w:rPr>
        <w:t xml:space="preserve"> </w:t>
      </w:r>
      <w:r>
        <w:rPr>
          <w:rFonts w:ascii="Arial" w:cs="Arial" w:eastAsia="Arial" w:hAnsi="Arial"/>
          <w:sz w:val="17"/>
          <w:szCs w:val="17"/>
          <w:color w:val="000000"/>
        </w:rPr>
        <w:t>(the “SEC”), we are furnishing proxy materials to some shareholders via the Internet, instead of mailing printed copies of those materials to each shareholder. Beginning on or about March 22, 2023, we sent to shareholders either a printed copy of our Annual Meeting materials or a Notice of Internet Availability containing instructions on how to access our Annual Meeting materials electronically. The Annual Meeting materials include this Proxy Statement and our Annual Report for the fiscal year ending December 31, 2022. The Notice of Internet Availability also explains how to vote through the Internet, by telephone or electronically at the Annual Meeting.</w:t>
      </w:r>
    </w:p>
    <w:p>
      <w:pPr>
        <w:spacing w:after="0" w:line="157" w:lineRule="exact"/>
        <w:rPr>
          <w:sz w:val="20"/>
          <w:szCs w:val="20"/>
          <w:color w:val="auto"/>
        </w:rPr>
      </w:pPr>
    </w:p>
    <w:p>
      <w:pPr>
        <w:ind w:left="320" w:right="20"/>
        <w:spacing w:after="0" w:line="243" w:lineRule="auto"/>
        <w:rPr>
          <w:sz w:val="20"/>
          <w:szCs w:val="20"/>
          <w:color w:val="auto"/>
        </w:rPr>
      </w:pPr>
      <w:r>
        <w:rPr>
          <w:rFonts w:ascii="Arial" w:cs="Arial" w:eastAsia="Arial" w:hAnsi="Arial"/>
          <w:sz w:val="17"/>
          <w:szCs w:val="17"/>
          <w:color w:val="auto"/>
        </w:rPr>
        <w:t>This electronic access process expedites shareholders’ receipt of our Annual Meeting materials, lowers the cost of our Annual Meeting and conserves natural resources. However, if you would prefer to receive a printed copy of our Annual Meeting materials, a proxy card or voting instruction form, please follow the instructions included in the Notice of Internet Availability. If you have previously elected to receive our Annual Meeting materials electronically or by mail, you will continue to receive the Annual Meeting materials in that format unless you elect otherwise.</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1655E"/>
        </w:rPr>
        <w:t>PROXY PROCEDURE AND EXPENSES OF SOLICITATION</w:t>
      </w:r>
    </w:p>
    <w:p>
      <w:pPr>
        <w:spacing w:after="0" w:line="6" w:lineRule="exact"/>
        <w:rPr>
          <w:sz w:val="20"/>
          <w:szCs w:val="20"/>
          <w:color w:val="auto"/>
        </w:rPr>
      </w:pPr>
    </w:p>
    <w:p>
      <w:pPr>
        <w:ind w:left="320" w:right="60"/>
        <w:spacing w:after="0" w:line="242" w:lineRule="auto"/>
        <w:rPr>
          <w:sz w:val="20"/>
          <w:szCs w:val="20"/>
          <w:color w:val="auto"/>
        </w:rPr>
      </w:pPr>
      <w:r>
        <w:rPr>
          <w:rFonts w:ascii="Arial" w:cs="Arial" w:eastAsia="Arial" w:hAnsi="Arial"/>
          <w:sz w:val="17"/>
          <w:szCs w:val="17"/>
          <w:color w:val="auto"/>
        </w:rPr>
        <w:t>We have retained Broadridge Financial Solutions, an independent tabulator, to receive and tabulate the proxies, to serve as an inspector of elections, and to certify the results. In addition, we have engaged Innisfree M&amp;A Incorporated (“Innisfree”), a professional proxy solicitation firm, to assist in the solicitation of proxies for the Annual Meeting. The Company has agreed to pay Innisfree a fee of $17,500, plus reimbursement for out-of-pocket expenses. The address of Innisfree is 501 Madison Avenue, 20th Floor, New York, New York 10022. If you need assistance in completing your proxy card or have questions regarding the Annual Meeting, please contact Innisfree toll-free at (888) 750-5834.</w:t>
      </w:r>
    </w:p>
    <w:p>
      <w:pPr>
        <w:spacing w:after="0" w:line="170" w:lineRule="exact"/>
        <w:rPr>
          <w:sz w:val="20"/>
          <w:szCs w:val="20"/>
          <w:color w:val="auto"/>
        </w:rPr>
      </w:pPr>
    </w:p>
    <w:p>
      <w:pPr>
        <w:ind w:left="320" w:right="300"/>
        <w:spacing w:after="0" w:line="256" w:lineRule="auto"/>
        <w:rPr>
          <w:sz w:val="20"/>
          <w:szCs w:val="20"/>
          <w:color w:val="auto"/>
        </w:rPr>
      </w:pPr>
      <w:r>
        <w:rPr>
          <w:rFonts w:ascii="Arial" w:cs="Arial" w:eastAsia="Arial" w:hAnsi="Arial"/>
          <w:sz w:val="17"/>
          <w:szCs w:val="17"/>
          <w:color w:val="auto"/>
        </w:rPr>
        <w:t>All expenses incurred in connection with the solicitation of proxies will be borne by us. We will also reimburse banks, brokers and other nominees for their expenses in forwarding proxy materials to beneficial owners of Common Stock held in their names.</w:t>
      </w:r>
    </w:p>
    <w:p>
      <w:pPr>
        <w:spacing w:after="0" w:line="142" w:lineRule="exact"/>
        <w:rPr>
          <w:sz w:val="20"/>
          <w:szCs w:val="20"/>
          <w:color w:val="auto"/>
        </w:rPr>
      </w:pPr>
    </w:p>
    <w:p>
      <w:pPr>
        <w:ind w:left="320" w:right="220"/>
        <w:spacing w:after="0" w:line="256" w:lineRule="auto"/>
        <w:rPr>
          <w:sz w:val="20"/>
          <w:szCs w:val="20"/>
          <w:color w:val="auto"/>
        </w:rPr>
      </w:pPr>
      <w:r>
        <w:rPr>
          <w:rFonts w:ascii="Arial" w:cs="Arial" w:eastAsia="Arial" w:hAnsi="Arial"/>
          <w:sz w:val="17"/>
          <w:szCs w:val="17"/>
          <w:color w:val="auto"/>
        </w:rPr>
        <w:t>Solicitation may be undertaken by mail, telephone, personal contact or other similar means by directors, officers and employees without additional compensation.</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1655E"/>
        </w:rPr>
        <w:t>SHAREHOLDER NOMINATIONS AND PROPOSALS</w:t>
      </w:r>
    </w:p>
    <w:p>
      <w:pPr>
        <w:spacing w:after="0" w:line="6" w:lineRule="exact"/>
        <w:rPr>
          <w:sz w:val="20"/>
          <w:szCs w:val="20"/>
          <w:color w:val="auto"/>
        </w:rPr>
      </w:pPr>
    </w:p>
    <w:p>
      <w:pPr>
        <w:ind w:left="320" w:right="220"/>
        <w:spacing w:after="0" w:line="245" w:lineRule="auto"/>
        <w:rPr>
          <w:sz w:val="20"/>
          <w:szCs w:val="20"/>
          <w:color w:val="auto"/>
        </w:rPr>
      </w:pPr>
      <w:r>
        <w:rPr>
          <w:rFonts w:ascii="Arial" w:cs="Arial" w:eastAsia="Arial" w:hAnsi="Arial"/>
          <w:sz w:val="17"/>
          <w:szCs w:val="17"/>
          <w:color w:val="auto"/>
        </w:rPr>
        <w:t>Shareholders intending to present a proposal at the 2024 Annual Meeting of Shareholders for inclusion in our proxy statement for that meeting pursuant to Rule 14a-8 of the Exchange Act must submit the proposal in writing to Wynn Resorts, Limited, Attention: Secretary, 3131 Las Vegas Boulevard South, Las Vegas, Nevada 89109. Such proposals must comply with the requirements of Rule 14a-8 of the Exchange Act and must be received by the Company no later than November 23, 2023.</w:t>
      </w:r>
    </w:p>
    <w:p>
      <w:pPr>
        <w:spacing w:after="0" w:line="164" w:lineRule="exact"/>
        <w:rPr>
          <w:sz w:val="20"/>
          <w:szCs w:val="20"/>
          <w:color w:val="auto"/>
        </w:rPr>
      </w:pPr>
    </w:p>
    <w:p>
      <w:pPr>
        <w:ind w:left="320"/>
        <w:spacing w:after="0" w:line="241" w:lineRule="auto"/>
        <w:rPr>
          <w:sz w:val="20"/>
          <w:szCs w:val="20"/>
          <w:color w:val="auto"/>
        </w:rPr>
      </w:pPr>
      <w:r>
        <w:rPr>
          <w:rFonts w:ascii="Arial" w:cs="Arial" w:eastAsia="Arial" w:hAnsi="Arial"/>
          <w:sz w:val="17"/>
          <w:szCs w:val="17"/>
          <w:color w:val="auto"/>
        </w:rPr>
        <w:t>In addition, our Bylaws provide notice procedures for shareholders to nominate a person as a director and to propose business to be considered by shareholders at a meeting when the nomination and/or the other business are not submitted for inclusion in the Company’s proxy statement. Notice of a nomination or proposal submitted pursuant to our Bylaws must be delivered to us not later than the close of business on the 90th day, nor earlier than the close of business on the 120th day, prior to the first anniversary of the preceding year’s annual meeting. However, if the date of the annual meeting is more than 30 days before or more than 70 days after such anniversary date, notice must be delivered to us not earlier than the close of business on the 120th day prior to such annual meeting date and not later than the close of business on the later of the 90th day prior to such annual meeting or the 10th day following the day on which public announcement of the date of such meeting is first made.</w:t>
      </w:r>
    </w:p>
    <w:p>
      <w:pPr>
        <w:spacing w:after="0" w:line="160" w:lineRule="exact"/>
        <w:rPr>
          <w:sz w:val="20"/>
          <w:szCs w:val="20"/>
          <w:color w:val="auto"/>
        </w:rPr>
      </w:pPr>
    </w:p>
    <w:p>
      <w:pPr>
        <w:ind w:left="320" w:right="60"/>
        <w:spacing w:after="0" w:line="242" w:lineRule="auto"/>
        <w:rPr>
          <w:sz w:val="20"/>
          <w:szCs w:val="20"/>
          <w:color w:val="auto"/>
        </w:rPr>
      </w:pPr>
      <w:r>
        <w:rPr>
          <w:rFonts w:ascii="Arial" w:cs="Arial" w:eastAsia="Arial" w:hAnsi="Arial"/>
          <w:sz w:val="17"/>
          <w:szCs w:val="17"/>
          <w:color w:val="auto"/>
        </w:rPr>
        <w:t>Accordingly, for our 2024 Annual Meeting, notice of a nomination or proposal must be delivered to us no later than February 4, 2024 and no earlier than January 5, 2024. Nominations and proposals also must satisfy other requirements set forth in the Bylaws and be submitted in writing and sent to the Company’s principal executive offices at Wynn Resorts, Limited, c/o Secretary, 3131 Las Vegas Boulevard South, Las Vegas, Nevada 89109. If a shareholder complies with the forgoing notice provisions and with certain additional procedural requirements in the Bylaws and SEC rules, the Company will have authority to vote shares under proxies we solicit when and if the nomination or proposal is raised at the Annual Meeting. The Chair of the Board may refuse to acknowledge the introduction of any shareholder proposal not made in compliance with the foregoing procedures.</w:t>
      </w:r>
    </w:p>
    <w:p>
      <w:pPr>
        <w:spacing w:after="0" w:line="13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 65 //</w:t>
      </w:r>
    </w:p>
    <w:p>
      <w:pPr>
        <w:sectPr>
          <w:pgSz w:w="11900" w:h="16838" w:orient="portrait"/>
          <w:cols w:equalWidth="0" w:num="1">
            <w:col w:w="10920"/>
          </w:cols>
          <w:pgMar w:left="320" w:top="473" w:right="65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28015" cy="2806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801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spacing w:after="0" w:line="247" w:lineRule="auto"/>
        <w:rPr>
          <w:sz w:val="20"/>
          <w:szCs w:val="20"/>
          <w:color w:val="auto"/>
        </w:rPr>
      </w:pPr>
      <w:r>
        <w:rPr>
          <w:rFonts w:ascii="Arial" w:cs="Arial" w:eastAsia="Arial" w:hAnsi="Arial"/>
          <w:sz w:val="17"/>
          <w:szCs w:val="17"/>
          <w:color w:val="auto"/>
        </w:rPr>
        <w:t>In addition to satisfying the requirements under the Company’s Bylaws, including the notice deadlines set forth above and therein, to comply with the universal proxy rules, shareholders who intend to solicit proxies in support of director nominees, other than the Company’s nominees, must also comply with the additional requirements of Rule 14a-19 under the Exchange Act.</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1655E"/>
        </w:rPr>
        <w:t>ANNUAL REPORT</w:t>
      </w:r>
    </w:p>
    <w:p>
      <w:pPr>
        <w:spacing w:after="0" w:line="6" w:lineRule="exact"/>
        <w:rPr>
          <w:sz w:val="20"/>
          <w:szCs w:val="20"/>
          <w:color w:val="auto"/>
        </w:rPr>
      </w:pPr>
    </w:p>
    <w:p>
      <w:pPr>
        <w:ind w:left="320" w:right="60"/>
        <w:spacing w:after="0" w:line="242" w:lineRule="auto"/>
        <w:rPr>
          <w:sz w:val="20"/>
          <w:szCs w:val="20"/>
          <w:color w:val="auto"/>
        </w:rPr>
      </w:pPr>
      <w:r>
        <w:rPr>
          <w:rFonts w:ascii="Arial" w:cs="Arial" w:eastAsia="Arial" w:hAnsi="Arial"/>
          <w:sz w:val="17"/>
          <w:szCs w:val="17"/>
          <w:color w:val="auto"/>
        </w:rPr>
        <w:t>Our financial statements for the year ended December 31, 2022, are included in our 2022 Annual Report to Shareholders, which we are providing to our shareholders at the same time as this Proxy Statement. Our Annual Report and this Proxy Statement are also posted on the Internet at http://www.wynnresorts.com on the Company Information page under the “Annual Meeting” heading. If you would like to receive a printed copy of these materials, please call our Investor Relations department at (702) 770-7555 or send a written request to the Company at Wynn Resorts, Limited, c/o Investor Relations, 3131 Las Vegas Boulevard South, Las Vegas, Nevada 89109, and we will send a copy to you without charge.</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1655E"/>
        </w:rPr>
        <w:t>HOUSEHOLDING</w:t>
      </w:r>
    </w:p>
    <w:p>
      <w:pPr>
        <w:spacing w:after="0" w:line="6" w:lineRule="exact"/>
        <w:rPr>
          <w:sz w:val="20"/>
          <w:szCs w:val="20"/>
          <w:color w:val="auto"/>
        </w:rPr>
      </w:pPr>
    </w:p>
    <w:p>
      <w:pPr>
        <w:jc w:val="both"/>
        <w:ind w:left="320" w:right="60"/>
        <w:spacing w:after="0" w:line="239" w:lineRule="auto"/>
        <w:rPr>
          <w:sz w:val="20"/>
          <w:szCs w:val="20"/>
          <w:color w:val="auto"/>
        </w:rPr>
      </w:pPr>
      <w:r>
        <w:rPr>
          <w:rFonts w:ascii="Arial" w:cs="Arial" w:eastAsia="Arial" w:hAnsi="Arial"/>
          <w:sz w:val="17"/>
          <w:szCs w:val="17"/>
          <w:color w:val="auto"/>
        </w:rPr>
        <w:t>Shareholders who are beneficial owners, but not the record holders, of the Company’s securities and share a single address may receive only one copy of the Company’s proxy materials, unless the broker, bank or other nominee delivering the materials has received contrary instructions from one or more of the shareholders. The Company will deliver promptly, upon written or oral request, a separate copy of the proxy materials to a shareholder at a shared address to which a single copy of the document was delivered. A shareholder who wishes to receive a separate copy of the proxy materials, now or in the future, should submit his or her request to the Company by telephone at</w:t>
      </w:r>
    </w:p>
    <w:p>
      <w:pPr>
        <w:spacing w:after="0" w:line="2" w:lineRule="exact"/>
        <w:rPr>
          <w:sz w:val="20"/>
          <w:szCs w:val="20"/>
          <w:color w:val="auto"/>
        </w:rPr>
      </w:pPr>
    </w:p>
    <w:p>
      <w:pPr>
        <w:jc w:val="both"/>
        <w:ind w:left="320" w:right="20" w:hanging="4"/>
        <w:spacing w:after="0" w:line="245" w:lineRule="auto"/>
        <w:tabs>
          <w:tab w:leader="none" w:pos="773" w:val="left"/>
        </w:tabs>
        <w:numPr>
          <w:ilvl w:val="0"/>
          <w:numId w:val="53"/>
        </w:numPr>
        <w:rPr>
          <w:rFonts w:ascii="Arial" w:cs="Arial" w:eastAsia="Arial" w:hAnsi="Arial"/>
          <w:sz w:val="17"/>
          <w:szCs w:val="17"/>
          <w:color w:val="auto"/>
        </w:rPr>
      </w:pPr>
      <w:r>
        <w:rPr>
          <w:rFonts w:ascii="Arial" w:cs="Arial" w:eastAsia="Arial" w:hAnsi="Arial"/>
          <w:sz w:val="17"/>
          <w:szCs w:val="17"/>
          <w:color w:val="auto"/>
        </w:rPr>
        <w:t>770-7555 or by submitting a written request to Wynn Resorts, Limited, c/o Investor Relations, 3131 Las Vegas Boulevard South, Las Vegas, Nevada 89109. Beneficial owners sharing an address who are receiving multiple copies of the proxy materials and wish to receive a single copy of such materials in the future will need to contact their broker, bank or other nominee to request that only a single copy be mailed to all shareholders at the shared address in the future.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71655E"/>
        </w:rPr>
        <w:t>OTHER BUSINESS</w:t>
      </w:r>
    </w:p>
    <w:p>
      <w:pPr>
        <w:spacing w:after="0" w:line="6" w:lineRule="exact"/>
        <w:rPr>
          <w:sz w:val="20"/>
          <w:szCs w:val="20"/>
          <w:color w:val="auto"/>
        </w:rPr>
      </w:pPr>
    </w:p>
    <w:p>
      <w:pPr>
        <w:ind w:left="320" w:right="120"/>
        <w:spacing w:after="0" w:line="245" w:lineRule="auto"/>
        <w:rPr>
          <w:sz w:val="20"/>
          <w:szCs w:val="20"/>
          <w:color w:val="auto"/>
        </w:rPr>
      </w:pPr>
      <w:r>
        <w:rPr>
          <w:rFonts w:ascii="Arial" w:cs="Arial" w:eastAsia="Arial" w:hAnsi="Arial"/>
          <w:sz w:val="17"/>
          <w:szCs w:val="17"/>
          <w:color w:val="auto"/>
        </w:rPr>
        <w:t>The Company is not aware of any other matters to be presented at the Annual Meeting. If any other matters should properly come before the Annual Meeting, the persons named in the proxy will vote the shares represented by the executed proxies on such matters as they determine appropriate in their discretion.</w:t>
      </w:r>
    </w:p>
    <w:p>
      <w:pPr>
        <w:spacing w:after="0" w:line="1"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0"/>
          <w:szCs w:val="10"/>
          <w:b w:val="1"/>
          <w:bCs w:val="1"/>
          <w:color w:val="auto"/>
        </w:rPr>
        <w:t>2023 PROXY STATEMENT</w:t>
      </w:r>
      <w:r>
        <w:rPr>
          <w:sz w:val="20"/>
          <w:szCs w:val="20"/>
          <w:color w:val="auto"/>
        </w:rPr>
        <w:tab/>
      </w:r>
      <w:r>
        <w:rPr>
          <w:rFonts w:ascii="Arial" w:cs="Arial" w:eastAsia="Arial" w:hAnsi="Arial"/>
          <w:sz w:val="23"/>
          <w:szCs w:val="23"/>
          <w:color w:val="auto"/>
          <w:vertAlign w:val="subscript"/>
        </w:rPr>
        <w:t>// 66 //</w:t>
      </w:r>
    </w:p>
    <w:p>
      <w:pPr>
        <w:sectPr>
          <w:pgSz w:w="11900" w:h="16838" w:orient="portrait"/>
          <w:cols w:equalWidth="0" w:num="1">
            <w:col w:w="10920"/>
          </w:cols>
          <w:pgMar w:left="320" w:top="473" w:right="659" w:bottom="1440" w:gutter="0" w:footer="0" w:header="0"/>
        </w:sectPr>
      </w:pPr>
    </w:p>
    <w:bookmarkStart w:id="77" w:name="page78"/>
    <w:bookmarkEnd w:id="77"/>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215900</wp:posOffset>
            </wp:positionV>
            <wp:extent cx="5608955" cy="74345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08955" cy="7434580"/>
                    </a:xfrm>
                    <a:prstGeom prst="rect">
                      <a:avLst/>
                    </a:prstGeom>
                    <a:noFill/>
                  </pic:spPr>
                </pic:pic>
              </a:graphicData>
            </a:graphic>
          </wp:anchor>
        </w:drawing>
      </w:r>
    </w:p>
    <w:p>
      <w:pPr>
        <w:sectPr>
          <w:pgSz w:w="11900" w:h="16838" w:orient="portrait"/>
          <w:cols w:equalWidth="0" w:num="1">
            <w:col w:w="10139"/>
          </w:cols>
          <w:pgMar w:left="320" w:top="473" w:right="1440" w:bottom="1440" w:gutter="0" w:footer="0" w:header="0"/>
        </w:sectPr>
      </w:pPr>
    </w:p>
    <w:bookmarkStart w:id="78" w:name="page79"/>
    <w:bookmarkEnd w:id="78"/>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215900</wp:posOffset>
            </wp:positionV>
            <wp:extent cx="5782310" cy="74345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82310" cy="7434580"/>
                    </a:xfrm>
                    <a:prstGeom prst="rect">
                      <a:avLst/>
                    </a:prstGeom>
                    <a:noFill/>
                  </pic:spPr>
                </pic:pic>
              </a:graphicData>
            </a:graphic>
          </wp:anchor>
        </w:drawing>
      </w:r>
    </w:p>
    <w:p>
      <w:pPr>
        <w:sectPr>
          <w:pgSz w:w="11900" w:h="16838" w:orient="portrait"/>
          <w:cols w:equalWidth="0" w:num="1">
            <w:col w:w="10139"/>
          </w:cols>
          <w:pgMar w:left="320" w:top="473" w:right="1440"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9"/>
          <w:szCs w:val="9"/>
          <w:i w:val="1"/>
          <w:iCs w:val="1"/>
          <w:color w:val="auto"/>
        </w:rPr>
        <w:t>WYNN RESORTS, LIMITED</w:t>
      </w:r>
    </w:p>
    <w:p>
      <w:pPr>
        <w:ind w:left="360"/>
        <w:spacing w:after="0"/>
        <w:rPr>
          <w:sz w:val="20"/>
          <w:szCs w:val="20"/>
          <w:color w:val="auto"/>
        </w:rPr>
      </w:pPr>
      <w:r>
        <w:rPr>
          <w:rFonts w:ascii="Arial" w:cs="Arial" w:eastAsia="Arial" w:hAnsi="Arial"/>
          <w:sz w:val="8"/>
          <w:szCs w:val="8"/>
          <w:i w:val="1"/>
          <w:iCs w:val="1"/>
          <w:color w:val="auto"/>
        </w:rPr>
        <w:t>ATTN: CORPORATE SECRETARY</w:t>
      </w:r>
    </w:p>
    <w:p>
      <w:pPr>
        <w:ind w:left="360"/>
        <w:spacing w:after="0" w:line="211" w:lineRule="auto"/>
        <w:rPr>
          <w:sz w:val="20"/>
          <w:szCs w:val="20"/>
          <w:color w:val="auto"/>
        </w:rPr>
      </w:pPr>
      <w:r>
        <w:rPr>
          <w:rFonts w:ascii="Arial" w:cs="Arial" w:eastAsia="Arial" w:hAnsi="Arial"/>
          <w:sz w:val="9"/>
          <w:szCs w:val="9"/>
          <w:i w:val="1"/>
          <w:iCs w:val="1"/>
          <w:color w:val="auto"/>
        </w:rPr>
        <w:t>3131 LAS VEGAS BLVD. SOUTH</w:t>
      </w:r>
    </w:p>
    <w:p>
      <w:pPr>
        <w:ind w:left="360"/>
        <w:spacing w:after="0"/>
        <w:rPr>
          <w:sz w:val="20"/>
          <w:szCs w:val="20"/>
          <w:color w:val="auto"/>
        </w:rPr>
      </w:pPr>
      <w:r>
        <w:rPr>
          <w:rFonts w:ascii="Arial" w:cs="Arial" w:eastAsia="Arial" w:hAnsi="Arial"/>
          <w:sz w:val="9"/>
          <w:szCs w:val="9"/>
          <w:i w:val="1"/>
          <w:iCs w:val="1"/>
          <w:color w:val="auto"/>
        </w:rPr>
        <w:t>LAS VEGAS, NV 89109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-1177925</wp:posOffset>
            </wp:positionV>
            <wp:extent cx="7179310" cy="539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-641350</wp:posOffset>
            </wp:positionV>
            <wp:extent cx="1800860" cy="4711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00860" cy="471170"/>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i w:val="1"/>
          <w:iCs w:val="1"/>
          <w:color w:val="auto"/>
        </w:rPr>
        <w:t xml:space="preserve">Before The Meeting </w:t>
      </w:r>
      <w:r>
        <w:rPr>
          <w:rFonts w:ascii="Arial" w:cs="Arial" w:eastAsia="Arial" w:hAnsi="Arial"/>
          <w:sz w:val="10"/>
          <w:szCs w:val="10"/>
          <w:b w:val="1"/>
          <w:bCs w:val="1"/>
          <w:color w:val="auto"/>
        </w:rPr>
        <w:t>-</w:t>
      </w:r>
      <w:r>
        <w:rPr>
          <w:rFonts w:ascii="Arial" w:cs="Arial" w:eastAsia="Arial" w:hAnsi="Arial"/>
          <w:sz w:val="10"/>
          <w:szCs w:val="10"/>
          <w:i w:val="1"/>
          <w:iCs w:val="1"/>
          <w:color w:val="auto"/>
        </w:rPr>
        <w:t xml:space="preserve"> </w:t>
      </w:r>
      <w:r>
        <w:rPr>
          <w:rFonts w:ascii="Arial" w:cs="Arial" w:eastAsia="Arial" w:hAnsi="Arial"/>
          <w:sz w:val="10"/>
          <w:szCs w:val="10"/>
          <w:color w:val="auto"/>
        </w:rPr>
        <w:t>Go to</w:t>
      </w:r>
      <w:r>
        <w:rPr>
          <w:rFonts w:ascii="Arial" w:cs="Arial" w:eastAsia="Arial" w:hAnsi="Arial"/>
          <w:sz w:val="10"/>
          <w:szCs w:val="10"/>
          <w:i w:val="1"/>
          <w:iCs w:val="1"/>
          <w:color w:val="auto"/>
        </w:rPr>
        <w:t xml:space="preserve"> </w:t>
      </w:r>
      <w:r>
        <w:rPr>
          <w:rFonts w:ascii="Arial" w:cs="Arial" w:eastAsia="Arial" w:hAnsi="Arial"/>
          <w:sz w:val="10"/>
          <w:szCs w:val="10"/>
          <w:b w:val="1"/>
          <w:bCs w:val="1"/>
          <w:u w:val="single" w:color="auto"/>
          <w:color w:val="auto"/>
        </w:rPr>
        <w:t>www.proxyvote.com</w:t>
      </w:r>
      <w:r>
        <w:rPr>
          <w:rFonts w:ascii="Arial" w:cs="Arial" w:eastAsia="Arial" w:hAnsi="Arial"/>
          <w:sz w:val="10"/>
          <w:szCs w:val="10"/>
          <w:i w:val="1"/>
          <w:iCs w:val="1"/>
          <w:color w:val="auto"/>
        </w:rPr>
        <w:t xml:space="preserve"> </w:t>
      </w:r>
      <w:r>
        <w:rPr>
          <w:rFonts w:ascii="Arial" w:cs="Arial" w:eastAsia="Arial" w:hAnsi="Arial"/>
          <w:sz w:val="10"/>
          <w:szCs w:val="10"/>
          <w:b w:val="1"/>
          <w:bCs w:val="1"/>
          <w:color w:val="auto"/>
        </w:rPr>
        <w:t>or scan the QR Barcode above</w:t>
      </w:r>
    </w:p>
    <w:p>
      <w:pPr>
        <w:spacing w:after="0" w:line="119" w:lineRule="exact"/>
        <w:rPr>
          <w:sz w:val="20"/>
          <w:szCs w:val="20"/>
          <w:color w:val="auto"/>
        </w:rPr>
      </w:pPr>
    </w:p>
    <w:p>
      <w:pPr>
        <w:jc w:val="both"/>
        <w:ind w:right="40"/>
        <w:spacing w:after="0" w:line="253" w:lineRule="auto"/>
        <w:rPr>
          <w:sz w:val="20"/>
          <w:szCs w:val="20"/>
          <w:color w:val="auto"/>
        </w:rPr>
      </w:pPr>
      <w:r>
        <w:rPr>
          <w:rFonts w:ascii="Arial" w:cs="Arial" w:eastAsia="Arial" w:hAnsi="Arial"/>
          <w:sz w:val="10"/>
          <w:szCs w:val="10"/>
          <w:color w:val="auto"/>
        </w:rPr>
        <w:t>Use the Internet to transmit your voting instructions and for electronic delivery of information up until 11:59 p.m. Eastern Time on May 3, 2023. Have your proxy card in hand when you access the web site and follow the instructions to obtain your records and to create an electronic voting instruction form.</w:t>
      </w:r>
    </w:p>
    <w:p>
      <w:pPr>
        <w:spacing w:after="0" w:line="93"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 xml:space="preserve">During The Meeting </w:t>
      </w:r>
      <w:r>
        <w:rPr>
          <w:rFonts w:ascii="Arial" w:cs="Arial" w:eastAsia="Arial" w:hAnsi="Arial"/>
          <w:sz w:val="10"/>
          <w:szCs w:val="10"/>
          <w:color w:val="auto"/>
        </w:rPr>
        <w:t>- Go to</w:t>
      </w:r>
      <w:r>
        <w:rPr>
          <w:rFonts w:ascii="Arial" w:cs="Arial" w:eastAsia="Arial" w:hAnsi="Arial"/>
          <w:sz w:val="10"/>
          <w:szCs w:val="10"/>
          <w:i w:val="1"/>
          <w:iCs w:val="1"/>
          <w:color w:val="auto"/>
        </w:rPr>
        <w:t xml:space="preserve"> </w:t>
      </w:r>
      <w:r>
        <w:rPr>
          <w:rFonts w:ascii="Arial" w:cs="Arial" w:eastAsia="Arial" w:hAnsi="Arial"/>
          <w:sz w:val="10"/>
          <w:szCs w:val="10"/>
          <w:b w:val="1"/>
          <w:bCs w:val="1"/>
          <w:u w:val="single" w:color="auto"/>
          <w:color w:val="auto"/>
        </w:rPr>
        <w:t>www.virtualshareholdermeeting.com/WYNN2023</w:t>
      </w:r>
    </w:p>
    <w:p>
      <w:pPr>
        <w:spacing w:after="0" w:line="131" w:lineRule="exact"/>
        <w:rPr>
          <w:sz w:val="20"/>
          <w:szCs w:val="20"/>
          <w:color w:val="auto"/>
        </w:rPr>
      </w:pPr>
    </w:p>
    <w:p>
      <w:pPr>
        <w:jc w:val="both"/>
        <w:ind w:right="40"/>
        <w:spacing w:after="0" w:line="263" w:lineRule="auto"/>
        <w:rPr>
          <w:sz w:val="20"/>
          <w:szCs w:val="20"/>
          <w:color w:val="auto"/>
        </w:rPr>
      </w:pPr>
      <w:r>
        <w:rPr>
          <w:rFonts w:ascii="Arial" w:cs="Arial" w:eastAsia="Arial" w:hAnsi="Arial"/>
          <w:sz w:val="10"/>
          <w:szCs w:val="10"/>
          <w:color w:val="auto"/>
        </w:rPr>
        <w:t>You may attend the meeting via the Internet and vote during the meeting. Have the information that is printed in the box marked by the arrow available and follow the instructions.</w:t>
      </w:r>
    </w:p>
    <w:p>
      <w:pPr>
        <w:spacing w:after="0" w:line="8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VOTE BY PHONE - 1-800-690-6903</w:t>
      </w:r>
    </w:p>
    <w:p>
      <w:pPr>
        <w:spacing w:after="0" w:line="14" w:lineRule="exact"/>
        <w:rPr>
          <w:sz w:val="20"/>
          <w:szCs w:val="20"/>
          <w:color w:val="auto"/>
        </w:rPr>
      </w:pPr>
    </w:p>
    <w:p>
      <w:pPr>
        <w:jc w:val="both"/>
        <w:ind w:right="40"/>
        <w:spacing w:after="0" w:line="263" w:lineRule="auto"/>
        <w:rPr>
          <w:sz w:val="20"/>
          <w:szCs w:val="20"/>
          <w:color w:val="auto"/>
        </w:rPr>
      </w:pPr>
      <w:r>
        <w:rPr>
          <w:rFonts w:ascii="Arial" w:cs="Arial" w:eastAsia="Arial" w:hAnsi="Arial"/>
          <w:sz w:val="10"/>
          <w:szCs w:val="10"/>
          <w:color w:val="auto"/>
        </w:rPr>
        <w:t>Use any touch-tone telephone to transmit your voting instructions up until 11:59 p.m. Eastern Time on May 3, 2023. Have your proxy card in hand when you call and then follow the instructions.</w:t>
      </w:r>
    </w:p>
    <w:p>
      <w:pPr>
        <w:spacing w:after="0" w:line="8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VOTE BY MAIL</w:t>
      </w:r>
    </w:p>
    <w:p>
      <w:pPr>
        <w:spacing w:after="0" w:line="14" w:lineRule="exact"/>
        <w:rPr>
          <w:sz w:val="20"/>
          <w:szCs w:val="20"/>
          <w:color w:val="auto"/>
        </w:rPr>
      </w:pPr>
    </w:p>
    <w:p>
      <w:pPr>
        <w:jc w:val="both"/>
        <w:ind w:right="20"/>
        <w:spacing w:after="0" w:line="263" w:lineRule="auto"/>
        <w:rPr>
          <w:sz w:val="20"/>
          <w:szCs w:val="20"/>
          <w:color w:val="auto"/>
        </w:rPr>
      </w:pPr>
      <w:r>
        <w:rPr>
          <w:rFonts w:ascii="Arial" w:cs="Arial" w:eastAsia="Arial" w:hAnsi="Arial"/>
          <w:sz w:val="10"/>
          <w:szCs w:val="10"/>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140" w:space="720"/>
            <w:col w:w="5100"/>
          </w:cols>
          <w:pgMar w:left="320" w:top="473" w:right="619" w:bottom="1440" w:gutter="0" w:footer="0" w:header="0"/>
        </w:sectPr>
      </w:pPr>
    </w:p>
    <w:p>
      <w:pPr>
        <w:spacing w:after="0" w:line="38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TO VOTE, MARK BLOCKS BELOW IN BLUE OR BLACK INK AS FOLLOWS:</w:t>
      </w:r>
    </w:p>
    <w:p>
      <w:pPr>
        <w:ind w:left="6720"/>
        <w:spacing w:after="0" w:line="234" w:lineRule="auto"/>
        <w:tabs>
          <w:tab w:leader="none" w:pos="8380" w:val="left"/>
        </w:tabs>
        <w:rPr>
          <w:sz w:val="20"/>
          <w:szCs w:val="20"/>
          <w:color w:val="auto"/>
        </w:rPr>
      </w:pPr>
      <w:r>
        <w:rPr>
          <w:rFonts w:ascii="Arial" w:cs="Arial" w:eastAsia="Arial" w:hAnsi="Arial"/>
          <w:sz w:val="12"/>
          <w:szCs w:val="12"/>
          <w:color w:val="auto"/>
        </w:rPr>
        <w:t>V01438-P87880</w:t>
      </w:r>
      <w:r>
        <w:rPr>
          <w:sz w:val="20"/>
          <w:szCs w:val="20"/>
          <w:color w:val="auto"/>
        </w:rPr>
        <w:tab/>
      </w:r>
      <w:r>
        <w:rPr>
          <w:rFonts w:ascii="Arial" w:cs="Arial" w:eastAsia="Arial" w:hAnsi="Arial"/>
          <w:sz w:val="12"/>
          <w:szCs w:val="12"/>
          <w:color w:val="auto"/>
        </w:rPr>
        <w:t>KEEP THIS PORTION FOR YOUR RECORDS</w:t>
      </w:r>
    </w:p>
    <w:p>
      <w:pPr>
        <w:ind w:left="360"/>
        <w:spacing w:after="0" w:line="234" w:lineRule="auto"/>
        <w:rPr>
          <w:sz w:val="20"/>
          <w:szCs w:val="20"/>
          <w:color w:val="auto"/>
        </w:rPr>
      </w:pPr>
      <w:r>
        <w:rPr>
          <w:rFonts w:ascii="Arial" w:cs="Arial" w:eastAsia="Arial" w:hAnsi="Arial"/>
          <w:sz w:val="17"/>
          <w:szCs w:val="17"/>
          <w:color w:val="auto"/>
        </w:rPr>
        <w:t>— — — — — — — — — — — — — — — — — — — — — — — — — — — — — — — — — — — — — — — — — — — — — — — —</w:t>
      </w:r>
    </w:p>
    <w:p>
      <w:pPr>
        <w:ind w:left="8360"/>
        <w:spacing w:after="0"/>
        <w:rPr>
          <w:sz w:val="20"/>
          <w:szCs w:val="20"/>
          <w:color w:val="auto"/>
        </w:rPr>
      </w:pPr>
      <w:r>
        <w:rPr>
          <w:rFonts w:ascii="Arial" w:cs="Arial" w:eastAsia="Arial" w:hAnsi="Arial"/>
          <w:sz w:val="12"/>
          <w:szCs w:val="12"/>
          <w:color w:val="auto"/>
        </w:rPr>
        <w:t>DETACH AND RETURN THIS PORTION ONLY</w:t>
      </w:r>
    </w:p>
    <w:p>
      <w:pPr>
        <w:spacing w:after="0" w:line="8"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6875780</wp:posOffset>
            </wp:positionH>
            <wp:positionV relativeFrom="paragraph">
              <wp:posOffset>23495</wp:posOffset>
            </wp:positionV>
            <wp:extent cx="66040" cy="3797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6040" cy="379730"/>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75"/>
        </w:trPr>
        <w:tc>
          <w:tcPr>
            <w:tcW w:w="40" w:type="dxa"/>
            <w:vAlign w:val="bottom"/>
            <w:tcBorders>
              <w:top w:val="single" w:sz="8" w:color="auto"/>
            </w:tcBorders>
            <w:shd w:val="clear" w:color="auto" w:fill="000000"/>
          </w:tcPr>
          <w:p>
            <w:pPr>
              <w:spacing w:after="0"/>
              <w:rPr>
                <w:sz w:val="15"/>
                <w:szCs w:val="15"/>
                <w:color w:val="auto"/>
              </w:rPr>
            </w:pPr>
          </w:p>
        </w:tc>
        <w:tc>
          <w:tcPr>
            <w:tcW w:w="1740" w:type="dxa"/>
            <w:vAlign w:val="bottom"/>
            <w:tcBorders>
              <w:top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WYNN RESORTS, LIMITED</w:t>
            </w:r>
          </w:p>
        </w:tc>
        <w:tc>
          <w:tcPr>
            <w:tcW w:w="24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For</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Withhold</w:t>
            </w:r>
          </w:p>
        </w:tc>
        <w:tc>
          <w:tcPr>
            <w:tcW w:w="700" w:type="dxa"/>
            <w:vAlign w:val="bottom"/>
            <w:tcBorders>
              <w:top w:val="single" w:sz="8" w:color="auto"/>
            </w:tcBorders>
          </w:tcPr>
          <w:p>
            <w:pPr>
              <w:ind w:left="60"/>
              <w:spacing w:after="0"/>
              <w:rPr>
                <w:sz w:val="20"/>
                <w:szCs w:val="20"/>
                <w:color w:val="auto"/>
              </w:rPr>
            </w:pPr>
            <w:r>
              <w:rPr>
                <w:rFonts w:ascii="Arial" w:cs="Arial" w:eastAsia="Arial" w:hAnsi="Arial"/>
                <w:sz w:val="12"/>
                <w:szCs w:val="12"/>
                <w:b w:val="1"/>
                <w:bCs w:val="1"/>
                <w:color w:val="auto"/>
              </w:rPr>
              <w:t>For All</w:t>
            </w:r>
          </w:p>
        </w:tc>
        <w:tc>
          <w:tcPr>
            <w:tcW w:w="464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To  withhold  authority  to  vote  for  any</w:t>
            </w:r>
          </w:p>
        </w:tc>
        <w:tc>
          <w:tcPr>
            <w:tcW w:w="0" w:type="dxa"/>
            <w:vAlign w:val="bottom"/>
          </w:tcPr>
          <w:p>
            <w:pPr>
              <w:spacing w:after="0"/>
              <w:rPr>
                <w:sz w:val="1"/>
                <w:szCs w:val="1"/>
                <w:color w:val="auto"/>
              </w:rPr>
            </w:pPr>
          </w:p>
        </w:tc>
      </w:tr>
      <w:tr>
        <w:trPr>
          <w:trHeight w:val="144"/>
        </w:trPr>
        <w:tc>
          <w:tcPr>
            <w:tcW w:w="40" w:type="dxa"/>
            <w:vAlign w:val="bottom"/>
            <w:shd w:val="clear" w:color="auto" w:fill="000000"/>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60" w:type="dxa"/>
            <w:vAlign w:val="bottom"/>
          </w:tcPr>
          <w:p>
            <w:pPr>
              <w:jc w:val="center"/>
              <w:spacing w:after="0"/>
              <w:rPr>
                <w:sz w:val="20"/>
                <w:szCs w:val="20"/>
                <w:color w:val="auto"/>
              </w:rPr>
            </w:pPr>
            <w:r>
              <w:rPr>
                <w:rFonts w:ascii="Arial" w:cs="Arial" w:eastAsia="Arial" w:hAnsi="Arial"/>
                <w:sz w:val="12"/>
                <w:szCs w:val="12"/>
                <w:b w:val="1"/>
                <w:bCs w:val="1"/>
                <w:color w:val="auto"/>
              </w:rPr>
              <w:t>All</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rPr>
              <w:t>All</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Except</w:t>
            </w:r>
          </w:p>
        </w:tc>
        <w:tc>
          <w:tcPr>
            <w:tcW w:w="4640" w:type="dxa"/>
            <w:vAlign w:val="bottom"/>
            <w:gridSpan w:val="2"/>
          </w:tcPr>
          <w:p>
            <w:pPr>
              <w:spacing w:after="0"/>
              <w:rPr>
                <w:sz w:val="20"/>
                <w:szCs w:val="20"/>
                <w:color w:val="auto"/>
              </w:rPr>
            </w:pPr>
            <w:r>
              <w:rPr>
                <w:rFonts w:ascii="Arial" w:cs="Arial" w:eastAsia="Arial" w:hAnsi="Arial"/>
                <w:sz w:val="12"/>
                <w:szCs w:val="12"/>
                <w:color w:val="auto"/>
              </w:rPr>
              <w:t>individual  nominee(s),  mark  “For  All</w:t>
            </w:r>
          </w:p>
        </w:tc>
        <w:tc>
          <w:tcPr>
            <w:tcW w:w="0" w:type="dxa"/>
            <w:vAlign w:val="bottom"/>
          </w:tcPr>
          <w:p>
            <w:pPr>
              <w:spacing w:after="0"/>
              <w:rPr>
                <w:sz w:val="1"/>
                <w:szCs w:val="1"/>
                <w:color w:val="auto"/>
              </w:rPr>
            </w:pPr>
          </w:p>
        </w:tc>
      </w:tr>
      <w:tr>
        <w:trPr>
          <w:trHeight w:val="130"/>
        </w:trPr>
        <w:tc>
          <w:tcPr>
            <w:tcW w:w="40" w:type="dxa"/>
            <w:vAlign w:val="bottom"/>
            <w:shd w:val="clear" w:color="auto" w:fill="000000"/>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40" w:type="dxa"/>
            <w:vAlign w:val="bottom"/>
            <w:gridSpan w:val="2"/>
          </w:tcPr>
          <w:p>
            <w:pPr>
              <w:spacing w:after="0" w:line="130" w:lineRule="exact"/>
              <w:rPr>
                <w:sz w:val="20"/>
                <w:szCs w:val="20"/>
                <w:color w:val="auto"/>
              </w:rPr>
            </w:pPr>
            <w:r>
              <w:rPr>
                <w:rFonts w:ascii="Arial" w:cs="Arial" w:eastAsia="Arial" w:hAnsi="Arial"/>
                <w:sz w:val="12"/>
                <w:szCs w:val="12"/>
                <w:color w:val="auto"/>
              </w:rPr>
              <w:t>Except” and write the number(s) of the</w:t>
            </w:r>
          </w:p>
        </w:tc>
        <w:tc>
          <w:tcPr>
            <w:tcW w:w="0" w:type="dxa"/>
            <w:vAlign w:val="bottom"/>
          </w:tcPr>
          <w:p>
            <w:pPr>
              <w:spacing w:after="0"/>
              <w:rPr>
                <w:sz w:val="1"/>
                <w:szCs w:val="1"/>
                <w:color w:val="auto"/>
              </w:rPr>
            </w:pPr>
          </w:p>
        </w:tc>
      </w:tr>
      <w:tr>
        <w:trPr>
          <w:trHeight w:val="149"/>
        </w:trPr>
        <w:tc>
          <w:tcPr>
            <w:tcW w:w="40" w:type="dxa"/>
            <w:vAlign w:val="bottom"/>
            <w:shd w:val="clear" w:color="auto" w:fill="000000"/>
          </w:tcPr>
          <w:p>
            <w:pPr>
              <w:spacing w:after="0"/>
              <w:rPr>
                <w:sz w:val="12"/>
                <w:szCs w:val="12"/>
                <w:color w:val="auto"/>
              </w:rPr>
            </w:pPr>
          </w:p>
        </w:tc>
        <w:tc>
          <w:tcPr>
            <w:tcW w:w="4160" w:type="dxa"/>
            <w:vAlign w:val="bottom"/>
            <w:gridSpan w:val="3"/>
            <w:vMerge w:val="restart"/>
          </w:tcPr>
          <w:p>
            <w:pPr>
              <w:ind w:left="300"/>
              <w:spacing w:after="0"/>
              <w:rPr>
                <w:sz w:val="20"/>
                <w:szCs w:val="20"/>
                <w:color w:val="auto"/>
              </w:rPr>
            </w:pPr>
            <w:r>
              <w:rPr>
                <w:rFonts w:ascii="Arial" w:cs="Arial" w:eastAsia="Arial" w:hAnsi="Arial"/>
                <w:sz w:val="12"/>
                <w:szCs w:val="12"/>
                <w:b w:val="1"/>
                <w:bCs w:val="1"/>
                <w:color w:val="auto"/>
              </w:rPr>
              <w:t>The Board of Directors recommends you vote FOR the following:</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40" w:type="dxa"/>
            <w:vAlign w:val="bottom"/>
            <w:gridSpan w:val="2"/>
          </w:tcPr>
          <w:p>
            <w:pPr>
              <w:spacing w:after="0"/>
              <w:rPr>
                <w:sz w:val="20"/>
                <w:szCs w:val="20"/>
                <w:color w:val="auto"/>
              </w:rPr>
            </w:pPr>
            <w:r>
              <w:rPr>
                <w:rFonts w:ascii="Arial" w:cs="Arial" w:eastAsia="Arial" w:hAnsi="Arial"/>
                <w:sz w:val="12"/>
                <w:szCs w:val="12"/>
                <w:color w:val="auto"/>
              </w:rPr>
              <w:t>nominee(s) on the line below.</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41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460" w:type="dxa"/>
            <w:vAlign w:val="bottom"/>
            <w:vMerge w:val="restart"/>
          </w:tcPr>
          <w:p>
            <w:pPr>
              <w:ind w:left="300"/>
              <w:spacing w:after="0"/>
              <w:rPr>
                <w:sz w:val="20"/>
                <w:szCs w:val="20"/>
                <w:color w:val="auto"/>
              </w:rPr>
            </w:pPr>
            <w:r>
              <w:rPr>
                <w:rFonts w:ascii="Arial" w:cs="Arial" w:eastAsia="Arial" w:hAnsi="Arial"/>
                <w:sz w:val="10"/>
                <w:szCs w:val="10"/>
                <w:color w:val="auto"/>
                <w:w w:val="76"/>
              </w:rPr>
              <w:t>1. </w:t>
            </w:r>
          </w:p>
        </w:tc>
        <w:tc>
          <w:tcPr>
            <w:tcW w:w="3700" w:type="dxa"/>
            <w:vAlign w:val="bottom"/>
            <w:gridSpan w:val="2"/>
            <w:vMerge w:val="restart"/>
          </w:tcPr>
          <w:p>
            <w:pPr>
              <w:ind w:left="80"/>
              <w:spacing w:after="0"/>
              <w:rPr>
                <w:sz w:val="20"/>
                <w:szCs w:val="20"/>
                <w:color w:val="auto"/>
              </w:rPr>
            </w:pPr>
            <w:r>
              <w:rPr>
                <w:rFonts w:ascii="Arial" w:cs="Arial" w:eastAsia="Arial" w:hAnsi="Arial"/>
                <w:sz w:val="12"/>
                <w:szCs w:val="12"/>
                <w:color w:val="auto"/>
              </w:rPr>
              <w:t> Election of Directors</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70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4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Arial" w:cs="Arial" w:eastAsia="Arial" w:hAnsi="Arial"/>
                <w:sz w:val="12"/>
                <w:szCs w:val="12"/>
                <w:b w:val="1"/>
                <w:bCs w:val="1"/>
                <w:color w:val="auto"/>
                <w:w w:val="90"/>
              </w:rPr>
              <w:t>  </w:t>
            </w:r>
          </w:p>
        </w:tc>
        <w:tc>
          <w:tcPr>
            <w:tcW w:w="3700" w:type="dxa"/>
            <w:vAlign w:val="bottom"/>
            <w:gridSpan w:val="2"/>
          </w:tcPr>
          <w:p>
            <w:pPr>
              <w:spacing w:after="0"/>
              <w:rPr>
                <w:sz w:val="20"/>
                <w:szCs w:val="20"/>
                <w:color w:val="auto"/>
              </w:rPr>
            </w:pPr>
            <w:r>
              <w:rPr>
                <w:rFonts w:ascii="Arial" w:cs="Arial" w:eastAsia="Arial" w:hAnsi="Arial"/>
                <w:sz w:val="12"/>
                <w:szCs w:val="12"/>
                <w:b w:val="1"/>
                <w:bCs w:val="1"/>
                <w:color w:val="auto"/>
              </w:rPr>
              <w:t>   Nominees</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-426720</wp:posOffset>
            </wp:positionV>
            <wp:extent cx="16510" cy="37750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6510" cy="3775075"/>
                    </a:xfrm>
                    <a:prstGeom prst="rect">
                      <a:avLst/>
                    </a:prstGeom>
                    <a:noFill/>
                  </pic:spPr>
                </pic:pic>
              </a:graphicData>
            </a:graphic>
          </wp:anchor>
        </w:drawing>
        <w:drawing>
          <wp:anchor simplePos="0" relativeHeight="251657728" behindDoc="1" locked="0" layoutInCell="0" allowOverlap="1">
            <wp:simplePos x="0" y="0"/>
            <wp:positionH relativeFrom="column">
              <wp:posOffset>6412865</wp:posOffset>
            </wp:positionH>
            <wp:positionV relativeFrom="paragraph">
              <wp:posOffset>-683260</wp:posOffset>
            </wp:positionV>
            <wp:extent cx="528955" cy="40309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8955" cy="4030980"/>
                    </a:xfrm>
                    <a:prstGeom prst="rect">
                      <a:avLst/>
                    </a:prstGeom>
                    <a:noFill/>
                  </pic:spPr>
                </pic:pic>
              </a:graphicData>
            </a:graphic>
          </wp:anchor>
        </w:drawing>
        <w:drawing>
          <wp:anchor simplePos="0" relativeHeight="251657728" behindDoc="1" locked="0" layoutInCell="0" allowOverlap="1">
            <wp:simplePos x="0" y="0"/>
            <wp:positionH relativeFrom="column">
              <wp:posOffset>6412865</wp:posOffset>
            </wp:positionH>
            <wp:positionV relativeFrom="paragraph">
              <wp:posOffset>-683260</wp:posOffset>
            </wp:positionV>
            <wp:extent cx="528955" cy="40309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8955" cy="4030980"/>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-344170</wp:posOffset>
            </wp:positionV>
            <wp:extent cx="123825" cy="148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3825" cy="14859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-344170</wp:posOffset>
            </wp:positionV>
            <wp:extent cx="123825" cy="148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3825" cy="1485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-344170</wp:posOffset>
            </wp:positionV>
            <wp:extent cx="123825" cy="148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3825" cy="148590"/>
                    </a:xfrm>
                    <a:prstGeom prst="rect">
                      <a:avLst/>
                    </a:prstGeom>
                    <a:noFill/>
                  </pic:spPr>
                </pic:pic>
              </a:graphicData>
            </a:graphic>
          </wp:anchor>
        </w:drawing>
      </w:r>
    </w:p>
    <w:p>
      <w:pPr>
        <w:spacing w:after="0" w:line="125" w:lineRule="exact"/>
        <w:rPr>
          <w:sz w:val="20"/>
          <w:szCs w:val="20"/>
          <w:color w:val="auto"/>
        </w:rPr>
      </w:pPr>
    </w:p>
    <w:p>
      <w:pPr>
        <w:ind w:left="1240" w:hanging="303"/>
        <w:spacing w:after="0"/>
        <w:tabs>
          <w:tab w:leader="none" w:pos="12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Richard J. Byrne</w:t>
      </w:r>
    </w:p>
    <w:p>
      <w:pPr>
        <w:ind w:left="1240" w:hanging="303"/>
        <w:spacing w:after="0" w:line="226" w:lineRule="auto"/>
        <w:tabs>
          <w:tab w:leader="none" w:pos="12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Patricia Mulroy</w:t>
      </w:r>
    </w:p>
    <w:p>
      <w:pPr>
        <w:ind w:left="1240" w:hanging="303"/>
        <w:spacing w:after="0"/>
        <w:tabs>
          <w:tab w:leader="none" w:pos="12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Philip G. Satre</w:t>
      </w:r>
    </w:p>
    <w:p>
      <w:pPr>
        <w:spacing w:after="0" w:line="200" w:lineRule="exact"/>
        <w:rPr>
          <w:sz w:val="20"/>
          <w:szCs w:val="20"/>
          <w:color w:val="auto"/>
        </w:rPr>
      </w:pPr>
    </w:p>
    <w:p>
      <w:pPr>
        <w:spacing w:after="0" w:line="259" w:lineRule="exact"/>
        <w:rPr>
          <w:sz w:val="20"/>
          <w:szCs w:val="20"/>
          <w:color w:val="auto"/>
        </w:rPr>
      </w:pPr>
    </w:p>
    <w:p>
      <w:pPr>
        <w:ind w:left="660"/>
        <w:spacing w:after="0"/>
        <w:tabs>
          <w:tab w:leader="none" w:pos="9120" w:val="left"/>
          <w:tab w:leader="none" w:pos="9540" w:val="left"/>
          <w:tab w:leader="none" w:pos="10180" w:val="left"/>
        </w:tabs>
        <w:rPr>
          <w:sz w:val="20"/>
          <w:szCs w:val="20"/>
          <w:color w:val="auto"/>
        </w:rPr>
      </w:pPr>
      <w:r>
        <w:rPr>
          <w:rFonts w:ascii="Arial" w:cs="Arial" w:eastAsia="Arial" w:hAnsi="Arial"/>
          <w:sz w:val="12"/>
          <w:szCs w:val="12"/>
          <w:b w:val="1"/>
          <w:bCs w:val="1"/>
          <w:color w:val="auto"/>
        </w:rPr>
        <w:t>The Board of Directors recommends you vote FOR proposals 2 and 3.</w:t>
      </w:r>
      <w:r>
        <w:rPr>
          <w:sz w:val="20"/>
          <w:szCs w:val="20"/>
          <w:color w:val="auto"/>
        </w:rPr>
        <w:tab/>
      </w: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1"/>
          <w:szCs w:val="11"/>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5809615</wp:posOffset>
            </wp:positionH>
            <wp:positionV relativeFrom="paragraph">
              <wp:posOffset>114935</wp:posOffset>
            </wp:positionV>
            <wp:extent cx="123825" cy="148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3825" cy="148590"/>
                    </a:xfrm>
                    <a:prstGeom prst="rect">
                      <a:avLst/>
                    </a:prstGeom>
                    <a:noFill/>
                  </pic:spPr>
                </pic:pic>
              </a:graphicData>
            </a:graphic>
          </wp:anchor>
        </w:drawing>
        <w:drawing>
          <wp:anchor simplePos="0" relativeHeight="251657728" behindDoc="1" locked="0" layoutInCell="0" allowOverlap="1">
            <wp:simplePos x="0" y="0"/>
            <wp:positionH relativeFrom="column">
              <wp:posOffset>6148705</wp:posOffset>
            </wp:positionH>
            <wp:positionV relativeFrom="paragraph">
              <wp:posOffset>114935</wp:posOffset>
            </wp:positionV>
            <wp:extent cx="123825" cy="148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3825" cy="148590"/>
                    </a:xfrm>
                    <a:prstGeom prst="rect">
                      <a:avLst/>
                    </a:prstGeom>
                    <a:noFill/>
                  </pic:spPr>
                </pic:pic>
              </a:graphicData>
            </a:graphic>
          </wp:anchor>
        </w:drawing>
        <w:drawing>
          <wp:anchor simplePos="0" relativeHeight="251657728" behindDoc="1" locked="0" layoutInCell="0" allowOverlap="1">
            <wp:simplePos x="0" y="0"/>
            <wp:positionH relativeFrom="column">
              <wp:posOffset>6553200</wp:posOffset>
            </wp:positionH>
            <wp:positionV relativeFrom="paragraph">
              <wp:posOffset>114935</wp:posOffset>
            </wp:positionV>
            <wp:extent cx="123825" cy="148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000000"/>
                        </a:clrFrom>
                        <a:clrTo>
                          <a:srgbClr val="000000">
                            <a:alpha val="0"/>
                          </a:srgbClr>
                        </a:clrTo>
                      </a:clrChange>
                      <a:extLst>
                        <a:ext uri="{28A0092B-C50C-407E-A947-70E740481C1C}"/>
                      </a:extLst>
                    </a:blip>
                    <a:srcRect/>
                    <a:stretch>
                      <a:fillRect/>
                    </a:stretch>
                  </pic:blipFill>
                  <pic:spPr bwMode="auto">
                    <a:xfrm>
                      <a:off x="0" y="0"/>
                      <a:ext cx="123825" cy="148590"/>
                    </a:xfrm>
                    <a:prstGeom prst="rect">
                      <a:avLst/>
                    </a:prstGeom>
                    <a:noFill/>
                  </pic:spPr>
                </pic:pic>
              </a:graphicData>
            </a:graphic>
          </wp:anchor>
        </w:drawing>
        <w:drawing>
          <wp:anchor simplePos="0" relativeHeight="251657728" behindDoc="1" locked="0" layoutInCell="0" allowOverlap="1">
            <wp:simplePos x="0" y="0"/>
            <wp:positionH relativeFrom="column">
              <wp:posOffset>6553200</wp:posOffset>
            </wp:positionH>
            <wp:positionV relativeFrom="paragraph">
              <wp:posOffset>114935</wp:posOffset>
            </wp:positionV>
            <wp:extent cx="123825" cy="148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23825" cy="148590"/>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2"/>
          <w:szCs w:val="12"/>
          <w:color w:val="auto"/>
        </w:rPr>
        <w:t>2.    To ratify the appointment of Ernst &amp; Young LLP as our independent registered public accounting firm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5809615</wp:posOffset>
            </wp:positionH>
            <wp:positionV relativeFrom="paragraph">
              <wp:posOffset>106045</wp:posOffset>
            </wp:positionV>
            <wp:extent cx="123825" cy="148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3825" cy="148590"/>
                    </a:xfrm>
                    <a:prstGeom prst="rect">
                      <a:avLst/>
                    </a:prstGeom>
                    <a:noFill/>
                  </pic:spPr>
                </pic:pic>
              </a:graphicData>
            </a:graphic>
          </wp:anchor>
        </w:drawing>
        <w:drawing>
          <wp:anchor simplePos="0" relativeHeight="251657728" behindDoc="1" locked="0" layoutInCell="0" allowOverlap="1">
            <wp:simplePos x="0" y="0"/>
            <wp:positionH relativeFrom="column">
              <wp:posOffset>6148705</wp:posOffset>
            </wp:positionH>
            <wp:positionV relativeFrom="paragraph">
              <wp:posOffset>106045</wp:posOffset>
            </wp:positionV>
            <wp:extent cx="123825" cy="148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3825" cy="148590"/>
                    </a:xfrm>
                    <a:prstGeom prst="rect">
                      <a:avLst/>
                    </a:prstGeom>
                    <a:noFill/>
                  </pic:spPr>
                </pic:pic>
              </a:graphicData>
            </a:graphic>
          </wp:anchor>
        </w:drawing>
        <w:drawing>
          <wp:anchor simplePos="0" relativeHeight="251657728" behindDoc="1" locked="0" layoutInCell="0" allowOverlap="1">
            <wp:simplePos x="0" y="0"/>
            <wp:positionH relativeFrom="column">
              <wp:posOffset>6553200</wp:posOffset>
            </wp:positionH>
            <wp:positionV relativeFrom="paragraph">
              <wp:posOffset>106045</wp:posOffset>
            </wp:positionV>
            <wp:extent cx="123825" cy="148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000000"/>
                        </a:clrFrom>
                        <a:clrTo>
                          <a:srgbClr val="000000">
                            <a:alpha val="0"/>
                          </a:srgbClr>
                        </a:clrTo>
                      </a:clrChange>
                      <a:extLst>
                        <a:ext uri="{28A0092B-C50C-407E-A947-70E740481C1C}"/>
                      </a:extLst>
                    </a:blip>
                    <a:srcRect/>
                    <a:stretch>
                      <a:fillRect/>
                    </a:stretch>
                  </pic:blipFill>
                  <pic:spPr bwMode="auto">
                    <a:xfrm>
                      <a:off x="0" y="0"/>
                      <a:ext cx="123825" cy="148590"/>
                    </a:xfrm>
                    <a:prstGeom prst="rect">
                      <a:avLst/>
                    </a:prstGeom>
                    <a:noFill/>
                  </pic:spPr>
                </pic:pic>
              </a:graphicData>
            </a:graphic>
          </wp:anchor>
        </w:drawing>
        <w:drawing>
          <wp:anchor simplePos="0" relativeHeight="251657728" behindDoc="1" locked="0" layoutInCell="0" allowOverlap="1">
            <wp:simplePos x="0" y="0"/>
            <wp:positionH relativeFrom="column">
              <wp:posOffset>6553200</wp:posOffset>
            </wp:positionH>
            <wp:positionV relativeFrom="paragraph">
              <wp:posOffset>106045</wp:posOffset>
            </wp:positionV>
            <wp:extent cx="123825" cy="148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123825" cy="148590"/>
                    </a:xfrm>
                    <a:prstGeom prst="rect">
                      <a:avLst/>
                    </a:prstGeom>
                    <a:noFill/>
                  </pic:spPr>
                </pic:pic>
              </a:graphicData>
            </a:graphic>
          </wp:anchor>
        </w:drawing>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3.    To approve, on a non-binding advisory basis, the compensation of our named executive officers as described in the proxy statement.</w:t>
      </w:r>
    </w:p>
    <w:p>
      <w:pPr>
        <w:spacing w:after="0" w:line="147" w:lineRule="exact"/>
        <w:rPr>
          <w:sz w:val="20"/>
          <w:szCs w:val="20"/>
          <w:color w:val="auto"/>
        </w:rPr>
      </w:pPr>
    </w:p>
    <w:p>
      <w:pPr>
        <w:ind w:left="660"/>
        <w:spacing w:after="0"/>
        <w:tabs>
          <w:tab w:leader="none" w:pos="8560" w:val="left"/>
          <w:tab w:leader="none" w:pos="9540" w:val="left"/>
          <w:tab w:leader="none" w:pos="10180" w:val="left"/>
        </w:tabs>
        <w:rPr>
          <w:sz w:val="20"/>
          <w:szCs w:val="20"/>
          <w:color w:val="auto"/>
        </w:rPr>
      </w:pPr>
      <w:r>
        <w:rPr>
          <w:rFonts w:ascii="Arial" w:cs="Arial" w:eastAsia="Arial" w:hAnsi="Arial"/>
          <w:sz w:val="12"/>
          <w:szCs w:val="12"/>
          <w:b w:val="1"/>
          <w:bCs w:val="1"/>
          <w:color w:val="auto"/>
        </w:rPr>
        <w:t>The Board of Directors recommends you vote FOR EVERY ONE YEAR on proposal 4.</w:t>
      </w:r>
      <w:r>
        <w:rPr>
          <w:sz w:val="20"/>
          <w:szCs w:val="20"/>
          <w:color w:val="auto"/>
        </w:rPr>
        <w:tab/>
      </w:r>
      <w:r>
        <w:rPr>
          <w:rFonts w:ascii="Arial" w:cs="Arial" w:eastAsia="Arial" w:hAnsi="Arial"/>
          <w:sz w:val="12"/>
          <w:szCs w:val="12"/>
          <w:b w:val="1"/>
          <w:bCs w:val="1"/>
          <w:color w:val="auto"/>
        </w:rPr>
        <w:t>1 Year  2 Years</w:t>
        <w:tab/>
        <w:t>3 Years</w:t>
      </w:r>
      <w:r>
        <w:rPr>
          <w:sz w:val="20"/>
          <w:szCs w:val="20"/>
          <w:color w:val="auto"/>
        </w:rPr>
        <w:tab/>
      </w:r>
      <w:r>
        <w:rPr>
          <w:rFonts w:ascii="Arial" w:cs="Arial" w:eastAsia="Arial" w:hAnsi="Arial"/>
          <w:sz w:val="11"/>
          <w:szCs w:val="11"/>
          <w:b w:val="1"/>
          <w:bCs w:val="1"/>
          <w:color w:val="auto"/>
        </w:rPr>
        <w:t>Abstain</w:t>
      </w:r>
    </w:p>
    <w:p>
      <w:pPr>
        <w:spacing w:after="0" w:line="175" w:lineRule="exact"/>
        <w:rPr>
          <w:sz w:val="20"/>
          <w:szCs w:val="20"/>
          <w:color w:val="auto"/>
        </w:rPr>
      </w:pPr>
    </w:p>
    <w:p>
      <w:pPr>
        <w:ind w:left="920" w:right="3260" w:hanging="242"/>
        <w:spacing w:after="0" w:line="239" w:lineRule="auto"/>
        <w:rPr>
          <w:sz w:val="20"/>
          <w:szCs w:val="20"/>
          <w:color w:val="auto"/>
        </w:rPr>
      </w:pPr>
      <w:r>
        <w:rPr>
          <w:rFonts w:ascii="Arial" w:cs="Arial" w:eastAsia="Arial" w:hAnsi="Arial"/>
          <w:sz w:val="12"/>
          <w:szCs w:val="12"/>
          <w:color w:val="auto"/>
        </w:rPr>
        <w:t>4.   To approve, on a non-binding advisory basis, the frequency of future advisory votes to approve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5504180</wp:posOffset>
            </wp:positionH>
            <wp:positionV relativeFrom="paragraph">
              <wp:posOffset>-153670</wp:posOffset>
            </wp:positionV>
            <wp:extent cx="123825" cy="148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3825" cy="148590"/>
                    </a:xfrm>
                    <a:prstGeom prst="rect">
                      <a:avLst/>
                    </a:prstGeom>
                    <a:noFill/>
                  </pic:spPr>
                </pic:pic>
              </a:graphicData>
            </a:graphic>
          </wp:anchor>
        </w:drawing>
        <w:drawing>
          <wp:anchor simplePos="0" relativeHeight="251657728" behindDoc="1" locked="0" layoutInCell="0" allowOverlap="1">
            <wp:simplePos x="0" y="0"/>
            <wp:positionH relativeFrom="column">
              <wp:posOffset>5809615</wp:posOffset>
            </wp:positionH>
            <wp:positionV relativeFrom="paragraph">
              <wp:posOffset>-170180</wp:posOffset>
            </wp:positionV>
            <wp:extent cx="123825" cy="148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3825" cy="148590"/>
                    </a:xfrm>
                    <a:prstGeom prst="rect">
                      <a:avLst/>
                    </a:prstGeom>
                    <a:noFill/>
                  </pic:spPr>
                </pic:pic>
              </a:graphicData>
            </a:graphic>
          </wp:anchor>
        </w:drawing>
        <w:drawing>
          <wp:anchor simplePos="0" relativeHeight="251657728" behindDoc="1" locked="0" layoutInCell="0" allowOverlap="1">
            <wp:simplePos x="0" y="0"/>
            <wp:positionH relativeFrom="column">
              <wp:posOffset>6148705</wp:posOffset>
            </wp:positionH>
            <wp:positionV relativeFrom="paragraph">
              <wp:posOffset>-170180</wp:posOffset>
            </wp:positionV>
            <wp:extent cx="123825" cy="148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3825" cy="148590"/>
                    </a:xfrm>
                    <a:prstGeom prst="rect">
                      <a:avLst/>
                    </a:prstGeom>
                    <a:noFill/>
                  </pic:spPr>
                </pic:pic>
              </a:graphicData>
            </a:graphic>
          </wp:anchor>
        </w:drawing>
        <w:drawing>
          <wp:anchor simplePos="0" relativeHeight="251657728" behindDoc="1" locked="0" layoutInCell="0" allowOverlap="1">
            <wp:simplePos x="0" y="0"/>
            <wp:positionH relativeFrom="column">
              <wp:posOffset>6553200</wp:posOffset>
            </wp:positionH>
            <wp:positionV relativeFrom="paragraph">
              <wp:posOffset>-170180</wp:posOffset>
            </wp:positionV>
            <wp:extent cx="123825" cy="148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000000"/>
                        </a:clrFrom>
                        <a:clrTo>
                          <a:srgbClr val="000000">
                            <a:alpha val="0"/>
                          </a:srgbClr>
                        </a:clrTo>
                      </a:clrChange>
                      <a:extLst>
                        <a:ext uri="{28A0092B-C50C-407E-A947-70E740481C1C}"/>
                      </a:extLst>
                    </a:blip>
                    <a:srcRect/>
                    <a:stretch>
                      <a:fillRect/>
                    </a:stretch>
                  </pic:blipFill>
                  <pic:spPr bwMode="auto">
                    <a:xfrm>
                      <a:off x="0" y="0"/>
                      <a:ext cx="123825" cy="148590"/>
                    </a:xfrm>
                    <a:prstGeom prst="rect">
                      <a:avLst/>
                    </a:prstGeom>
                    <a:noFill/>
                  </pic:spPr>
                </pic:pic>
              </a:graphicData>
            </a:graphic>
          </wp:anchor>
        </w:drawing>
        <w:drawing>
          <wp:anchor simplePos="0" relativeHeight="251657728" behindDoc="1" locked="0" layoutInCell="0" allowOverlap="1">
            <wp:simplePos x="0" y="0"/>
            <wp:positionH relativeFrom="column">
              <wp:posOffset>6553200</wp:posOffset>
            </wp:positionH>
            <wp:positionV relativeFrom="paragraph">
              <wp:posOffset>-170180</wp:posOffset>
            </wp:positionV>
            <wp:extent cx="123825" cy="148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123825" cy="148590"/>
                    </a:xfrm>
                    <a:prstGeom prst="rect">
                      <a:avLst/>
                    </a:prstGeom>
                    <a:noFill/>
                  </pic:spPr>
                </pic:pic>
              </a:graphicData>
            </a:graphic>
          </wp:anchor>
        </w:drawing>
      </w:r>
    </w:p>
    <w:p>
      <w:pPr>
        <w:spacing w:after="0" w:line="120" w:lineRule="exact"/>
        <w:rPr>
          <w:sz w:val="20"/>
          <w:szCs w:val="20"/>
          <w:color w:val="auto"/>
        </w:rPr>
      </w:pPr>
    </w:p>
    <w:p>
      <w:pPr>
        <w:ind w:left="660" w:right="2740"/>
        <w:spacing w:after="0" w:line="264" w:lineRule="auto"/>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To consider and transact such other business as may properly come before the Annual Meeting or any adjournment or postponement</w:t>
      </w:r>
      <w:r>
        <w:rPr>
          <w:rFonts w:ascii="Arial" w:cs="Arial" w:eastAsia="Arial" w:hAnsi="Arial"/>
          <w:sz w:val="12"/>
          <w:szCs w:val="12"/>
          <w:b w:val="1"/>
          <w:bCs w:val="1"/>
          <w:color w:val="auto"/>
        </w:rPr>
        <w:t xml:space="preserve"> </w:t>
      </w:r>
      <w:r>
        <w:rPr>
          <w:rFonts w:ascii="Arial" w:cs="Arial" w:eastAsia="Arial" w:hAnsi="Arial"/>
          <w:sz w:val="12"/>
          <w:szCs w:val="12"/>
          <w:color w:val="auto"/>
        </w:rPr>
        <w:t>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60" w:right="2020"/>
        <w:spacing w:after="0" w:line="235"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85090</wp:posOffset>
            </wp:positionV>
            <wp:extent cx="1734820" cy="1816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34820" cy="181610"/>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85090</wp:posOffset>
            </wp:positionV>
            <wp:extent cx="1205865" cy="1816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05865" cy="181610"/>
                    </a:xfrm>
                    <a:prstGeom prst="rect">
                      <a:avLst/>
                    </a:prstGeom>
                    <a:noFill/>
                  </pic:spPr>
                </pic:pic>
              </a:graphicData>
            </a:graphic>
          </wp:anchor>
        </w:drawing>
      </w:r>
    </w:p>
    <w:p>
      <w:pPr>
        <w:spacing w:after="0" w:line="394" w:lineRule="exact"/>
        <w:rPr>
          <w:sz w:val="20"/>
          <w:szCs w:val="20"/>
          <w:color w:val="auto"/>
        </w:rPr>
      </w:pPr>
    </w:p>
    <w:p>
      <w:pPr>
        <w:ind w:left="520"/>
        <w:spacing w:after="0"/>
        <w:tabs>
          <w:tab w:leader="none" w:pos="2920" w:val="left"/>
          <w:tab w:leader="none" w:pos="6100" w:val="left"/>
          <w:tab w:leader="none" w:pos="758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tab/>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-83185</wp:posOffset>
            </wp:positionV>
            <wp:extent cx="6740525" cy="990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40525" cy="99060"/>
                    </a:xfrm>
                    <a:prstGeom prst="rect">
                      <a:avLst/>
                    </a:prstGeom>
                    <a:noFill/>
                  </pic:spPr>
                </pic:pic>
              </a:graphicData>
            </a:graphic>
          </wp:anchor>
        </w:drawing>
      </w:r>
    </w:p>
    <w:p>
      <w:pPr>
        <w:sectPr>
          <w:pgSz w:w="11900" w:h="16838" w:orient="portrait"/>
          <w:cols w:equalWidth="0" w:num="1">
            <w:col w:w="10960"/>
          </w:cols>
          <w:pgMar w:left="320" w:top="473" w:right="61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 xml:space="preserve">The Notice and Proxy Statement and Annual Report are available at </w:t>
      </w:r>
      <w:r>
        <w:rPr>
          <w:rFonts w:ascii="Arial" w:cs="Arial" w:eastAsia="Arial" w:hAnsi="Arial"/>
          <w:sz w:val="17"/>
          <w:szCs w:val="17"/>
          <w:u w:val="single" w:color="auto"/>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 — — — — — — — — — — — — — — — — — — — — — — — — — — — — — — — — — — — — — — — — — — — — — — — —</w:t>
      </w:r>
    </w:p>
    <w:p>
      <w:pPr>
        <w:ind w:left="10200"/>
        <w:spacing w:after="0"/>
        <w:rPr>
          <w:sz w:val="20"/>
          <w:szCs w:val="20"/>
          <w:color w:val="auto"/>
        </w:rPr>
      </w:pPr>
      <w:r>
        <w:rPr>
          <w:rFonts w:ascii="Arial" w:cs="Arial" w:eastAsia="Arial" w:hAnsi="Arial"/>
          <w:sz w:val="12"/>
          <w:szCs w:val="12"/>
          <w:color w:val="auto"/>
        </w:rPr>
        <w:t>V01439-P87880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81280</wp:posOffset>
            </wp:positionV>
            <wp:extent cx="7000240" cy="29902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000240" cy="2990215"/>
                    </a:xfrm>
                    <a:prstGeom prst="rect">
                      <a:avLst/>
                    </a:prstGeom>
                    <a:noFill/>
                  </pic:spPr>
                </pic:pic>
              </a:graphicData>
            </a:graphic>
          </wp:anchor>
        </w:drawing>
      </w:r>
    </w:p>
    <w:p>
      <w:pPr>
        <w:spacing w:after="0" w:line="358"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auto"/>
        </w:rPr>
        <w:t>WYNN RESORTS, LIMITED</w:t>
      </w:r>
    </w:p>
    <w:p>
      <w:pPr>
        <w:spacing w:after="0" w:line="21"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auto"/>
        </w:rPr>
        <w:t>Proxy for Annual Meeting of Shareholders</w:t>
      </w:r>
    </w:p>
    <w:p>
      <w:pPr>
        <w:jc w:val="center"/>
        <w:ind w:left="500"/>
        <w:spacing w:after="0"/>
        <w:rPr>
          <w:sz w:val="20"/>
          <w:szCs w:val="20"/>
          <w:color w:val="auto"/>
        </w:rPr>
      </w:pPr>
      <w:r>
        <w:rPr>
          <w:rFonts w:ascii="Arial" w:cs="Arial" w:eastAsia="Arial" w:hAnsi="Arial"/>
          <w:sz w:val="17"/>
          <w:szCs w:val="17"/>
          <w:b w:val="1"/>
          <w:bCs w:val="1"/>
          <w:color w:val="auto"/>
        </w:rPr>
        <w:t>To Be Held on May 4, 2023</w:t>
      </w:r>
    </w:p>
    <w:p>
      <w:pPr>
        <w:jc w:val="center"/>
        <w:ind w:left="500"/>
        <w:spacing w:after="0"/>
        <w:rPr>
          <w:sz w:val="20"/>
          <w:szCs w:val="20"/>
          <w:color w:val="auto"/>
        </w:rPr>
      </w:pPr>
      <w:r>
        <w:rPr>
          <w:rFonts w:ascii="Arial" w:cs="Arial" w:eastAsia="Arial" w:hAnsi="Arial"/>
          <w:sz w:val="17"/>
          <w:szCs w:val="17"/>
          <w:b w:val="1"/>
          <w:bCs w:val="1"/>
          <w:color w:val="auto"/>
        </w:rPr>
        <w:t>This proxy is solicited by the Board of Directors</w:t>
      </w:r>
    </w:p>
    <w:p>
      <w:pPr>
        <w:spacing w:after="0" w:line="200" w:lineRule="exact"/>
        <w:rPr>
          <w:sz w:val="20"/>
          <w:szCs w:val="20"/>
          <w:color w:val="auto"/>
        </w:rPr>
      </w:pPr>
    </w:p>
    <w:p>
      <w:pPr>
        <w:spacing w:after="0" w:line="281" w:lineRule="exact"/>
        <w:rPr>
          <w:sz w:val="20"/>
          <w:szCs w:val="20"/>
          <w:color w:val="auto"/>
        </w:rPr>
      </w:pPr>
    </w:p>
    <w:p>
      <w:pPr>
        <w:jc w:val="both"/>
        <w:ind w:left="480" w:right="240"/>
        <w:spacing w:after="0" w:line="241" w:lineRule="auto"/>
        <w:rPr>
          <w:sz w:val="20"/>
          <w:szCs w:val="20"/>
          <w:color w:val="auto"/>
        </w:rPr>
      </w:pPr>
      <w:r>
        <w:rPr>
          <w:rFonts w:ascii="Arial" w:cs="Arial" w:eastAsia="Arial" w:hAnsi="Arial"/>
          <w:sz w:val="17"/>
          <w:szCs w:val="17"/>
          <w:color w:val="auto"/>
        </w:rPr>
        <w:t>The undersigned shareholder of Wynn Resorts, Limited, a Nevada corporation (the “Company”), hereby appoints Craig S. Billings or Ellen F. Whittemore, and each of them, as proxies for the undersigned, each with full power of substitution, to attend the Annual Meeting of Shareholders of the Company to be held virtually at www.virtualshareholdermeeting.com/WYNN2023 on May 4, 2023, at 9:00 a.m., local time, (the “Annual Meeting”), and at any adjournment(s) or postponement(s) thereof, to cast on behalf of the undersigned all votes that the undersigned is entitled to cast at such Annual Meeting and otherwise to represent the undersigned at the Annual Meeting, with the same effect as if the undersigned were present. The undersigned instructs such proxies or their substitutes to act on the following matters as specified by the undersigned, and to vote in such manner as such proxies or their substitutes may determine on any other matters that may properly come before the Annual Meeting.The undersigned hereby acknowledges receipt of the Notice of Annual Meeting of Shareholders and the accompanyingProxy Statement and revokes any proxy previously given with respect to such shares.</w:t>
      </w:r>
    </w:p>
    <w:p>
      <w:pPr>
        <w:spacing w:after="0" w:line="202" w:lineRule="exact"/>
        <w:rPr>
          <w:sz w:val="20"/>
          <w:szCs w:val="20"/>
          <w:color w:val="auto"/>
        </w:rPr>
      </w:pPr>
    </w:p>
    <w:p>
      <w:pPr>
        <w:jc w:val="both"/>
        <w:ind w:left="480" w:right="240"/>
        <w:spacing w:after="0" w:line="248" w:lineRule="auto"/>
        <w:rPr>
          <w:sz w:val="20"/>
          <w:szCs w:val="20"/>
          <w:color w:val="auto"/>
        </w:rPr>
      </w:pPr>
      <w:r>
        <w:rPr>
          <w:rFonts w:ascii="Arial" w:cs="Arial" w:eastAsia="Arial" w:hAnsi="Arial"/>
          <w:sz w:val="17"/>
          <w:szCs w:val="17"/>
          <w:b w:val="1"/>
          <w:bCs w:val="1"/>
          <w:color w:val="auto"/>
        </w:rPr>
        <w:t>THE VOTES ENTITLED TO BE CAST BY THE UNDERSIGNED WILL BE CAST IN ACCORDANCE WITH THE SPECIFICATIONS MADE. IF THIS PROXY IS EXECUTED BUT NO SPECIFICATION IS MADE, THE VOTES ENTITLED TO BE CAST BY THE UNDERSIGNED WILL BE CAST “FOR” ALL NOMINEES LISTED ON PROPOSAL NO. 1, “FOR” PROPOSAL NO. 2, “FOR” PROPOSAL NO. 3 AND FOR “EVERY ONE YEAR” ON PROPOSAL NO. 4 AND THEY WILL BE VOTED IN THE DISCRETION OF THE PROXIES OR THEIR SUBSTITUTES ON ANY OTHER MATTER AT THE ANNUAL MEETING OR ANY 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-2540</wp:posOffset>
            </wp:positionV>
            <wp:extent cx="7000240" cy="12223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000240" cy="122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Continued and to be signed on reverse side</w:t>
      </w:r>
    </w:p>
    <w:sectPr>
      <w:pgSz w:w="11900" w:h="16838" w:orient="portrait"/>
      <w:cols w:equalWidth="0" w:num="1">
        <w:col w:w="11340"/>
      </w:cols>
      <w:pgMar w:left="320" w:top="4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
      <w:numFmt w:val="bullet"/>
      <w:start w:val="1"/>
    </w:lvl>
    <w:lvl w:ilvl="1">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lvl w:ilvl="1">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
      <w:numFmt w:val="bullet"/>
      <w:start w:val="1"/>
    </w:lvl>
    <w:lvl w:ilvl="1">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lvl w:ilvl="1">
      <w:lvlJc w:val="left"/>
      <w:lvlText w:val="//"/>
      <w:numFmt w:val="bullet"/>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lvl w:ilvl="1">
      <w:lvlJc w:val="left"/>
      <w:lvlText w:val="//"/>
      <w:numFmt w:val="bullet"/>
      <w:start w:val="1"/>
    </w:lvl>
  </w:abstractNum>
  <w:abstractNum w:abstractNumId="32">
    <w:nsid w:val="2CD89A32"/>
    <w:multiLevelType w:val="hybridMultilevel"/>
    <w:lvl w:ilvl="0">
      <w:lvlJc w:val="left"/>
      <w:lvlText w:val="(%1)"/>
      <w:numFmt w:val="decimal"/>
      <w:start w:val="4"/>
    </w:lvl>
  </w:abstractNum>
  <w:abstractNum w:abstractNumId="33">
    <w:nsid w:val="57E4CCAF"/>
    <w:multiLevelType w:val="hybridMultilevel"/>
    <w:lvl w:ilvl="0">
      <w:lvlJc w:val="left"/>
      <w:lvlText w:val="(%1)"/>
      <w:numFmt w:val="lowerRoman"/>
      <w:start w:val="1"/>
    </w:lvl>
  </w:abstractNum>
  <w:abstractNum w:abstractNumId="34">
    <w:nsid w:val="7A6D8D3C"/>
    <w:multiLevelType w:val="hybridMultilevel"/>
    <w:lvl w:ilvl="0">
      <w:lvlJc w:val="left"/>
      <w:lvlText w:val="(%1)"/>
      <w:numFmt w:val="lowerRoman"/>
      <w:start w:val="1"/>
    </w:lvl>
  </w:abstractNum>
  <w:abstractNum w:abstractNumId="35">
    <w:nsid w:val="4B588F54"/>
    <w:multiLevelType w:val="hybridMultilevel"/>
    <w:lvl w:ilvl="0">
      <w:lvlJc w:val="left"/>
      <w:lvlText w:val="(%1)"/>
      <w:numFmt w:val="lowerRoman"/>
      <w:start w:val="1"/>
    </w:lvl>
  </w:abstractNum>
  <w:abstractNum w:abstractNumId="36">
    <w:nsid w:val="542289EC"/>
    <w:multiLevelType w:val="hybridMultilevel"/>
    <w:lvl w:ilvl="0">
      <w:lvlJc w:val="left"/>
      <w:lvlText w:val="(%1)"/>
      <w:numFmt w:val="lowerRoman"/>
      <w:start w:val="1"/>
    </w:lvl>
  </w:abstractNum>
  <w:abstractNum w:abstractNumId="37">
    <w:nsid w:val="6DE91B18"/>
    <w:multiLevelType w:val="hybridMultilevel"/>
    <w:lvl w:ilvl="0">
      <w:lvlJc w:val="left"/>
      <w:lvlText w:val="(%1)"/>
      <w:numFmt w:val="decimal"/>
      <w:start w:val="7"/>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2"/>
    </w:lvl>
    <w:lvl w:ilvl="1">
      <w:lvlJc w:val="left"/>
      <w:lvlText w:val="//"/>
      <w:numFmt w:val="bullet"/>
      <w:start w:val="1"/>
    </w:lvl>
  </w:abstractNum>
  <w:abstractNum w:abstractNumId="40">
    <w:nsid w:val="32FFF902"/>
    <w:multiLevelType w:val="hybridMultilevel"/>
    <w:lvl w:ilvl="0">
      <w:lvlJc w:val="left"/>
      <w:lvlText w:val="(%1)"/>
      <w:numFmt w:val="decimal"/>
      <w:start w:val="1"/>
    </w:lvl>
    <w:lvl w:ilvl="1">
      <w:lvlJc w:val="left"/>
      <w:lvlText w:val="//"/>
      <w:numFmt w:val="bullet"/>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lowerRoman"/>
      <w:start w:val="4"/>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lvl w:ilvl="1">
      <w:lvlJc w:val="left"/>
      <w:lvlText w:val="//"/>
      <w:numFmt w:val="bullet"/>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lowerLetter"/>
      <w:start w:val="2"/>
    </w:lvl>
  </w:abstractNum>
  <w:abstractNum w:abstractNumId="48">
    <w:nsid w:val="12E685FB"/>
    <w:multiLevelType w:val="hybridMultilevel"/>
    <w:lvl w:ilvl="0">
      <w:lvlJc w:val="left"/>
      <w:lvlText w:val="(%1)"/>
      <w:numFmt w:val="decimal"/>
      <w:start w:val="1"/>
    </w:lvl>
    <w:lvl w:ilvl="1">
      <w:lvlJc w:val="left"/>
      <w:lvlText w:val="//"/>
      <w:numFmt w:val="bullet"/>
      <w:start w:val="1"/>
    </w:lvl>
  </w:abstractNum>
  <w:abstractNum w:abstractNumId="49">
    <w:nsid w:val="70C6A529"/>
    <w:multiLevelType w:val="hybridMultilevel"/>
    <w:lvl w:ilvl="0">
      <w:lvlJc w:val="left"/>
      <w:lvlText w:val="(%1)"/>
      <w:numFmt w:val="decimal"/>
      <w:start w:val="2"/>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702"/>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2"/>
    </w:lvl>
  </w:abstractNum>
  <w:abstractNum w:abstractNumId="55">
    <w:nsid w:val="275AC79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2023-03-22T19:53:18Z</dcterms:created>
  <dcterms:modified xsi:type="dcterms:W3CDTF">2023-03-22T19:53:18Z</dcterms:modified>
</cp:coreProperties>
</file>