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340995</wp:posOffset>
            </wp:positionV>
            <wp:extent cx="68776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255270</wp:posOffset>
            </wp:positionV>
            <wp:extent cx="6877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158750</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700" w:hanging="665"/>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w:t>
      </w:r>
    </w:p>
    <w:p>
      <w:pPr>
        <w:spacing w:after="0" w:line="14" w:lineRule="exact"/>
        <w:rPr>
          <w:sz w:val="24"/>
          <w:szCs w:val="24"/>
          <w:color w:val="auto"/>
        </w:rPr>
      </w:pPr>
    </w:p>
    <w:p>
      <w:pPr>
        <w:ind w:left="700"/>
        <w:spacing w:after="0"/>
        <w:rPr>
          <w:sz w:val="20"/>
          <w:szCs w:val="20"/>
          <w:color w:val="auto"/>
        </w:rPr>
      </w:pPr>
      <w:r>
        <w:rPr>
          <w:rFonts w:ascii="Arial" w:cs="Arial" w:eastAsia="Arial" w:hAnsi="Arial"/>
          <w:sz w:val="22"/>
          <w:szCs w:val="22"/>
          <w:b w:val="1"/>
          <w:bCs w:val="1"/>
          <w:color w:val="auto"/>
        </w:rPr>
        <w:t>ACT OF 1934</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6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00" w:right="1040" w:hanging="665"/>
        <w:spacing w:after="0" w:line="248"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-8255</wp:posOffset>
            </wp:positionV>
            <wp:extent cx="1295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180340</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1720" w:type="dxa"/>
        <w:tblCellMar>
          <w:top w:w="0" w:type="dxa"/>
          <w:left w:w="0" w:type="dxa"/>
          <w:bottom w:w="0" w:type="dxa"/>
          <w:right w:w="0" w:type="dxa"/>
        </w:tblCellMar>
      </w:tblPr>
      <w:tr>
        <w:trPr>
          <w:trHeight w:val="234"/>
        </w:trPr>
        <w:tc>
          <w:tcPr>
            <w:tcW w:w="3940" w:type="dxa"/>
            <w:vAlign w:val="bottom"/>
          </w:tcPr>
          <w:p>
            <w:pPr>
              <w:jc w:val="center"/>
              <w:ind w:right="1962"/>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3200" w:type="dxa"/>
            <w:vAlign w:val="bottom"/>
          </w:tcPr>
          <w:p>
            <w:pPr>
              <w:jc w:val="center"/>
              <w:ind w:left="1982"/>
              <w:spacing w:after="0"/>
              <w:rPr>
                <w:sz w:val="20"/>
                <w:szCs w:val="20"/>
                <w:color w:val="auto"/>
              </w:rPr>
            </w:pPr>
            <w:r>
              <w:rPr>
                <w:rFonts w:ascii="Arial" w:cs="Arial" w:eastAsia="Arial" w:hAnsi="Arial"/>
                <w:sz w:val="18"/>
                <w:szCs w:val="18"/>
                <w:b w:val="1"/>
                <w:bCs w:val="1"/>
                <w:color w:val="auto"/>
                <w:w w:val="89"/>
              </w:rPr>
              <w:t>88-0494875</w:t>
            </w:r>
          </w:p>
        </w:tc>
      </w:tr>
      <w:tr>
        <w:trPr>
          <w:trHeight w:val="180"/>
        </w:trPr>
        <w:tc>
          <w:tcPr>
            <w:tcW w:w="3940" w:type="dxa"/>
            <w:vAlign w:val="bottom"/>
          </w:tcPr>
          <w:p>
            <w:pPr>
              <w:jc w:val="center"/>
              <w:ind w:right="1982"/>
              <w:spacing w:after="0"/>
              <w:rPr>
                <w:sz w:val="20"/>
                <w:szCs w:val="20"/>
                <w:color w:val="auto"/>
              </w:rPr>
            </w:pPr>
            <w:r>
              <w:rPr>
                <w:rFonts w:ascii="Arial" w:cs="Arial" w:eastAsia="Arial" w:hAnsi="Arial"/>
                <w:sz w:val="14"/>
                <w:szCs w:val="14"/>
                <w:b w:val="1"/>
                <w:bCs w:val="1"/>
                <w:color w:val="auto"/>
                <w:w w:val="93"/>
              </w:rPr>
              <w:t>(State or other jurisdiction of</w:t>
            </w:r>
          </w:p>
        </w:tc>
        <w:tc>
          <w:tcPr>
            <w:tcW w:w="3200" w:type="dxa"/>
            <w:vAlign w:val="bottom"/>
          </w:tcPr>
          <w:p>
            <w:pPr>
              <w:jc w:val="center"/>
              <w:ind w:left="19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940" w:type="dxa"/>
            <w:vAlign w:val="bottom"/>
          </w:tcPr>
          <w:p>
            <w:pPr>
              <w:jc w:val="center"/>
              <w:ind w:right="1982"/>
              <w:spacing w:after="0"/>
              <w:rPr>
                <w:sz w:val="20"/>
                <w:szCs w:val="20"/>
                <w:color w:val="auto"/>
              </w:rPr>
            </w:pPr>
            <w:r>
              <w:rPr>
                <w:rFonts w:ascii="Arial" w:cs="Arial" w:eastAsia="Arial" w:hAnsi="Arial"/>
                <w:sz w:val="14"/>
                <w:szCs w:val="14"/>
                <w:b w:val="1"/>
                <w:bCs w:val="1"/>
                <w:color w:val="auto"/>
                <w:w w:val="94"/>
              </w:rPr>
              <w:t>incorporation or organization)</w:t>
            </w:r>
          </w:p>
        </w:tc>
        <w:tc>
          <w:tcPr>
            <w:tcW w:w="3200" w:type="dxa"/>
            <w:vAlign w:val="bottom"/>
          </w:tcPr>
          <w:p>
            <w:pPr>
              <w:jc w:val="center"/>
              <w:ind w:left="1982"/>
              <w:spacing w:after="0"/>
              <w:rPr>
                <w:sz w:val="20"/>
                <w:szCs w:val="20"/>
                <w:color w:val="auto"/>
              </w:rPr>
            </w:pPr>
            <w:r>
              <w:rPr>
                <w:rFonts w:ascii="Arial" w:cs="Arial" w:eastAsia="Arial" w:hAnsi="Arial"/>
                <w:sz w:val="14"/>
                <w:szCs w:val="14"/>
                <w:b w:val="1"/>
                <w:bCs w:val="1"/>
                <w:color w:val="auto"/>
                <w:w w:val="96"/>
              </w:rPr>
              <w:t>Identification No.)</w:t>
            </w:r>
          </w:p>
        </w:tc>
      </w:tr>
    </w:tbl>
    <w:p>
      <w:pPr>
        <w:jc w:val="center"/>
        <w:ind w:right="-39"/>
        <w:spacing w:after="0"/>
        <w:rPr>
          <w:sz w:val="20"/>
          <w:szCs w:val="20"/>
          <w:color w:val="auto"/>
        </w:rPr>
      </w:pPr>
      <w:r>
        <w:rPr>
          <w:rFonts w:ascii="Arial" w:cs="Arial" w:eastAsia="Arial" w:hAnsi="Arial"/>
          <w:sz w:val="18"/>
          <w:szCs w:val="18"/>
          <w:b w:val="1"/>
          <w:bCs w:val="1"/>
          <w:color w:val="auto"/>
        </w:rPr>
        <w:t>3131 Las Vegas Boulevard South - Las Vegas, Nevada 89109</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(702) 770-7555</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6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-127635</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98"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2"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22"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387" w:right="27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2700" w:space="720"/>
            <w:col w:w="2620" w:space="720"/>
            <w:col w:w="3060" w:space="720"/>
            <w:col w:w="840"/>
          </w:cols>
          <w:pgMar w:left="240" w:top="387"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4">
            <w:col w:w="2700" w:space="720"/>
            <w:col w:w="2620" w:space="720"/>
            <w:col w:w="3060" w:space="720"/>
            <w:col w:w="840"/>
          </w:cols>
          <w:pgMar w:left="240" w:top="387" w:right="279" w:bottom="1440" w:gutter="0" w:footer="0" w:header="0"/>
          <w:type w:val="continuous"/>
        </w:sectPr>
      </w:pPr>
    </w:p>
    <w:p>
      <w:pPr>
        <w:spacing w:after="0" w:line="33"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63" w:lineRule="exact"/>
        <w:rPr>
          <w:sz w:val="24"/>
          <w:szCs w:val="24"/>
          <w:color w:val="auto"/>
        </w:rPr>
      </w:pPr>
    </w:p>
    <w:p>
      <w:pPr>
        <w:sectPr>
          <w:pgSz w:w="11900" w:h="16838" w:orient="portrait"/>
          <w:cols w:equalWidth="0" w:num="4">
            <w:col w:w="8620" w:space="220"/>
            <w:col w:w="260" w:space="100"/>
            <w:col w:w="160" w:space="220"/>
            <w:col w:w="1800"/>
          </w:cols>
          <w:pgMar w:left="240" w:top="387" w:right="279" w:bottom="1440" w:gutter="0" w:footer="0" w:header="0"/>
          <w:type w:val="continuous"/>
        </w:sect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63" w:lineRule="exact"/>
        <w:rPr>
          <w:sz w:val="24"/>
          <w:szCs w:val="24"/>
          <w:color w:val="auto"/>
        </w:rPr>
      </w:pPr>
    </w:p>
    <w:p>
      <w:pPr>
        <w:ind w:left="440"/>
        <w:spacing w:after="0"/>
        <w:rPr>
          <w:sz w:val="20"/>
          <w:szCs w:val="20"/>
          <w:color w:val="auto"/>
        </w:rPr>
      </w:pPr>
      <w:r>
        <w:rPr>
          <w:rFonts w:ascii="Arial" w:cs="Arial" w:eastAsia="Arial" w:hAnsi="Arial"/>
          <w:sz w:val="18"/>
          <w:szCs w:val="18"/>
          <w:color w:val="auto"/>
        </w:rPr>
        <w:t>Wynn Resorts Holdings, LLC owns all of the membership interests of the Registrant as of August 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177800</wp:posOffset>
            </wp:positionV>
            <wp:extent cx="2169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ind w:right="360" w:firstLine="432"/>
        <w:spacing w:after="0" w:line="277" w:lineRule="auto"/>
        <w:rPr>
          <w:sz w:val="20"/>
          <w:szCs w:val="20"/>
          <w:color w:val="auto"/>
        </w:rPr>
      </w:pPr>
      <w:r>
        <w:rPr>
          <w:rFonts w:ascii="Arial" w:cs="Arial" w:eastAsia="Arial" w:hAnsi="Arial"/>
          <w:sz w:val="18"/>
          <w:szCs w:val="18"/>
          <w:color w:val="auto"/>
        </w:rPr>
        <w:t>The Registrant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151765</wp:posOffset>
            </wp:positionV>
            <wp:extent cx="68776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66040</wp:posOffset>
            </wp:positionV>
            <wp:extent cx="6877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380"/>
          </w:cols>
          <w:pgMar w:left="240" w:top="387" w:right="27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9800" w:type="dxa"/>
            <w:vAlign w:val="bottom"/>
            <w:gridSpan w:val="13"/>
          </w:tcPr>
          <w:p>
            <w:pPr>
              <w:spacing w:after="0"/>
              <w:rPr>
                <w:sz w:val="20"/>
                <w:szCs w:val="20"/>
                <w:color w:val="auto"/>
              </w:rPr>
            </w:pPr>
            <w:r>
              <w:rPr>
                <w:rFonts w:ascii="Arial" w:cs="Arial" w:eastAsia="Arial" w:hAnsi="Arial"/>
                <w:sz w:val="18"/>
                <w:szCs w:val="18"/>
                <w:b w:val="1"/>
                <w:bCs w:val="1"/>
                <w:color w:val="auto"/>
              </w:rPr>
              <w:t>Financial Information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3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800" w:type="dxa"/>
            <w:vAlign w:val="bottom"/>
            <w:gridSpan w:val="13"/>
          </w:tcPr>
          <w:p>
            <w:pPr>
              <w:spacing w:after="0"/>
              <w:rPr>
                <w:sz w:val="20"/>
                <w:szCs w:val="20"/>
                <w:color w:val="auto"/>
              </w:rPr>
            </w:pPr>
            <w:r>
              <w:rPr>
                <w:rFonts w:ascii="Arial" w:cs="Arial" w:eastAsia="Arial" w:hAnsi="Arial"/>
                <w:sz w:val="18"/>
                <w:szCs w:val="18"/>
                <w:color w:val="auto"/>
              </w:rPr>
              <w:t>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6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June 30, 2014 (unaudited) and December 31, 2013</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60" w:type="dxa"/>
            <w:vAlign w:val="bottom"/>
            <w:gridSpan w:val="12"/>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Condensed Consolidated Statements of Comprehensive Income (Loss) (unaudited) – Three and six months ended June 30,</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2014 and 2013</w:t>
              </w:r>
            </w:hyperlink>
          </w:p>
        </w:tc>
        <w:tc>
          <w:tcPr>
            <w:tcW w:w="7740" w:type="dxa"/>
            <w:vAlign w:val="bottom"/>
            <w:tcBorders>
              <w:top w:val="single" w:sz="8" w:color="0000EE"/>
            </w:tcBorders>
            <w:gridSpan w:val="8"/>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4</w:t>
              </w:r>
            </w:hyperlink>
          </w:p>
        </w:tc>
      </w:tr>
      <w:tr>
        <w:trPr>
          <w:trHeight w:val="372"/>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60" w:type="dxa"/>
            <w:vAlign w:val="bottom"/>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Cash Flows (unaudited) – Six months ended June 30, 2014 and 2013</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Notes to Condensed Consolidated Financial Statements (unaudited)</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6</w:t>
              </w:r>
            </w:hyperlink>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Management’s Discussion and Analysis of Financial Condition and Results of Operations</w:t>
              </w:r>
            </w:hyperlink>
          </w:p>
        </w:tc>
        <w:tc>
          <w:tcPr>
            <w:tcW w:w="334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5">
              <w:r>
                <w:rPr>
                  <w:rFonts w:ascii="Arial" w:cs="Arial" w:eastAsia="Arial" w:hAnsi="Arial"/>
                  <w:sz w:val="18"/>
                  <w:szCs w:val="18"/>
                  <w:color w:val="0000EE"/>
                  <w:w w:val="79"/>
                </w:rPr>
                <w:t>16</w:t>
              </w:r>
            </w:hyperlink>
          </w:p>
        </w:tc>
      </w:tr>
      <w:tr>
        <w:trPr>
          <w:trHeight w:val="372"/>
        </w:trPr>
        <w:tc>
          <w:tcPr>
            <w:tcW w:w="3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Quantitative and Qualitative Disclosures About Market Risk</w:t>
              </w:r>
            </w:hyperlink>
          </w:p>
        </w:tc>
        <w:tc>
          <w:tcPr>
            <w:tcW w:w="544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372"/>
        </w:trPr>
        <w:tc>
          <w:tcPr>
            <w:tcW w:w="3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800" w:type="dxa"/>
            <w:vAlign w:val="bottom"/>
            <w:gridSpan w:val="1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412"/>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1760" w:type="dxa"/>
            <w:vAlign w:val="bottom"/>
            <w:tcBorders>
              <w:top w:val="single" w:sz="8" w:color="0000EE"/>
            </w:tcBorders>
            <w:gridSpan w:val="5"/>
          </w:tcPr>
          <w:p>
            <w:pPr>
              <w:spacing w:after="0"/>
              <w:rPr>
                <w:sz w:val="20"/>
                <w:szCs w:val="20"/>
                <w:color w:val="auto"/>
              </w:rPr>
            </w:pPr>
            <w:r>
              <w:rPr>
                <w:rFonts w:ascii="Arial" w:cs="Arial" w:eastAsia="Arial" w:hAnsi="Arial"/>
                <w:sz w:val="18"/>
                <w:szCs w:val="18"/>
                <w:b w:val="1"/>
                <w:bCs w:val="1"/>
                <w:color w:val="auto"/>
              </w:rPr>
              <w:t>Other Information</w:t>
            </w:r>
          </w:p>
        </w:tc>
        <w:tc>
          <w:tcPr>
            <w:tcW w:w="8040" w:type="dxa"/>
            <w:vAlign w:val="bottom"/>
            <w:gridSpan w:val="8"/>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351"/>
        </w:trPr>
        <w:tc>
          <w:tcPr>
            <w:tcW w:w="3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8900" w:type="dxa"/>
            <w:vAlign w:val="bottom"/>
            <w:gridSpan w:val="10"/>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372"/>
        </w:trPr>
        <w:tc>
          <w:tcPr>
            <w:tcW w:w="3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800" w:type="dxa"/>
            <w:vAlign w:val="bottom"/>
            <w:gridSpan w:val="1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372"/>
        </w:trPr>
        <w:tc>
          <w:tcPr>
            <w:tcW w:w="3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340" w:type="dxa"/>
            <w:vAlign w:val="bottom"/>
            <w:tcBorders>
              <w:top w:val="single" w:sz="8" w:color="0000EE"/>
            </w:tcBorders>
            <w:gridSpan w:val="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5460" w:type="dxa"/>
            <w:vAlign w:val="bottom"/>
            <w:gridSpan w:val="7"/>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28</w:t>
              </w:r>
            </w:hyperlink>
          </w:p>
        </w:tc>
      </w:tr>
      <w:tr>
        <w:trPr>
          <w:trHeight w:val="372"/>
        </w:trPr>
        <w:tc>
          <w:tcPr>
            <w:tcW w:w="340" w:type="dxa"/>
            <w:vAlign w:val="bottom"/>
          </w:tcPr>
          <w:p>
            <w:pPr>
              <w:spacing w:after="0"/>
              <w:rPr>
                <w:sz w:val="24"/>
                <w:szCs w:val="24"/>
                <w:color w:val="auto"/>
              </w:rPr>
            </w:pPr>
          </w:p>
        </w:tc>
        <w:tc>
          <w:tcPr>
            <w:tcW w:w="1040" w:type="dxa"/>
            <w:vAlign w:val="bottom"/>
            <w:gridSpan w:val="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Signature</w:t>
              </w:r>
            </w:hyperlink>
          </w:p>
        </w:tc>
        <w:tc>
          <w:tcPr>
            <w:tcW w:w="3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29</w:t>
              </w:r>
            </w:hyperlink>
          </w:p>
        </w:tc>
      </w:tr>
      <w:tr>
        <w:trPr>
          <w:trHeight w:val="507"/>
        </w:trPr>
        <w:tc>
          <w:tcPr>
            <w:tcW w:w="34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4340" w:type="dxa"/>
            <w:vAlign w:val="bottom"/>
            <w:gridSpan w:val="6"/>
          </w:tcPr>
          <w:p>
            <w:pPr>
              <w:ind w:left="4240"/>
              <w:spacing w:after="0"/>
              <w:rPr>
                <w:sz w:val="20"/>
                <w:szCs w:val="20"/>
                <w:color w:val="auto"/>
              </w:rPr>
            </w:pPr>
            <w:r>
              <w:rPr>
                <w:rFonts w:ascii="Arial" w:cs="Arial" w:eastAsia="Arial" w:hAnsi="Arial"/>
                <w:sz w:val="18"/>
                <w:szCs w:val="18"/>
                <w:color w:val="auto"/>
                <w:w w:val="79"/>
              </w:rPr>
              <w:t>2</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1799590</wp:posOffset>
            </wp:positionH>
            <wp:positionV relativeFrom="paragraph">
              <wp:posOffset>-2820670</wp:posOffset>
            </wp:positionV>
            <wp:extent cx="285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400"/>
          </w:cols>
          <w:pgMar w:left="240" w:top="279" w:right="2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3"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CONDENSED CONSOLIDATED BALANCE SHEETS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(unaudited)</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538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320,300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231,156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Receivables,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134,452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168,734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46,162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49,326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28,422</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534,535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477,638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2,970,425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3,032,884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financing costs,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35,445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Deposits and other assets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28,180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25,502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3,571,338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3,576,648</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340" w:type="dxa"/>
            <w:vAlign w:val="bottom"/>
            <w:tcBorders>
              <w:bottom w:val="single" w:sz="8" w:color="CCEEFF"/>
            </w:tcBorders>
            <w:shd w:val="clear" w:color="auto" w:fill="CCEEFF"/>
          </w:tcPr>
          <w:p>
            <w:pPr>
              <w:ind w:left="3580"/>
              <w:spacing w:after="0" w:line="196" w:lineRule="exact"/>
              <w:rPr>
                <w:sz w:val="20"/>
                <w:szCs w:val="20"/>
                <w:color w:val="auto"/>
              </w:rPr>
            </w:pPr>
            <w:r>
              <w:rPr>
                <w:rFonts w:ascii="Arial" w:cs="Arial" w:eastAsia="Arial" w:hAnsi="Arial"/>
                <w:sz w:val="18"/>
                <w:szCs w:val="18"/>
                <w:b w:val="1"/>
                <w:bCs w:val="1"/>
                <w:color w:val="auto"/>
              </w:rPr>
              <w:t>LIABILITIES AND MEMBER’S EQUITY (DEFICIT)</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39,188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deposits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98,915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Gaming taxes payable</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13,766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15,505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48,706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interest</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58,465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59,316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21,308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Due to affiliates, net</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10,155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265,423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294,143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3,099,043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3,131,626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to affiliates,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182,563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170,066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2,954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3,614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3,549,983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3,599,449</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8)</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Member’s equity (deficit):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Contributed capital</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1,200,467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1,198,532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(1,179,112)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(1,221,333)</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member’s equity (deficit)</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21,355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(22,801)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member’s equity (deficit)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3,571,338</w:t>
            </w:r>
          </w:p>
        </w:tc>
        <w:tc>
          <w:tcPr>
            <w:tcW w:w="10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3,576,648</w:t>
            </w:r>
          </w:p>
        </w:tc>
        <w:tc>
          <w:tcPr>
            <w:tcW w:w="0" w:type="dxa"/>
            <w:vAlign w:val="bottom"/>
          </w:tcPr>
          <w:p>
            <w:pPr>
              <w:spacing w:after="0"/>
              <w:rPr>
                <w:sz w:val="1"/>
                <w:szCs w:val="1"/>
                <w:color w:val="auto"/>
              </w:rPr>
            </w:pPr>
          </w:p>
        </w:tc>
      </w:tr>
      <w:tr>
        <w:trPr>
          <w:trHeight w:val="378"/>
        </w:trPr>
        <w:tc>
          <w:tcPr>
            <w:tcW w:w="83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vMerge w:val="continue"/>
            <w:shd w:val="clear" w:color="auto" w:fill="CCEEFF"/>
          </w:tcPr>
          <w:p>
            <w:pPr>
              <w:spacing w:after="0"/>
              <w:rPr>
                <w:sz w:val="24"/>
                <w:szCs w:val="24"/>
                <w:color w:val="auto"/>
              </w:rPr>
            </w:pPr>
          </w:p>
        </w:tc>
        <w:tc>
          <w:tcPr>
            <w:tcW w:w="1280" w:type="dxa"/>
            <w:vAlign w:val="bottom"/>
            <w:tcBorders>
              <w:bottom w:val="single" w:sz="8" w:color="CCEEFF"/>
            </w:tcBorders>
            <w:vMerge w:val="continue"/>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vMerge w:val="continue"/>
            <w:shd w:val="clear" w:color="auto" w:fill="CCEEFF"/>
          </w:tcPr>
          <w:p>
            <w:pPr>
              <w:spacing w:after="0"/>
              <w:rPr>
                <w:sz w:val="24"/>
                <w:szCs w:val="24"/>
                <w:color w:val="auto"/>
              </w:rPr>
            </w:pPr>
          </w:p>
        </w:tc>
        <w:tc>
          <w:tcPr>
            <w:tcW w:w="1260" w:type="dxa"/>
            <w:vAlign w:val="bottom"/>
            <w:tcBorders>
              <w:bottom w:val="single" w:sz="8" w:color="CCEEFF"/>
            </w:tcBorders>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279"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79" w:right="239" w:bottom="1440"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Casino</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182,534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142,634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337,813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318,885</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107,911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100,582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210,983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192,127</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149,121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146,521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264,136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261,970</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56,839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111,121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104,825</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Gross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496,405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444,869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924,053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877,807</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(44,821)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(89,427)</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451,584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401,541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832,713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788,380</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Casino</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74,340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67,901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154,828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151,669</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65,201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95,112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91,106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165,672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160,980</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59,644</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64,983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62,287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124,270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121,344</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(benefit)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Management fees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6,777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11,828</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123,705</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9,819</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354,160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351,990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683,775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698,410</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97,424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49,551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148,938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89,970</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income and other</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(113,397)</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(26,578)</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(53,538)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(139,739)</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43,886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(49,769)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43,886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(49,769)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9"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42,221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(49,769)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88,716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123,705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Amortization and write-off of deferred financing costs and other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4,253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26,578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Provision (benefit) for doubtful accounts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(5,780)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(decrease) in cash from changes in: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Receivables,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31,789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28,999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 and prepaid expenses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(24,729)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Due to affiliates,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15,161</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159,132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118,346</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Capital expenditures, net of construction payables and retention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(23,368)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Deposits and purchase of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Due to affiliates,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7,352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(18,438)</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Principal payments on long-term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(275,405)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500,000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Restricted cash for redemption of notes payable</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(243,038)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first mortgage notes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Payments of financing costs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(23,990)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(42,433)</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89,144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57,475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Balance, beginning of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231,156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148,415</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Balance, 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320,300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205,890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9"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CONDENSED CONSOLIDATED FINANCIAL STATEMENTS (Unaudited)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Wynn Las Vegas, LLC, a Nevada limited liability company, was organized primarily to construct and operate Wynn Las Vegas | Encore (“Wynn Las Vegas”), a fully integrated destination casino resort on the “Strip” in Las Vegas, Nevada.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w:t>
      </w:r>
    </w:p>
    <w:p>
      <w:pPr>
        <w:spacing w:after="0" w:line="171"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Wynn Las Vegas Capital Corp. (“Wynn Capital”) is a wholly owned subsidiary of the Company organized solely for the purpose of obtaining financing for Wynn Las Vegas. Wynn Capital is authorized to issue 2,000 shares of common stock, par value $0.01. At June 30, 2014, the Company owned the one share that was issued and outstanding. Wynn Capital has neither any significant net assets nor has had any operating activity. Its sole function is to serve as the co-issuer of the mortgage notes. Wynn Las Vegas, LLC and Wynn Capital together are hereinafter referred to as the “Issuers”.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120" w:firstLine="432"/>
        <w:spacing w:after="0" w:line="271" w:lineRule="auto"/>
        <w:rPr>
          <w:sz w:val="20"/>
          <w:szCs w:val="20"/>
          <w:color w:val="auto"/>
        </w:rPr>
      </w:pPr>
      <w:r>
        <w:rPr>
          <w:rFonts w:ascii="Arial" w:cs="Arial" w:eastAsia="Arial" w:hAnsi="Arial"/>
          <w:sz w:val="17"/>
          <w:szCs w:val="17"/>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six months ended June 30, 2014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Cash and cash equivalents are comprised of highly liquid investments with original maturities of three months or less. Cash equivalents are carried at cost, which approximates fair value.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 and Credit Risk</w:t>
      </w:r>
    </w:p>
    <w:p>
      <w:pPr>
        <w:spacing w:after="0" w:line="225" w:lineRule="exact"/>
        <w:rPr>
          <w:sz w:val="20"/>
          <w:szCs w:val="20"/>
          <w:color w:val="auto"/>
        </w:rPr>
      </w:pPr>
    </w:p>
    <w:p>
      <w:pPr>
        <w:ind w:right="500" w:firstLine="432"/>
        <w:spacing w:after="0" w:line="30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June 30, 2014 and December 31, 2013, approximately 77% and 82%,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5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to their carrying amount, which approximates fair value. The allowance is estimated based on historical collection patterns and current collection trends. In addition, the estimate reflects specific review of customer accounts as well as management's experience with collection trends in the casino industry and current economic and business conditions. During the three months ended June 30, 2014, the Company recorded an adjustment to its reserve estimates for casino accounts receivable based on results of historical collection patterns and current collection trends. This adjustment benefited operating income and net income by $4.6 million for the three and six months ended June 30, 2014.</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three and six months ended June 30, 2013, the Company recorded a similar adjustment which benefited operating income and net loss by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$12.2 million. This change in estimate was the primary factor that resulted in a $9.0 million credit to the provision for doubtful accounts for the three months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ended June 30, 2013.</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22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70"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58"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Revenues are recognized net of certain sales incentives which are required to be recorded as a reduction of revenues; consequently, the Company’s casino revenues are reduced by discounts and points earned in the player’s club loyalty program.</w:t>
      </w:r>
    </w:p>
    <w:p>
      <w:pPr>
        <w:spacing w:after="0" w:line="17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such amounts are then deducted as promotional allowances. The estimated cost of providing such promotional allowances is primarily included in casino expenses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320" w:type="dxa"/>
            <w:vAlign w:val="bottom"/>
            <w:gridSpan w:val="6"/>
          </w:tcPr>
          <w:p>
            <w:pPr>
              <w:ind w:left="7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40" w:type="dxa"/>
            <w:vAlign w:val="bottom"/>
            <w:tcBorders>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Rooms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16,673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18,011</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Food and beverage</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15,476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14,230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32,534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29,666</w:t>
            </w:r>
          </w:p>
        </w:tc>
      </w:tr>
      <w:tr>
        <w:trPr>
          <w:trHeight w:val="27"/>
        </w:trPr>
        <w:tc>
          <w:tcPr>
            <w:tcW w:w="5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Entertainment, retail and other</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5,559</w:t>
            </w:r>
          </w:p>
        </w:tc>
      </w:tr>
      <w:tr>
        <w:trPr>
          <w:trHeight w:val="237"/>
        </w:trPr>
        <w:tc>
          <w:tcPr>
            <w:tcW w:w="5040" w:type="dxa"/>
            <w:vAlign w:val="bottom"/>
          </w:tcPr>
          <w:p>
            <w:pPr>
              <w:spacing w:after="0"/>
              <w:rPr>
                <w:sz w:val="20"/>
                <w:szCs w:val="20"/>
                <w:color w:val="auto"/>
              </w:rPr>
            </w:pPr>
          </w:p>
        </w:tc>
        <w:tc>
          <w:tcPr>
            <w:tcW w:w="98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0"/>
              </w:rPr>
              <w:t>26,453</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25,322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54,735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53,236</w:t>
            </w:r>
          </w:p>
        </w:tc>
      </w:tr>
      <w:tr>
        <w:trPr>
          <w:trHeight w:val="27"/>
        </w:trPr>
        <w:tc>
          <w:tcPr>
            <w:tcW w:w="5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Gaming Taxes</w:t>
      </w:r>
    </w:p>
    <w:p>
      <w:pPr>
        <w:spacing w:after="0" w:line="225"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The Company is subject to taxes based on gross gaming revenue in the jurisdictions in which it operates, subject to applicable jurisdictional adjustments. These gaming taxes are an assessment on the Company’s gaming revenue and are recorded as casino expense in the accompanying Condensed Consolidated Statements of Comprehensive Income (Loss). These taxes totaled $13.4 million and $10.9 million for the three months ended June 30, 2014 and 2013, respectively. For the six months ended June 30, 2014 and 2013, these taxes totaled $24.4 million and $23.4 million, respectively.</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Company accounts for stock-based compensation related to equity shares of Wynn Resorts granted to its employees by recognizing the costs of the employee services received in exchange for the equity award instrument based on the grant date fair value of the awards over the service period. For the six months ended June 30, 2014 and 2013, the Company recorded $1.9 million and $4.5 million, respectively, in share-based compensation with a corresponding credit to contributed capital.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June 2014, the Financial Accounting Standards Board ("FASB") issued an accounting standards update that requires that a performance target that affects vesting, and that could be achieved after the requisite service period, be treated as a performance condition. As such, the performance target should not be reflected in estimating the grant date fair value of the award. This update further clarifies that compensation cost should be recognized in the period in which it becomes probable that the performance target will be achieved and should represent the compensation cost attributable to the period or periods for which the requisite service has already been rendered. The effective date for this update is for the annual and interim periods beginning after December 15, 2015. Early application is permitted. The Company does not anticipate that the adoption of this standard will have a material impact on its consolidated financial statements.</w:t>
      </w:r>
    </w:p>
    <w:p>
      <w:pPr>
        <w:spacing w:after="0" w:line="189"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In May 2014, the FASB issued an accounting standards update that amends the FASB Accounting Standards Codification and creates a new topic for Revenue from Contracts with Customers. The new guidance is expected to clarify the principles for revenue recognition and to develop a common revenue standard for U.S. GAAP applicable to revenue transactions. This guidance provides that an entity should recognize revenue to depict the transfer of promised goods or services to customers in an amount that reflects the consideration to which the entity expects to be entitled in exchange for those goods and services. This guidance also provides substantial revision of interim and annual disclosures. The update allows for either full retrospective adoption, meaning the guidance is applied for all periods presented, or modified retrospective adoption, meaning the guidance is applied only to the most current period presented in the financial statements with the cumulative effect of initially applying the guidance recognized at the date of initial application. The effective date for this update is for the annual and interim periods beginning after December 15, 2016. Early application is not permitted. The Company will adopt this standard effective January 1, 2017. The Company is currently assessing the impact the adoption of this standard will have on its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Receivables,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Receivables, net consisted of the following (in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4"/>
                <w:szCs w:val="1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600" w:type="dxa"/>
            <w:vAlign w:val="bottom"/>
            <w:tcBorders>
              <w:bottom w:val="single" w:sz="8" w:color="CCEEFF"/>
            </w:tcBorders>
          </w:tcPr>
          <w:p>
            <w:pPr>
              <w:spacing w:after="0"/>
              <w:rPr>
                <w:sz w:val="16"/>
                <w:szCs w:val="16"/>
                <w:color w:val="auto"/>
              </w:rPr>
            </w:pPr>
          </w:p>
        </w:tc>
        <w:tc>
          <w:tcPr>
            <w:tcW w:w="27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30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144,326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190,199</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Hotel</w:t>
            </w:r>
          </w:p>
        </w:tc>
        <w:tc>
          <w:tcPr>
            <w:tcW w:w="2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16,056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15,300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leases and other</w:t>
            </w:r>
          </w:p>
        </w:tc>
        <w:tc>
          <w:tcPr>
            <w:tcW w:w="27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16,089</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182,159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221,588</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27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(52,854)</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134,452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168,734</w:t>
            </w:r>
          </w:p>
        </w:tc>
        <w:tc>
          <w:tcPr>
            <w:tcW w:w="0" w:type="dxa"/>
            <w:vAlign w:val="bottom"/>
          </w:tcPr>
          <w:p>
            <w:pPr>
              <w:spacing w:after="0"/>
              <w:rPr>
                <w:sz w:val="1"/>
                <w:szCs w:val="1"/>
                <w:color w:val="auto"/>
              </w:rPr>
            </w:pPr>
          </w:p>
        </w:tc>
      </w:tr>
      <w:tr>
        <w:trPr>
          <w:trHeight w:val="27"/>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Note 4 - Property and Equipment, net</w:t>
            </w:r>
          </w:p>
        </w:tc>
        <w:tc>
          <w:tcPr>
            <w:tcW w:w="2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00" w:type="dxa"/>
            <w:vAlign w:val="bottom"/>
            <w:vMerge w:val="continu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vMerge w:val="continue"/>
          </w:tcPr>
          <w:p>
            <w:pPr>
              <w:spacing w:after="0"/>
              <w:rPr>
                <w:sz w:val="17"/>
                <w:szCs w:val="17"/>
                <w:color w:val="auto"/>
              </w:rPr>
            </w:pPr>
          </w:p>
        </w:tc>
        <w:tc>
          <w:tcPr>
            <w:tcW w:w="2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5600" w:type="dxa"/>
            <w:vAlign w:val="bottom"/>
          </w:tcPr>
          <w:p>
            <w:pPr>
              <w:ind w:left="440"/>
              <w:spacing w:after="0"/>
              <w:rPr>
                <w:sz w:val="20"/>
                <w:szCs w:val="20"/>
                <w:color w:val="auto"/>
              </w:rPr>
            </w:pPr>
            <w:r>
              <w:rPr>
                <w:rFonts w:ascii="Arial" w:cs="Arial" w:eastAsia="Arial" w:hAnsi="Arial"/>
                <w:sz w:val="18"/>
                <w:szCs w:val="18"/>
                <w:color w:val="auto"/>
                <w:w w:val="92"/>
              </w:rPr>
              <w:t>Property and equipment, net consisted of the following (in thousands):</w:t>
            </w:r>
          </w:p>
        </w:tc>
        <w:tc>
          <w:tcPr>
            <w:tcW w:w="2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6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600" w:type="dxa"/>
            <w:vAlign w:val="bottom"/>
            <w:tcBorders>
              <w:bottom w:val="single" w:sz="8" w:color="CCEEFF"/>
            </w:tcBorders>
          </w:tcPr>
          <w:p>
            <w:pPr>
              <w:spacing w:after="0"/>
              <w:rPr>
                <w:sz w:val="16"/>
                <w:szCs w:val="16"/>
                <w:color w:val="auto"/>
              </w:rPr>
            </w:pPr>
          </w:p>
        </w:tc>
        <w:tc>
          <w:tcPr>
            <w:tcW w:w="27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30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624,005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623,744</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2,634,161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2,633,106</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Airplane</w:t>
            </w:r>
          </w:p>
        </w:tc>
        <w:tc>
          <w:tcPr>
            <w:tcW w:w="2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44,364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44,364</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Furniture, fixtures and equipment</w:t>
            </w:r>
          </w:p>
        </w:tc>
        <w:tc>
          <w:tcPr>
            <w:tcW w:w="2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1,379,460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1,368,014</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27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4,687,109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4,673,847</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7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(1,716,684)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(1,640,963)</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2,970,425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3,032,884</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740" w:type="dxa"/>
            <w:vAlign w:val="bottom"/>
            <w:vMerge w:val="restart"/>
          </w:tcPr>
          <w:p>
            <w:pPr>
              <w:jc w:val="right"/>
              <w:ind w:right="2490"/>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74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60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Long-Term Debt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140" w:type="dxa"/>
            <w:vAlign w:val="bottom"/>
          </w:tcPr>
          <w:p>
            <w:pPr>
              <w:spacing w:after="0"/>
              <w:rPr>
                <w:sz w:val="16"/>
                <w:szCs w:val="16"/>
                <w:color w:val="auto"/>
              </w:rPr>
            </w:pPr>
          </w:p>
        </w:tc>
        <w:tc>
          <w:tcPr>
            <w:tcW w:w="8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15"/>
        </w:trPr>
        <w:tc>
          <w:tcPr>
            <w:tcW w:w="140" w:type="dxa"/>
            <w:vAlign w:val="bottom"/>
          </w:tcPr>
          <w:p>
            <w:pPr>
              <w:ind w:left="40"/>
              <w:spacing w:after="0"/>
              <w:rPr>
                <w:sz w:val="20"/>
                <w:szCs w:val="20"/>
                <w:color w:val="auto"/>
              </w:rPr>
            </w:pPr>
            <w:r>
              <w:rPr>
                <w:rFonts w:ascii="Arial" w:cs="Arial" w:eastAsia="Arial" w:hAnsi="Arial"/>
                <w:sz w:val="18"/>
                <w:szCs w:val="18"/>
                <w:color w:val="auto"/>
                <w:w w:val="79"/>
              </w:rPr>
              <w:t>7</w:t>
            </w:r>
          </w:p>
        </w:tc>
        <w:tc>
          <w:tcPr>
            <w:tcW w:w="8200" w:type="dxa"/>
            <w:vAlign w:val="bottom"/>
          </w:tcPr>
          <w:p>
            <w:pPr>
              <w:ind w:left="40"/>
              <w:spacing w:after="0"/>
              <w:rPr>
                <w:sz w:val="20"/>
                <w:szCs w:val="20"/>
                <w:color w:val="auto"/>
              </w:rPr>
            </w:pPr>
            <w:r>
              <w:rPr>
                <w:rFonts w:ascii="Arial" w:cs="Arial" w:eastAsia="Arial" w:hAnsi="Arial"/>
                <w:sz w:val="18"/>
                <w:szCs w:val="18"/>
                <w:color w:val="auto"/>
                <w:w w:val="95"/>
              </w:rPr>
              <w:t>7/8% First Mortgage Notes, due May 1, 2020, net of original issue discount of $1,767 at June 30, 2014 and</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$1,884 at December 31, 2013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345,243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350,126</w:t>
            </w: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7</w:t>
            </w:r>
          </w:p>
        </w:tc>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3/4% First Mortgage Notes, due August 15, 2020</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1,293,000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1,320,000</w:t>
            </w: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Pr>
          <w:p>
            <w:pPr>
              <w:ind w:left="20"/>
              <w:spacing w:after="0"/>
              <w:rPr>
                <w:sz w:val="20"/>
                <w:szCs w:val="20"/>
                <w:color w:val="auto"/>
              </w:rPr>
            </w:pPr>
            <w:r>
              <w:rPr>
                <w:rFonts w:ascii="Arial" w:cs="Arial" w:eastAsia="Arial" w:hAnsi="Arial"/>
                <w:sz w:val="18"/>
                <w:szCs w:val="18"/>
                <w:color w:val="auto"/>
              </w:rPr>
              <w:t>3/8% First Mortgage Notes, due March 15, 2022</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900,000</w:t>
            </w: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4</w:t>
            </w:r>
          </w:p>
        </w:tc>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1/4% Senior Notes, due May 30, 2023</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500,000</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31,850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32,550</w:t>
            </w:r>
          </w:p>
        </w:tc>
      </w:tr>
      <w:tr>
        <w:trPr>
          <w:trHeight w:val="27"/>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Payable to Affiliate</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30,000</w:t>
            </w:r>
          </w:p>
        </w:tc>
      </w:tr>
      <w:tr>
        <w:trPr>
          <w:trHeight w:val="237"/>
        </w:trPr>
        <w:tc>
          <w:tcPr>
            <w:tcW w:w="14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3,100,093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3,132,676</w:t>
            </w:r>
          </w:p>
        </w:tc>
      </w:tr>
      <w:tr>
        <w:trPr>
          <w:trHeight w:val="27"/>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37"/>
        </w:trPr>
        <w:tc>
          <w:tcPr>
            <w:tcW w:w="14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3,099,043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3,131,626</w:t>
            </w: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1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7 7/8% Wynn Las Vegas First Mortgage Notes due 2020</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During the six months ended June 30, 2014, Wynn Las Vegas, LLC repurchased and canceled $5.0 million in principal plus interest of its 7 7/8% first mortgage notes due May 1, 2020 through the open market. The Company incurred $0.5 million in expenses associated with the premium paid for the repurchases and unamortized deferred financing costs and original issue discount included in loss on extinguishment of debt in the accompanying Condensed Consolidated Statements of Comprehensive Income (Loss).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7 3/4% Wynn Las Vegas First Mortgage Notes due 2020</w:t>
      </w:r>
    </w:p>
    <w:p>
      <w:pPr>
        <w:spacing w:after="0" w:line="2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During the six months ended June 30, 2014, the Company repurchased and canceled $27.0 million in principal plus interest of its 7 3/4% first mortgage notes due 2020 through the open market. The Company incurred $3.3 million in expenses associated with the premium paid for the repurchase and unamortized deferred financing costs included in loss on extinguishment of debt in the accompanying Condensed Consolidated Statements of Comprehensive Income (Loss).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Debt Covenant Compliance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2014, management believes the Company was in compliance with all debt covenants.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of Long Term Debt</w:t>
      </w:r>
    </w:p>
    <w:p>
      <w:pPr>
        <w:spacing w:after="0" w:line="22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estimated fair value of the Company's long-term debt as of June 30, 2014 and December 31, 2013 was approximately $3.3 billion and $3.3 billion, respectively, compared to its carrying value of $3.1 billion and $3.1 billion, respectively. The estimated fair value of the Company's long-term debt is based on recent trades, if available, and indicative pricing from market information (level 2 inputs).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Related Party Transactions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Amounts Due to Affiliates, net</w:t>
      </w:r>
    </w:p>
    <w:p>
      <w:pPr>
        <w:spacing w:after="0" w:line="225"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As of June 30, 2014, the Company’s current due to affiliates, net of $0.9 million was comprised of construction related payables and corporate allocations. The long-term due to affiliates, net was management fees of $182.6 million (equal to 1.5% of net revenues and payable upon meeting certain leverage ratios as specified in the documents governing the Company’s first mortgage notes indentures).</w:t>
      </w:r>
    </w:p>
    <w:p>
      <w:pPr>
        <w:spacing w:after="0" w:line="181"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As of December 31, 2013, the Company’s current due to affiliates, net of $10.2 million was comprised of construction related payables and corporate allocations. The long-term due to affiliates, net was management fees of $170.1 million.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 Company periodically settles amounts due affiliates with cash receipts and payments, except for the management fee, which is payable upon meeting certain leverage ratios specified in the documents governing the first mortgage notes indentures.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Allocations</w:t>
      </w:r>
    </w:p>
    <w:p>
      <w:pPr>
        <w:spacing w:after="0" w:line="225" w:lineRule="exact"/>
        <w:rPr>
          <w:sz w:val="20"/>
          <w:szCs w:val="20"/>
          <w:color w:val="auto"/>
        </w:rPr>
      </w:pPr>
    </w:p>
    <w:p>
      <w:pPr>
        <w:jc w:val="both"/>
        <w:ind w:right="20" w:firstLine="432"/>
        <w:spacing w:after="0" w:line="288" w:lineRule="auto"/>
        <w:rPr>
          <w:sz w:val="20"/>
          <w:szCs w:val="20"/>
          <w:color w:val="auto"/>
        </w:rPr>
      </w:pPr>
      <w:r>
        <w:rPr>
          <w:rFonts w:ascii="Arial" w:cs="Arial" w:eastAsia="Arial" w:hAnsi="Arial"/>
          <w:sz w:val="16"/>
          <w:szCs w:val="16"/>
          <w:color w:val="auto"/>
        </w:rPr>
        <w:t>The accompanying Condensed Consolidated Statements of Comprehensive Income (Loss) include allocations from Wynn Resorts for legal, accounting, human resources,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w:t>
      </w:r>
    </w:p>
    <w:p>
      <w:pPr>
        <w:ind w:right="100"/>
        <w:spacing w:after="0" w:line="273" w:lineRule="auto"/>
        <w:rPr>
          <w:sz w:val="20"/>
          <w:szCs w:val="20"/>
          <w:color w:val="auto"/>
        </w:rPr>
      </w:pPr>
      <w:r>
        <w:rPr>
          <w:rFonts w:ascii="Arial" w:cs="Arial" w:eastAsia="Arial" w:hAnsi="Arial"/>
          <w:sz w:val="17"/>
          <w:szCs w:val="17"/>
          <w:color w:val="auto"/>
        </w:rPr>
        <w:t>Wynn Resorts maintains corporate offices at Wynn Las Vegas without charge from the Company. The Company settles these corporate allocation charges with Wynn Resorts on a periodic basis as discussed in “Amounts Due to Affiliates, net” above. For the three months ended June 30, 2014 and 2013, $8.9 million and $7.0 million, respectively, were charged to the Company for such corporate allocations. For the six months ended June 30, 2014 and 2013, $15.7 million and $13.2 million, respectively, were charged to the Company for such corporate allocations.</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Amounts Due to Officers</w:t>
      </w:r>
    </w:p>
    <w:p>
      <w:pPr>
        <w:spacing w:after="0" w:line="225"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These services include household services, construction work and other personal services. The cost of these services is transferred to Wynn Resorts, Limited on a periodic basis. Mr. Wynn and these other officers and directors have amounts on deposit with Wynn Resorts to prepay any such items, which are replenished on an ongoing basis as needed.</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Villa Lease</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Mr. Wynn currently leases from the Company a villa which serves as Mr. Wynn’s personal residence. The restated lease agreement and amendments (“SW Lease”) were approved by the Audit Committee of the Board of Directors of Wynn Resorts. Pursuant to the SW Lease, Mr. Wynn pays the Company annual rent of $525,000 for the villa, which amount was determined to be the fair market value of the accommodations based on a third-party appraisal. In addition, pursuant to the SW Lease, the Company pays for all capital improvements to the villa. The rental value for the villa will be re-determined every two years during the term of the SW Lease by the Audit Committee, with the current rent rate effective through February 28, 2015. Certain services for, and maintenance of, the villa are included in the annual rent.</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The “Wynn” Surname Rights Agreement</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its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Golf Course Lease</w:t>
      </w:r>
    </w:p>
    <w:p>
      <w:pPr>
        <w:spacing w:after="0" w:line="2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On September 18, 2012, the Company distributed to Wynn Resorts, Limited, the Wynn Las Vegas golf course land and the related water rights. Commencing September 18, 2012, the Company leases approximately 140 acres (upon which the golf course is located) and water rights from Wynn Resorts. The term of this lease is on a month-to-month basis provided, however, that either party may terminate this lease by providing written notice of such termination to the other party no later than 30 days prior to the expiration of any monthly period. The combined rental value for both the golf course land and the water rights is $598,000 per month.</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1" w:right="2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Charges and Other</w:t>
      </w:r>
    </w:p>
    <w:p>
      <w:pPr>
        <w:spacing w:after="0" w:line="229" w:lineRule="exact"/>
        <w:rPr>
          <w:sz w:val="20"/>
          <w:szCs w:val="20"/>
          <w:color w:val="auto"/>
        </w:rPr>
      </w:pPr>
    </w:p>
    <w:p>
      <w:pPr>
        <w:jc w:val="both"/>
        <w:ind w:right="300" w:firstLine="432"/>
        <w:spacing w:after="0" w:line="264" w:lineRule="auto"/>
        <w:rPr>
          <w:sz w:val="20"/>
          <w:szCs w:val="20"/>
          <w:color w:val="auto"/>
        </w:rPr>
      </w:pPr>
      <w:r>
        <w:rPr>
          <w:rFonts w:ascii="Arial" w:cs="Arial" w:eastAsia="Arial" w:hAnsi="Arial"/>
          <w:sz w:val="18"/>
          <w:szCs w:val="18"/>
          <w:color w:val="auto"/>
        </w:rPr>
        <w:t>Property charges and other were minimal for the three and six months ended June 30, 2014. Property charges and other for the three and six months ended June 30, 2013 were $7.1 million and $9.8 million, respectively, and primarily consisted of fees paid in connection with the termination of a contract and miscellaneous renovations and abandonments at our resort.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100" w:firstLine="432"/>
        <w:spacing w:after="0" w:line="342" w:lineRule="auto"/>
        <w:rPr>
          <w:sz w:val="20"/>
          <w:szCs w:val="20"/>
          <w:color w:val="auto"/>
        </w:rPr>
      </w:pPr>
      <w:r>
        <w:rPr>
          <w:rFonts w:ascii="Arial" w:cs="Arial" w:eastAsia="Arial" w:hAnsi="Arial"/>
          <w:sz w:val="16"/>
          <w:szCs w:val="16"/>
          <w:color w:val="auto"/>
        </w:rPr>
        <w:t>The Company and its affiliates are involved in litigation in addition to the actions noted below arising in the normal course of business. In the opinion of management, such litigation and claims is not expected to have a material effect on the Company’s financial condition, results of operations or cash flows.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Determination of Unsuitability and Redemption of Aruze USA, Inc. and Affiliates</w:t>
      </w:r>
    </w:p>
    <w:p>
      <w:pPr>
        <w:spacing w:after="0" w:line="22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On February 18, 2012, Wynn Resorts’ Gaming Compliance Committee received an independent report by Freeh, Sporkin &amp; Sullivan, LLP (the “Freeh Report”) detailing a pattern of misconduct by Aruze USA, Inc. (at the time a stockholder of Wynn Resorts), Universal Entertainment Corporation (Aruze USA, Inc.’s parent company), and Kazuo Okada (the majority shareholder of Universal Entertainment Corporation and a former member of the Board of Directors of Wynn Resorts and Wynn Macau, Limited) (collectively,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and while, serving as one of Wynn Resorts directors, Mr. Okada refused to acknowledge or abide by Wynn Resorts’ anti-bribery policies and refused to participate in the training all other directors received concerning these policies.</w:t>
      </w:r>
    </w:p>
    <w:p>
      <w:pPr>
        <w:spacing w:after="0" w:line="179"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Based on the Freeh Report, the Board of Directors of Wynn Resorts determined that the Okada Parties are “unsuitable persons” under Article VII of Wynn Resorts’ articles of incorporation. The Board of Directors was unanimous (other than Mr. Okada) in its determination. After authorizing the redemption of the Aruze shares, as discussed below, the Board of Directors took certain actions to protect Wynn Resorts and its operations from any influence of an unsuitable person, including placing limitations on the provision of certain operating information to unsuitable persons and formation of an Executive Committee of the Board to manage the business and affairs of Wynn Resorts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On February 18, 2012, Mr. Okada was removed from the Board of Directors of Wynn Capital. On February 24, 2012, Mr. Okada was removed from the Board of Directors of Wynn Macau, Limited and on February 22, 2013, he was removed from the Board of Directors of Wynn Resorts by a stockholder vote in which 99.6% of the over 86 million shares voted were cast in favor of removal. Mr. Okada resigned from the Board of Directors of Wynn Resorts on February 21, 2013. Although Wynn Resorts has retained the structure of the Executive Committee, the Board has resumed its past role in managing the business and affairs of Wynn Resorts.</w:t>
      </w:r>
    </w:p>
    <w:p>
      <w:pPr>
        <w:spacing w:after="0" w:line="188"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Based on the Board of Directors’ finding of “unsuitability,” on February 18, 2012, Wynn Resorts redeemed and canceled Aruze USA, Inc.’s 24,549,222 shares of Wynn Resorts’ common stock. Following a finding of “unsuitability,” Article VII of Wynn Resorts’ articles of incorporation authorizes redemption at “fair value” of the shares held by unsuitable persons. Wynn Resorts engaged an independent financial adviser to assist in the fair value calculation and concluded that a discount to the then current trading price was appropriate because of, among other things, restrictions on most of the shares held by Aruze USA, Inc. under the terms of the Stockholders Agreement (as defined below). Pursuant to its articles of incorporation, Wynn Resorts issued the Redemption Note to Aruze USA, Inc. in redemption of the shares. The Redemption Note has a principal amount of $1.94 billion, matures on February 18, 2022, and bears interest at the rate of 2% per annum, payable annually in arrears on each anniversary of the date of the Redemption Note. Wynn Resorts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payment in full of all existing and future obligations of Wynn Resorts or any of its affiliates in respect of indebtedness for borrowed money of any kind or nature.</w:t>
      </w:r>
    </w:p>
    <w:p>
      <w:pPr>
        <w:spacing w:after="0" w:line="170"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Wynn Resorts provided the Freeh Report to appropriate regulators and law enforcement agencies and has been cooperating with related investigations that such regulators and agencies have undertaken. The conduct of the Okada Parties and any resulting regulatory investigations could have adverse consequences to Wynn Resorts and its subsidiaries. A finding by regulatory authorities that Mr. Okada violated anti-corruption statutes and/or other laws or regulations applicable to persons affiliated with a gaming licensee on Wynn Resorts property and/or otherwise involved Wynn Resorts in criminal or civil violations could result in actions by regulatory authorities against Wynn Resorts and its subsidiaries.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Redemption Action and Counterclaim</w:t>
      </w:r>
    </w:p>
    <w:p>
      <w:pPr>
        <w:spacing w:after="0" w:line="225" w:lineRule="exact"/>
        <w:rPr>
          <w:sz w:val="20"/>
          <w:szCs w:val="20"/>
          <w:color w:val="auto"/>
        </w:rPr>
      </w:pPr>
    </w:p>
    <w:p>
      <w:pPr>
        <w:ind w:right="360" w:firstLine="432"/>
        <w:spacing w:after="0" w:line="279" w:lineRule="auto"/>
        <w:rPr>
          <w:sz w:val="20"/>
          <w:szCs w:val="20"/>
          <w:color w:val="auto"/>
        </w:rPr>
      </w:pPr>
      <w:r>
        <w:rPr>
          <w:rFonts w:ascii="Arial" w:cs="Arial" w:eastAsia="Arial" w:hAnsi="Arial"/>
          <w:sz w:val="17"/>
          <w:szCs w:val="17"/>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Wynn Resorts is seeking compensatory and special damages as well as a declaration that it acted lawfully and in full compliance with its articles of incorporation, bylaws and other governing documents in redeeming and canceling the shares of Aruze USA, Inc.</w:t>
      </w:r>
    </w:p>
    <w:p>
      <w:pPr>
        <w:spacing w:after="0" w:line="171"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Wynn Resorts, each of the members of the Wynn Resorts’ Board of Directors (other than Mr. Okada) and Wynn Resorts’ General Counsel (the “Wynn Parties”). The Counterclaim alleges, among other things: (1) that the shares of Wynn Resorts common stock owned by Aruze USA, Inc. were exempt from the redemption-for-unsuitability provisions in the Wynn Resorts articles of incorporation (the “Articles”) pursuant to certain agreements executed in 2002; (2) that the Wynn Resorts directors who authorized the redemption of Aruze USA, Inc.’s shares acted at the direction of Stephen A. Wynn and did not independently and objectively evaluate the Okada Parties’ suitability, and by so doing, breached their fiduciary duties; (3) that the Wynn Resorts directors violated the terms of the Wynn Resorts Articles by failing to pay Aruze USA, Inc. fair value for the redeemed shares; and (4) that the terms of the Redemption Note that Aruze USA, Inc. received in exchange for the redeemed shares, including the Redemption Note’s principal amount, duration, interest rate, and subordinated status, were unconscionable. Among other relief, the Counterclaim seeks a declaration that the redemption of Aruze USA, Inc.’s shares was void, an injunction restoring Aruze USA, Inc.’s share ownership, damages in an unspecified amount and rescission of the Amended and Restated Stockholders Agreement, dated as of January 6, 2010, by and among Aruze USA, Inc., Stephen A. Wynn, and Elaine Wynn (the “Stockholders Agreement”).</w:t>
      </w:r>
    </w:p>
    <w:p>
      <w:pPr>
        <w:spacing w:after="0" w:line="188"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On June 19, 2012, Elaine Wynn asserted a cross claim against Stephen A. Wynn and Aruze USA, Inc. seeking a declaration that (1) any and all of Elaine Wynn’s duties under the Stockholders Agreement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The indentures for Wynn Las Vegas, LLC's 7 7/8% first mortgage notes due 2020, 7 3/4% first mortgage notes due 2020 (together, the "2020 Indentures") and the indenture for Wynn Las Vegas, LLC's 4 1/4% Senior Notes due 2023 (the "2023 Indenture," and, together with the 2020 Indentures, the "Indentures") provide that if Stephen A. Wynn, together with certain related parties, in the aggregate beneficially owns a lesser percentage of the outstanding common stock of Wynn Resorts than are beneficially owned by any other person, a change of control will have occurred. The indentures for Wynn Las Vegas, LLC's 5 3/8% first mortgage notes due 2022 (the "2022 Indenture") provide that if any event constitutes a "change of control" under the 2020 Indentures, it will constitute a change of control under the 2022 Indenture. If Elaine Wynn prevails in her cross claim, Stephen A. Wynn would not beneficially own or control Elaine Wynn’s shares and a change in control may result under the Company’s debt documents. Under the 2020 Indentures and the 2022 Indenture, the occurrence of a change of control requires that Wynn Resorts make an offer to each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Under the 2023 Indenture, if a change of control occurs and within 60 days after that occurrence the 4 1/4% Senior Notes due 2023 are rated below investment grade by both rating agencies that rate such notes, Wynn Resorts is required to make an offer to each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Mr. Wynn is opposing Ms. Wynn’s cross claim.</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1" w:right="2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Wynn Resorts’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Wynn Resorts executives but otherwise denied the motion. At a hearing held on January 15, 2013, the court denied the Okada Parties’ motion to dismiss Wynn Resorts’ Complaint. On April 22, 2013, Wynn Resorts filed a second amended complaint. On August 30, 2013, the Okada Parties filed their third amended Counterclaim. On September 18, 2013, Wynn Resorts filed a Partial Motion to Dismiss related to a claim in the third amended Counterclaim alleging civil extortion by Mr. Wynn and Wynn Resorts’ General Counsel. On October 29, 2013, the court granted the motion and dismissed the claim. On November 26, 2013, the Okada Parties filed their fourth amended Counterclaim, and Wynn Resorts filed an answer to that pleading on December 16, 2013.</w:t>
      </w:r>
    </w:p>
    <w:p>
      <w:pPr>
        <w:spacing w:after="0" w:line="179" w:lineRule="exact"/>
        <w:rPr>
          <w:sz w:val="20"/>
          <w:szCs w:val="20"/>
          <w:color w:val="auto"/>
        </w:rPr>
      </w:pPr>
    </w:p>
    <w:p>
      <w:pPr>
        <w:ind w:right="200" w:firstLine="432"/>
        <w:spacing w:after="0" w:line="291" w:lineRule="auto"/>
        <w:rPr>
          <w:sz w:val="20"/>
          <w:szCs w:val="20"/>
          <w:color w:val="auto"/>
        </w:rPr>
      </w:pPr>
      <w:r>
        <w:rPr>
          <w:rFonts w:ascii="Arial" w:cs="Arial" w:eastAsia="Arial" w:hAnsi="Arial"/>
          <w:sz w:val="16"/>
          <w:szCs w:val="16"/>
          <w:color w:val="auto"/>
        </w:rPr>
        <w:t>On each of February 14, 2013, and February 13, 2014, Wynn Resorts issued a check to Aruze USA, Inc. in the amount of $38.7 million, representing the interest payments due on the Redemption Note at those times. However, those checks were not cashed. The parties engaged in discussions regarding the terms of an escrow agreement, in accordance with a prior court order. However, in February 2014, the Okada Parties advised of their intent to deposit any checks for interest and principal, past and future, due under the terms of the Redemption Note to the clerk of the court for deposit into the clerk’s trust account. On March 17, 2014, the parties stipulated that the checks be returned to Wynn Resorts for reissue in the same amounts, payable to the clerk of the court for deposit into the clerk's trust account. Pursuant to the stipulation, on March 20, 2014, Wynn Resorts delivered to the clerk of the court the reissued checks that were deposited into the clerk's trust account and filed a notice with the court with respect to the same.</w:t>
      </w:r>
    </w:p>
    <w:p>
      <w:pPr>
        <w:spacing w:after="0" w:line="140"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On April 8, 2013, the United States Attorney’s Office and the U.S. Department of Justice filed a Motion to Intervene and for Temporary and Partial Stay of Discovery in the Redemption Action. The parties had been engaged in discovery at the time of the filing.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Wynn Resorts’ complaint, as amended, in the Redemption Action. The motion sought to stay all discovery in the Redemption Action related to the Okada Parties’ allegedly unlawful activities in connection with their casino project in the Philippines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 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further period of six months. At a hearing on 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above. The extended Stay expired on May 5, 2014. On April 29, 2014, the United States Attorney's Office and the U.S. Department of Justice filed a Motion for a Second Extension of Temporary Stay of Discovery for a further six months. At a hearing on May 1, 2014, the court denied the motion.</w:t>
      </w:r>
    </w:p>
    <w:p>
      <w:pPr>
        <w:spacing w:after="0" w:line="16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Wynn Resorts will continue to vigorously pursue its claims against the Okada Parties, and Wynn Resorts and the Wynn Parties will continue to vigorously defend against the counterclaims asserted against them. Wynn Resorts’ claims and the Okada Parties’ counterclaims remain in an early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Wynn Resorts’ financial condition.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Litigation Commenced by Kazuo Okada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Japan Action:</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On August 28, 2012, Mr. Okada, Universal Entertainment Corporation and Okada Holdings (“Okada Japan Parties”) filed a complaint in Tokyo District Court against the Wynn Parties, alleging that the press release issued by Wynn Resorts with respect to the redemption has damaged plaintiffs’ social evaluation and credibility. The Okada Japan Parties seek damages and legal fees from the Wynn Parties. After asking the Okada Japan Parties to clarify the allegations in their complaint, the Wynn Parties objected to the jurisdiction of the Japanese court. On April 30, 2013, the Wynn Parties filed a memorandum in support of their jurisdictional position. On October 21, 2013, the court dismissed the action on jurisdictional grounds. On November 1, 2013, the Okada Japan Parties filed an appeal moving the matter to the Tokyo High Court. On June 11, 2014, the Tokyo High Court ruled in favor of the Wynn Parties and upheld the motion for dismissal. On June 25, 2014, the Okada Japan Parties filed a notice of appeal to the Supreme Court of Japan.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Indemnification Action:</w:t>
      </w:r>
    </w:p>
    <w:p>
      <w:pPr>
        <w:spacing w:after="0" w:line="225"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On March 20, 2013, Mr. Okada filed a complaint against Wynn Resorts in Nevada state court for indemnification under Wynn Resorts' Articles, bylaws and agreements with its directors. The complaint sought advancement of Mr. Okada’s costs and expenses (including attorney’s fees) incurred pursuant to the various legal proceedings and related regulatory investigations described above. Wynn Resorts’ answer and counterclaim was filed on April 15, 2013. The counterclaim named each of the Okada Parties as defendants and sought indemnification under Wynn Resorts’ Articles for costs and expenses (including attorney’s fees) incurred pursuant to the various legal proceedings and related regulatory investigations described above. On April 30, 2013, Mr. Okada filed his reply to the counterclaim. On February 4, 2014, the court entered an order on the parties’ stipulation that: (1) dismissed all claims Mr. Okada asserted against Wynn Resorts; (2) reserved Mr. Okada’s right to assert, in the future, any claims for indemnity following the resolution of the Redemption Action; and (3) stayed the claims asserted by Wynn Resorts against Mr. Okada pending the resolution of the Redemption Action.</w:t>
      </w:r>
    </w:p>
    <w:p>
      <w:pPr>
        <w:spacing w:after="0" w:line="166"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Management has determined that based on proceedings to date, it is currently unable to determine the probability of the outcome of this action or the range of reasonably possible loss, if any.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Related Investigations and Derivative Litigation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Investigations:</w:t>
      </w:r>
    </w:p>
    <w:p>
      <w:pPr>
        <w:spacing w:after="0" w:line="225"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In the U.S. Department of Justice’s Motion to Intervene and for Temporary and Partial Stay of Discovery in the Redemption Action, the Department of Justice states in a footnote that the government also has been conducting a criminal investigation into Wynn Resorts’ donation to the University of Macau discussed above. Wynn Resorts has not received any target letter or subpoena in connection with such an investigation. Wynn Resorts intends to cooperate fully with the government in response to any inquiry related to the donation to the University of Macau.</w:t>
      </w:r>
    </w:p>
    <w:p>
      <w:pPr>
        <w:spacing w:after="0" w:line="17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Other regulators may pursue separate investigations into Wynn Resorts’ compliance with applicable laws arising from the allegations in the matters described above and in response to the Counterclaim and other litigation filed by Mr. Okada suggesting improprieties in connection with Wynn Resorts’ donation to the University of Macau. While Wynn Resorts believes that it is in full compliance with all applicable laws, any such investigations could result in actions by regulators against Wynn Resorts. Prior investigations by the Nevada Gaming Control Board and SEC were closed with no actions taken.</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Derivative Claims:</w:t>
      </w:r>
    </w:p>
    <w:p>
      <w:pPr>
        <w:spacing w:after="0" w:line="225"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Six derivative actions were commenced against Wynn Resorts and all members of its Board of Directors: four in the United States District Court, District of Nevada, and two in the Eighth Judicial District Court of Clark County, Nevada.</w:t>
      </w:r>
    </w:p>
    <w:p>
      <w:pPr>
        <w:spacing w:after="0" w:line="17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four federal actions brought by the following plaintiffs have been consolidated: (1) The Louisiana Municipal Police Employees’ Retirement System, (2) Maryanne Solak, (3) Excavators Union Local 731 Welfare Fund, and (4) Boilermakers Lodge No. 154 Retirement Fund (collectively, the “Federal Plaintiffs”).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Federal Plaintiffs filed a consolidated complaint on August 6, 2012, asserting claims for: (1) breach of fiduciary duty; (2) waste of corporate assets;</w:t>
      </w:r>
    </w:p>
    <w:p>
      <w:pPr>
        <w:spacing w:after="0" w:line="46" w:lineRule="exact"/>
        <w:rPr>
          <w:sz w:val="20"/>
          <w:szCs w:val="20"/>
          <w:color w:val="auto"/>
        </w:rPr>
      </w:pPr>
    </w:p>
    <w:p>
      <w:pPr>
        <w:ind w:firstLine="8"/>
        <w:spacing w:after="0" w:line="285"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injunctive relief; and (4) unjust enrichment. The claims were against Wynn Resorts and all of Wynn Resorts’ directors, including Mr. Okada, however, the plaintiffs voluntarily dismissed Mr. Okada as a defendant in this consolidated action on September 27, 2012. The Federal Plaintiffs claimed that the individual defendants breached their fiduciary duties and wasted assets by: (a) failing to ensure Wynn Resorts’ officers and directors complied with federal and state laws and Wynn Resorts’ Code of Conduct; (b) voting to allow Wynn Resorts’ subsidiary to make the donation to the University of Macau; and (c) redeeming Aruze USA, Inc.’s stock such that Wynn Resorts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Wynn Resorts and the directors filed their motion to dismiss the amended complaint on May 23, 2013. On March 13, 2014, the federal court granted the motion to dismiss and entered judgment in favor of Wynn Resorts and directors and against the Federal Plaintiffs without prejudice. On April 10, 2014, the Federal Plaintiffs filed a notice of appeal to the United States Court of Appeals for the Ninth Circuit. The Federal Plaintiffs brief is due August 14, 2014, with response from Wynn Resorts due September 15, 2014.</w:t>
      </w:r>
    </w:p>
    <w:p>
      <w:pPr>
        <w:spacing w:after="0" w:line="171"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The two state court actions brought by the following plaintiffs have also been consolidated: (1) IBEW Local 98 Pension Fund and (2) Danny Hinson (collectively, the “State Plaintiffs”). Through a coordination of efforts by all parties, the directors and Wynn Resorts (a nominal defendant) have been served in all of the actions. The State Plaintiffs filed a consolidated complaint on July 20, 2012 asserting claims for (1) breach of fiduciary duty; (2) abuse of control;</w:t>
      </w:r>
    </w:p>
    <w:p>
      <w:pPr>
        <w:ind w:right="40" w:firstLine="8"/>
        <w:spacing w:after="0" w:line="285" w:lineRule="auto"/>
        <w:tabs>
          <w:tab w:leader="none" w:pos="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gross mismanagement; and (4) unjust enrichment. The claims are against Wynn Resorts and all of Wynn Resorts’ directors, including Mr. Okada, as well as Wynn Resorts’ Chief Financial Officer, who signs financial disclosures filed with the SEC. The State Plaintiffs claim that the individual defendants failed to disclose to Wynn Resorts’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Wynn Resorts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Wynn Resorts and the individual defendants were not required to respond to the consolidated complaint while the stay remained in effect. Following the expiration of the stay, the State Plaintiffs advised Wynn Resorts and the individual defendants that they intended to resume the action by filing an amended complaint, which they did, on April 26, 2013. Wynn Resorts and directors filed their motion to dismiss on June 10, 2013. However, on July 31, 2013, the parties agreed to a stipulation that was submitted to, and approved by the court. The stipulation contemplates a stay of the consolidated state court derivative action of equal duration as the Stay entered by the court in the Redemption Action. On June 18, 2014, the court entered a new stipulation between the parties that provides for further stay of the state derivative action and directs the parties, within 45 days of the conclusion of the latter of the Redemption Action or the federal derivative action, to discuss how the state derivative action should proceed and to file a joint report with the court.</w:t>
      </w:r>
    </w:p>
    <w:p>
      <w:pPr>
        <w:spacing w:after="0" w:line="168"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 individual defendants are vigorously defending against the claims pleaded against them in the state derivative action. Management has determined that based on proceedings to date, it is currently unable to determine the probability of the outcome of this action or the range of reasonably possible loss, if any.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1" w:right="25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in conjunction with our condensed consolidated financial statements and related notes included elsewhere in this Form 10-Q and our consolidated financial statements appearing in our annual report on Form 10-K for the year ended December 31, 2013. Unless the context otherwise requires, all references herein to the “Company,” “we,” “us” or “our,” or similar terms, refer to Wynn Las Vegas, LLC, a Nevada limited liability company and its consolidated subsidiaries. This discussion and analysis contains forward-looking statements. Please refer to the section below entitled “Special Note Regarding Forward-Looking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 Encore (“Wynn Las Vegas”), a fully integrated destination casino resort in Las Vegas, Nevada. Wynn Las Vegas, located at the intersection of the Las Vegas Strip and Sands Avenue, occupies approximately 215 acres of land (of which approximately 140 acres comprise the Wynn Las Vegas golf course) fronting the Las Vegas Strip and utilizes approximately 18 additional acres across Sands Avenue, a portion of which is improved with an employee parking garage and approximately 5 acres adjacent to the golf course on which an office building is located. We lease 140 acres where the golf course is located, along with related water rights, from Wynn Resorts.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Las Vegas resort complex features:</w:t>
      </w:r>
    </w:p>
    <w:p>
      <w:pPr>
        <w:spacing w:after="0" w:line="279" w:lineRule="exact"/>
        <w:rPr>
          <w:sz w:val="20"/>
          <w:szCs w:val="20"/>
          <w:color w:val="auto"/>
        </w:rPr>
      </w:pPr>
    </w:p>
    <w:p>
      <w:pPr>
        <w:ind w:left="900" w:right="14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including private gaming salons, a sky casino, a poker room, and a race and sports book;</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Two luxury hotel towers with a total of 4,748 spacious guest rooms, suites and villas;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34 food and beverage outlets featuring signature chefs;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284,000 square feet of meeting and convention space;</w:t>
      </w:r>
    </w:p>
    <w:p>
      <w:pPr>
        <w:spacing w:after="0" w:line="117" w:lineRule="exact"/>
        <w:rPr>
          <w:rFonts w:ascii="Arial" w:cs="Arial" w:eastAsia="Arial" w:hAnsi="Arial"/>
          <w:sz w:val="18"/>
          <w:szCs w:val="18"/>
          <w:color w:val="auto"/>
        </w:rPr>
      </w:pPr>
    </w:p>
    <w:p>
      <w:pPr>
        <w:jc w:val="both"/>
        <w:ind w:left="900" w:right="36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99,000 square feet of high-end, brand-name retail shopping, including stores and boutiques by Alexander McQueen, Brioni, Cartier, Chanel, Chloé, Chopard, Dior, Givenchy, Graff, Hermes, IWC Schaffhausen, Jaeger LeCoultre, Loro Piana, Louis Vuitton, Manolo Blahnik, Nicholas Kirkwood, Oscar de la Renta, Piaget, Rolex, Vertu and others;</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Recreation and leisure facilities, including an 18-hole golf course, swimming pools, private cabanas and two full service spas and salons;</w:t>
      </w:r>
    </w:p>
    <w:p>
      <w:pPr>
        <w:spacing w:after="0" w:line="128" w:lineRule="exact"/>
        <w:rPr>
          <w:rFonts w:ascii="Arial" w:cs="Arial" w:eastAsia="Arial" w:hAnsi="Arial"/>
          <w:sz w:val="17"/>
          <w:szCs w:val="17"/>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Two showrooms; and</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Construction and Future Development</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In response to our evaluation of our property and the reactions of our guests, we have made and expect to continue to remodel and make enhancements and refinements to our resort complex.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29" w:lineRule="exact"/>
        <w:rPr>
          <w:sz w:val="20"/>
          <w:szCs w:val="20"/>
          <w:color w:val="auto"/>
        </w:rPr>
      </w:pPr>
    </w:p>
    <w:p>
      <w:pPr>
        <w:jc w:val="both"/>
        <w:ind w:right="400" w:firstLine="432"/>
        <w:spacing w:after="0" w:line="342" w:lineRule="auto"/>
        <w:rPr>
          <w:sz w:val="20"/>
          <w:szCs w:val="20"/>
          <w:color w:val="auto"/>
        </w:rPr>
      </w:pPr>
      <w:r>
        <w:rPr>
          <w:rFonts w:ascii="Arial" w:cs="Arial" w:eastAsia="Arial" w:hAnsi="Arial"/>
          <w:sz w:val="16"/>
          <w:szCs w:val="16"/>
          <w:color w:val="auto"/>
        </w:rPr>
        <w:t>Certain key operating statistics specific to the gaming industry are included in our discussions of the Company’s operational performance for the periods in which a Condensed Consolidated Statements of Comprehensive Income (Loss) is presented. Below are definitions of the statistics discussed:</w:t>
      </w:r>
    </w:p>
    <w:p>
      <w:pPr>
        <w:spacing w:after="0" w:line="205"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and is recorded as casino revenue.</w:t>
      </w:r>
    </w:p>
    <w:p>
      <w:pPr>
        <w:spacing w:after="0" w:line="9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including promotional allowances (less service charges, if any) by total rooms occupied including complimentary rooms.</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279"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334" w:lineRule="exact"/>
        <w:rPr>
          <w:sz w:val="20"/>
          <w:szCs w:val="20"/>
          <w:color w:val="auto"/>
        </w:rPr>
      </w:pPr>
    </w:p>
    <w:p>
      <w:pPr>
        <w:ind w:left="900" w:right="4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including promotional allowances (less service charges, if any) by total rooms available.</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total rooms available.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Second quarter 2014 results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1240" w:type="dxa"/>
            <w:vAlign w:val="bottom"/>
          </w:tcPr>
          <w:p>
            <w:pPr>
              <w:spacing w:after="0"/>
              <w:rPr>
                <w:sz w:val="16"/>
                <w:szCs w:val="16"/>
                <w:color w:val="auto"/>
              </w:rPr>
            </w:pPr>
          </w:p>
        </w:tc>
      </w:tr>
      <w:tr>
        <w:trPr>
          <w:trHeight w:val="203"/>
        </w:trPr>
        <w:tc>
          <w:tcPr>
            <w:tcW w:w="40" w:type="dxa"/>
            <w:vAlign w:val="bottom"/>
          </w:tcPr>
          <w:p>
            <w:pPr>
              <w:spacing w:after="0"/>
              <w:rPr>
                <w:sz w:val="17"/>
                <w:szCs w:val="17"/>
                <w:color w:val="auto"/>
              </w:rPr>
            </w:pPr>
          </w:p>
        </w:tc>
        <w:tc>
          <w:tcPr>
            <w:tcW w:w="102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w w:val="87"/>
              </w:rPr>
              <w:t>(in thousands)</w:t>
            </w:r>
          </w:p>
        </w:tc>
        <w:tc>
          <w:tcPr>
            <w:tcW w:w="22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Percent Change</w:t>
            </w: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7"/>
                <w:szCs w:val="17"/>
                <w:color w:val="auto"/>
              </w:rPr>
            </w:pPr>
          </w:p>
        </w:tc>
        <w:tc>
          <w:tcPr>
            <w:tcW w:w="1240" w:type="dxa"/>
            <w:vAlign w:val="bottom"/>
          </w:tcPr>
          <w:p>
            <w:pPr>
              <w:jc w:val="right"/>
              <w:ind w:right="54"/>
              <w:spacing w:after="0"/>
              <w:rPr>
                <w:sz w:val="20"/>
                <w:szCs w:val="20"/>
                <w:color w:val="auto"/>
              </w:rPr>
            </w:pPr>
            <w:r>
              <w:rPr>
                <w:rFonts w:ascii="Arial" w:cs="Arial" w:eastAsia="Arial" w:hAnsi="Arial"/>
                <w:sz w:val="14"/>
                <w:szCs w:val="14"/>
                <w:b w:val="1"/>
                <w:bCs w:val="1"/>
                <w:color w:val="auto"/>
              </w:rPr>
              <w:t>Percent Change</w:t>
            </w:r>
          </w:p>
        </w:tc>
      </w:tr>
      <w:tr>
        <w:trPr>
          <w:trHeight w:val="48"/>
        </w:trPr>
        <w:tc>
          <w:tcPr>
            <w:tcW w:w="40" w:type="dxa"/>
            <w:vAlign w:val="bottom"/>
            <w:tcBorders>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22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44"/>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451,584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401,541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832,713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788,380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43,886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(33,408)</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231.4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42,221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(49,769)</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184.8</w:t>
            </w: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160,424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135,657</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270,712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256,014</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40" w:firstLine="432"/>
        <w:spacing w:after="0" w:line="286" w:lineRule="auto"/>
        <w:rPr>
          <w:sz w:val="20"/>
          <w:szCs w:val="20"/>
          <w:color w:val="auto"/>
        </w:rPr>
      </w:pPr>
      <w:r>
        <w:rPr>
          <w:rFonts w:ascii="Arial" w:cs="Arial" w:eastAsia="Arial" w:hAnsi="Arial"/>
          <w:sz w:val="17"/>
          <w:szCs w:val="17"/>
          <w:color w:val="auto"/>
        </w:rPr>
        <w:t>During the three months ended June 30, 2014 net income was $43.9 million compared to a net loss of $33.4 million for the same period of 2013. The change was primarily attributable to a 28.0% increase in casino revenues, operating margin improvement mainly resulting from a 28.0% reduction in depreciation and amortization expense and the impact from financing activities in the prior year on our non-operating expenses.</w:t>
      </w:r>
    </w:p>
    <w:p>
      <w:pPr>
        <w:spacing w:after="0" w:line="166"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During the six months ended June 30, 2014 net income was $42.2 million compared to a net loss of $49.8 million for the same period of 2013. The change was primarily attributable to increases of 5.9% in casino revenues and 9.8% in room revenues, operating margin improvement which was driven by a 28.3% reduction in depreciation and amortization expense and the impact from financing activities in the prior year on our non-operating expenses.</w:t>
      </w:r>
    </w:p>
    <w:p>
      <w:pPr>
        <w:spacing w:after="0" w:line="147"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We achieved our quarterly record in Adjusted Property EBITDA with $160.4 million for the three months ended June 30, 2014 driven by a 28.0% increase in casino revenues and a 7.3% increase in room revenues.</w:t>
      </w:r>
    </w:p>
    <w:p>
      <w:pPr>
        <w:spacing w:after="0" w:line="17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our resort. We currently rely solely upon the operations of Wynn Las Vegas for our operating cash flow. Concentration of our cash flows to Wynn Las Vegas exposes us to certain risks that competitors, whose operations are more diversified, may be better able to control. In addition to the concentration of operations in a single resort complex, many of our customers are premium gaming customers who wager on credit, thus exposing us to increased credit risk. High-end gaming also increases the potential for variability in our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June 30, 2014 compared to the three months ended June 30, 2013.</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Non-casino revenues consist of operating revenues from rooms, food and beverage, entertainment, retail and other, less promotional allowances. The following table presents net revenues from our casino revenues and non-casino revenues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vMerge w:val="restart"/>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1020" w:type="dxa"/>
            <w:vAlign w:val="bottom"/>
          </w:tcPr>
          <w:p>
            <w:pPr>
              <w:jc w:val="right"/>
              <w:ind w:right="20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182,534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142,634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269,050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258,907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7"/>
        </w:trPr>
        <w:tc>
          <w:tcPr>
            <w:tcW w:w="72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451,584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401,541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The percentage of our net revenues from non-casino revenues were 59.6% for the three months ended June 30, 2014 compared to 64.5% for the same period of 2013. Casino revenues were 40.4% of total net revenues for the three months ended June 30, 2014 compared to 35.5% of total net revenues for the same period of 2013.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9"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Casino revenues increased 28.0% to $182.5 million for the three months ended June 30, 2014, up from $142.6 million in the same period of 2013 primarily due to an increase of 5.9 percentage points in table games win percentage and an increase in table games volume with drop increasing 14.8% year-over-year.</w:t>
      </w:r>
    </w:p>
    <w:p>
      <w:pPr>
        <w:spacing w:after="0" w:line="18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related to our operations (in thousands except for win per unit per day and average number of table games and slots).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Increase/(Decrease)</w:t>
            </w:r>
          </w:p>
        </w:tc>
        <w:tc>
          <w:tcPr>
            <w:tcW w:w="1480" w:type="dxa"/>
            <w:vAlign w:val="bottom"/>
          </w:tcPr>
          <w:p>
            <w:pPr>
              <w:jc w:val="right"/>
              <w:ind w:right="41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80" w:type="dxa"/>
            <w:vAlign w:val="bottom"/>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casino revenues</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182,534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142,634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Average number of table games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Drop</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629,047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548,021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81,026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Table games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172,054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117,782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54,272</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Table games win %</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Table games win per unit per day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8,130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5,548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2,582</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Average number of slot machines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2,126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Slot machine handle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706,870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712,603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Slot machine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46,131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44,689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Slot machine win per unit per day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Non-casino revenues increased 3.9%, or $10.1 million, to $269.1 million for the three months ended June 30, 2014, up from $258.9 million for the same period of 2013 primarily from a 7.3% increase in room revenues, a 1.8% increase in food and beverage revenues and a 3.1% increase in entertainment, retail and other revenues.</w:t>
      </w:r>
    </w:p>
    <w:p>
      <w:pPr>
        <w:spacing w:after="0" w:line="181"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Room revenues increased 7.3%, or $7.3 million, to $107.9 million for the three months ended June 30, 2014, up from $100.6 million for the same period of 2013 driven by a 5.6% increase in ADR from $268 to $283 and an occupancy increase of 1.5 percentage points.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our room revenues and associated key operating measures related to our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1240" w:type="dxa"/>
            <w:vAlign w:val="bottom"/>
          </w:tcPr>
          <w:p>
            <w:pPr>
              <w:spacing w:after="0"/>
              <w:rPr>
                <w:sz w:val="16"/>
                <w:szCs w:val="16"/>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Percent Change (a)</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room revenues (in thousands)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107,911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100,582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6"/>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 Except occupancy, which is presented as a percentage point change.</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Food and beverage revenues increased 1.8%, or $2.6 million to $149.1 million for the three months ended June 30, 2014 compared to $146.5 million for the same period of 2013 mainly due to an increase in revenues at our restaurants and nightclubs.</w:t>
      </w:r>
    </w:p>
    <w:p>
      <w:pPr>
        <w:spacing w:after="0" w:line="17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Entertainment, retail and other revenues increased 3.1%, or $1.7 million to $56.8 million for the three months ended June 30, 2014 compared to $55.1 million for the same period of 2013 as a result of increased revenues in retail and other resort services.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9"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costs and expenses</w:t>
      </w:r>
    </w:p>
    <w:p>
      <w:pPr>
        <w:spacing w:after="0" w:line="225"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Operating costs and expenses were relatively flat with $354.2 million for the three months ended June 30, 2014 compared to $352.0 million for the same period of 2013.</w:t>
      </w:r>
    </w:p>
    <w:p>
      <w:pPr>
        <w:spacing w:after="0" w:line="17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Casino expenses increased 9.5%, or $6.4 million to $74.3 million for the three months ended June 30, 2014, up from $67.9 million for the same period of 2013, primarily due to an increase in gaming tax and other expenses associated with the casino revenue increase.</w:t>
      </w:r>
    </w:p>
    <w:p>
      <w:pPr>
        <w:spacing w:after="0" w:line="17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Room expense increased 9.7%, or $3.2 million to $36.2 million for the three months ended June 30, 2014 from $33.0 million for the same period of 2013 mainly due to an increase in occupancy over the prior year.</w:t>
      </w:r>
    </w:p>
    <w:p>
      <w:pPr>
        <w:spacing w:after="0" w:line="170"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Food and beverage expense increased 4.4%, or $4.0 million to $95.1 million for the three months ended June 30, 2014, up from $91.1 million for the same period of 2013. The increase in food and beverage expenses outpaced the increase in food and beverage revenues as a result of higher costs in the current period for entertainment at our nightclubs.</w:t>
      </w:r>
    </w:p>
    <w:p>
      <w:pPr>
        <w:spacing w:after="0" w:line="18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General and administrative expense increased 4.3%, or $2.7 million to $65.0 million for the three months ended June 30, 2014, up from $62.3 million for the same period of 2013 primarily attributable to an increase in corporate allocations.</w:t>
      </w:r>
    </w:p>
    <w:p>
      <w:pPr>
        <w:spacing w:after="0" w:line="170"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During the three months ended June 30, 2014, our provision for doubtful accounts was $0.3 million compared to a benefit for doubtful accounts of $9.0 million for the same period of 2013, with the benefit in the prior year primarily a result of an adjustment to reserve estimates for our casino accounts receivable. The adjustment to reserve estimates was based on the results of historical collection patterns and current collection trends.</w:t>
      </w:r>
    </w:p>
    <w:p>
      <w:pPr>
        <w:spacing w:after="0" w:line="166"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Depreciation and amortization expense decreased 28.0%, or $17.4 million to $44.7 million for the three months ended June 30, 2014 from $62.1 million for the same period of 2013. This decrease was primarily due to certain Encore assets with a five year useful life becoming fully depreciated.</w:t>
      </w:r>
    </w:p>
    <w:p>
      <w:pPr>
        <w:spacing w:after="0" w:line="147"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Property charges and other were minimal for the three months ended June 30, 2014 compared to $7.1 million for the same period of 2013. Property charges and other for the three months ended June 30, 2013 were for fees associated with the termination of a contract and miscellaneous renovations and abandonments at our resort.</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Non-operating income and expenses</w:t>
      </w:r>
    </w:p>
    <w:p>
      <w:pPr>
        <w:spacing w:after="0" w:line="22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Interest expense decreased 9.2%, or $5.2 million to $51.4 million for the three months ended June 30, 2014, compared to $56.6 million for the three months ended June 30, 2013. During 2013, we completed a principal repayment of $500 million 7 7/8% first mortgage notes through a cash tender offer and redemption of untendered notes and issued $500 million 4 1/4% senior notes. These financing activities resulted in a lower weighted average interest rate for the three months ended June 30, 2014 compared to same period of 2013.</w:t>
      </w:r>
    </w:p>
    <w:p>
      <w:pPr>
        <w:spacing w:after="0" w:line="200" w:lineRule="exact"/>
        <w:rPr>
          <w:sz w:val="20"/>
          <w:szCs w:val="20"/>
          <w:color w:val="auto"/>
        </w:rPr>
      </w:pPr>
    </w:p>
    <w:p>
      <w:pPr>
        <w:ind w:right="20" w:firstLine="648"/>
        <w:spacing w:after="0" w:line="272" w:lineRule="auto"/>
        <w:rPr>
          <w:sz w:val="20"/>
          <w:szCs w:val="20"/>
          <w:color w:val="auto"/>
        </w:rPr>
      </w:pPr>
      <w:r>
        <w:rPr>
          <w:rFonts w:ascii="Arial" w:cs="Arial" w:eastAsia="Arial" w:hAnsi="Arial"/>
          <w:sz w:val="18"/>
          <w:szCs w:val="18"/>
          <w:color w:val="auto"/>
        </w:rPr>
        <w:t>We incurred a loss of $2.3 million on the extinguishment of debt for the three months ended June 30, 2014 compared to a loss of $26.6 million for the same period of 2013. During the three months ended June 30, 2014, the loss was for the premium paid on the purchase of our first mortgage notes due in 2020 through open market transactions and the write-off of related unamortized deferred financing costs and original issue discount. During the three months ended June 30, 2013, the loss was primarily the result of the premium paid in the cash tender offer of our first mortgage notes due in 2017 and the write-off of related unamortized deferred financing costs and original issue discount.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9" w:right="2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six months ended June 30, 2014 compared to the six months ended June 30, 2013.</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revenues from our casino revenues and non-casino revenues (in thousands).</w:t>
      </w:r>
    </w:p>
    <w:p>
      <w:pPr>
        <w:spacing w:after="0" w:line="230"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19640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Percent Change</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337,813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318,885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494,900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469,495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832,713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788,380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The percentage of our net revenues from non-casino revenues was 59.4% for the six months ended June 30, 2014 compared to 59.6% for the same period of 2013. Casino revenues were 40.6% of total net revenues for the six months ended June 30, 2014 compared to 40.4% of total net revenues for the same period of 2013.</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Casino revenues increased 5.9% to $337.8 million for the six months ended June 30, 2014, up from $318.9 million in the same period of 2013 primarily driven by an increase in table games and slot machine volumes, with a 4.9% year-over-year increase in table games drop and a 2.9% year-over-year increase in slot machine handle. Slot machine handle increased despite a 14.2% reduction in our average number of slot machines with an increase in slot machine win per unit per day of 22.9% from $223 to $274.</w:t>
      </w:r>
    </w:p>
    <w:p>
      <w:pPr>
        <w:spacing w:after="0" w:line="18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related to our operations (in thousands except for win per unit per day and average number of table games and slots).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400"/>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Increase/(Decrease)</w:t>
            </w:r>
          </w:p>
        </w:tc>
        <w:tc>
          <w:tcPr>
            <w:tcW w:w="1480" w:type="dxa"/>
            <w:vAlign w:val="bottom"/>
          </w:tcPr>
          <w:p>
            <w:pPr>
              <w:jc w:val="right"/>
              <w:ind w:right="41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80" w:type="dxa"/>
            <w:vAlign w:val="bottom"/>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casino revenues</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337,813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318,885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Average number of table games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Drop</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1,276,483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1,216,940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59,543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Table games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305,788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296,572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9,216</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Table games win %</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Table games win per unit per day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7,281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7,025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Average number of slot machines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Slot machine handle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1,450,668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1,409,198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41,470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Slot machine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91,632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86,973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4,659</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Slot machine win per unit per day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right="160" w:firstLine="432"/>
        <w:spacing w:after="0" w:line="308" w:lineRule="auto"/>
        <w:rPr>
          <w:sz w:val="20"/>
          <w:szCs w:val="20"/>
          <w:color w:val="auto"/>
        </w:rPr>
      </w:pPr>
      <w:r>
        <w:rPr>
          <w:rFonts w:ascii="Arial" w:cs="Arial" w:eastAsia="Arial" w:hAnsi="Arial"/>
          <w:sz w:val="17"/>
          <w:szCs w:val="17"/>
          <w:color w:val="auto"/>
        </w:rPr>
        <w:t>Non-casino revenues increased 5.4%, or $25.4 million, to $494.9 million for the six months ended June 30, 2014, up from $469.5 million for the same period of 2013 primarily from a 9.8% increase in room revenues and a 6.0% increase in entertainment, retail and other revenues.</w:t>
      </w:r>
    </w:p>
    <w:p>
      <w:pPr>
        <w:spacing w:after="0" w:line="14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Room revenues increased 9.8%, or $18.9 million, to $211.0 million for the six months ended June 30, 2014, up from $192.1 million for the same period of 2013 driven by a 6.1% increase in ADR and an occupancy increase of 3.2 percentage points from 84.9% to 88.1%.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9"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our room revenues and associated key operating measures related to our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400"/>
              <w:spacing w:after="0"/>
              <w:rPr>
                <w:sz w:val="20"/>
                <w:szCs w:val="20"/>
                <w:color w:val="auto"/>
              </w:rPr>
            </w:pPr>
            <w:r>
              <w:rPr>
                <w:rFonts w:ascii="Arial" w:cs="Arial" w:eastAsia="Arial" w:hAnsi="Arial"/>
                <w:sz w:val="14"/>
                <w:szCs w:val="14"/>
                <w:b w:val="1"/>
                <w:bCs w:val="1"/>
                <w:color w:val="auto"/>
              </w:rPr>
              <w:t>Six Months Ended June 30,</w:t>
            </w:r>
          </w:p>
        </w:tc>
        <w:tc>
          <w:tcPr>
            <w:tcW w:w="1240" w:type="dxa"/>
            <w:vAlign w:val="bottom"/>
          </w:tcPr>
          <w:p>
            <w:pPr>
              <w:spacing w:after="0"/>
              <w:rPr>
                <w:sz w:val="16"/>
                <w:szCs w:val="16"/>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Percent Change (a)</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room revenues (in thousands)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210,983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192,127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6"/>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 Except occupancy, which is presented as a percentage point change.</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202"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Food and beverage revenues were relatively flat with $264.1 million for the six months ended June 30, 2014 compared to $262.0 million for the same period of 2013 mainly due to an increase in revenues at our restaurants offset by a reduction in revenues from our nightclubs.</w:t>
      </w:r>
    </w:p>
    <w:p>
      <w:pPr>
        <w:spacing w:after="0" w:line="14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Entertainment, retail and other revenues increased 6.0%, or $6.3 million to $111.1 million for the six months ended June 30, 2014 compared to $104.8 million for the same period of 2013 as a result of increased revenues in retail and other resort services.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costs and expenses</w:t>
      </w:r>
    </w:p>
    <w:p>
      <w:pPr>
        <w:spacing w:after="0" w:line="225"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Operating costs and expenses decreased 2.1%, or $14.6 million to $683.8 million for the six months ended June 30, 2014, down from $698.4 million for the same period of 2013. The reduction in our operating costs and expenses was mainly a result of decreases in our depreciation and amortization expense and property charges and other, offset by the impact of a benefit from doubtful accounts in the prior year and increases in all other operating cost line items.</w:t>
      </w:r>
    </w:p>
    <w:p>
      <w:pPr>
        <w:spacing w:after="0" w:line="14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Casino expenses increased 2.1%, or $3.2 million to $154.8 million for the six months ended June 30, 2014, from $151.7 million for the same period of 2013, primarily due to an increase in gaming tax and other expenses associated with the revenue increase.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Room expense increased 7.9%, or $5.2 million to $70.4 million for the six months ended June 30, 2014 from $65.2 million for the same period of 2013.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room expense was driven primarily by the increase in occupancy over the prior year.</w:t>
      </w:r>
    </w:p>
    <w:p>
      <w:pPr>
        <w:spacing w:after="0" w:line="21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Food and beverage expense increased 2.9%, or $4.7 million to $165.7 million for the six months ended June 30, 2014, from $161.0 million for the same period of 2013. The increase in food and beverage expenses outpaced the increase in food and beverage revenues as a result of higher costs in the current period for entertainment at our nightclubs.</w:t>
      </w:r>
    </w:p>
    <w:p>
      <w:pPr>
        <w:spacing w:after="0" w:line="18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Entertainment, retail and other expenses increased 9.2%, or $5.5 million to $65.1 million for the six months ended June 30, 2014 from $59.6 million in the prior period of 2013. The increase was primarily a result of higher entertainment and other event costs as well as repairs made to the pool and cabana areas.</w:t>
      </w:r>
    </w:p>
    <w:p>
      <w:pPr>
        <w:spacing w:after="0" w:line="18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General and administrative expense increased 2.4%, or $2.9 million to $124.3 million for the six months ended June 30, 2014, up from $121.3 million for the same period of 2013 primarily attributable to an increase in corporate allocations.</w:t>
      </w:r>
    </w:p>
    <w:p>
      <w:pPr>
        <w:spacing w:after="0" w:line="170"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During the six months ended June 30, 2014, our provision for doubtful accounts was $2.5 million compared to a benefit for doubtful accounts of $5.8 million for the same period of 2013, with the benefit in the prior year primarily a result of an adjustment to reserve estimates for our casino accounts receivable. The adjustment to reserve estimates was based on the results of historical collection patterns and current collection trends.</w:t>
      </w:r>
    </w:p>
    <w:p>
      <w:pPr>
        <w:spacing w:after="0" w:line="166"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Depreciation and amortization decreased 28.3%, or $35.0 million to $88.7 million for the six months ended June 30, 2014 from $123.7 million for the same period of 2013. This significant decrease was primarily due to certain Encore assets with a five year useful life becoming fully depreciated at the end of 2013.</w:t>
      </w:r>
    </w:p>
    <w:p>
      <w:pPr>
        <w:spacing w:after="0" w:line="181" w:lineRule="exact"/>
        <w:rPr>
          <w:sz w:val="20"/>
          <w:szCs w:val="20"/>
          <w:color w:val="auto"/>
        </w:rPr>
      </w:pPr>
    </w:p>
    <w:p>
      <w:pPr>
        <w:ind w:right="540" w:firstLine="432"/>
        <w:spacing w:after="0" w:line="264" w:lineRule="auto"/>
        <w:rPr>
          <w:sz w:val="20"/>
          <w:szCs w:val="20"/>
          <w:color w:val="auto"/>
        </w:rPr>
      </w:pPr>
      <w:r>
        <w:rPr>
          <w:rFonts w:ascii="Arial" w:cs="Arial" w:eastAsia="Arial" w:hAnsi="Arial"/>
          <w:sz w:val="18"/>
          <w:szCs w:val="18"/>
          <w:color w:val="auto"/>
        </w:rPr>
        <w:t>Property charges and other were minimal for the six months ended June 30, 2014 compared to $9.8 million for the same period in 2013. Property charges and other for the six months ended June 30, 2013 were primarily for the fees associated with the termination of a contract and miscellaneous renovations and abandonments at our resort.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9"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Non-operating income and expenses</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Interest expense decreased 9.0%, or $10.2 million to $103.2 million for the six months ended June 30, 2014, compared to $113.4 million for the six months ended June 30, 2013. During 2013, we completed a principal repayment of $500 million 7 7/8% first mortgage notes through a cash tender offer and redemption of untendered notes and issued $500 million 4 1/4% senior notes. These financing activities resulted in a lower weighted average interest rate for the six months ended June 30, 2014 compared to same period of 2013.</w:t>
      </w:r>
    </w:p>
    <w:p>
      <w:pPr>
        <w:spacing w:after="0" w:line="18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incurred a loss of $3.8 million on the extinguishment of debt for the six months ended June 30, 2014 compared to a loss of $26.6 million for the same period of 2013. During the six months ended June 30, 2014, the loss was for the premium paid on the purchase of our first mortgage notes due in 2020 through open market transactions and the write-off of related unamortized deferred financing costs and original issue discount. During the six months ended June 30, 2013, the loss was primarily the result of the premium paid in the cash tender offer of our first mortgage notes due in 2017 and the write-off of related unamortized deferred financing costs and original issue discount.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29"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use Adjusted Property EBITDA to manage the operating results of our resort. Adjusted Property EBITDA is earnings before interest, taxes, depreciation, amortization, pre-opening costs, property charges and other, corporate expenses and other, intercompany golf course and water rights leases, stock-based compensation, and other non-operating income and expenses and includes equity in income (loss)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resort and comparison with competitors.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(loss),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or calculation of Adjusted Property EBITDA may be different from the calculation methods used by other companies, therefore, comparability may be limited.</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279"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reconciliation of Adjusted Property EBITDA to net income (loss) (in thousands):</w:t>
      </w: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8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2013</w:t>
            </w: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Property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160,424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135,657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270,712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256,014</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Other operating costs and expenses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41"/>
        </w:trPr>
        <w:tc>
          <w:tcPr>
            <w:tcW w:w="50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44,726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62,095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88,716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123,705</w:t>
            </w:r>
          </w:p>
        </w:tc>
      </w:tr>
      <w:tr>
        <w:trPr>
          <w:trHeight w:val="243"/>
        </w:trPr>
        <w:tc>
          <w:tcPr>
            <w:tcW w:w="5080" w:type="dxa"/>
            <w:vAlign w:val="bottom"/>
          </w:tcPr>
          <w:p>
            <w:pPr>
              <w:ind w:left="360"/>
              <w:spacing w:after="0"/>
              <w:rPr>
                <w:sz w:val="20"/>
                <w:szCs w:val="20"/>
                <w:color w:val="auto"/>
              </w:rPr>
            </w:pPr>
            <w:r>
              <w:rPr>
                <w:rFonts w:ascii="Arial" w:cs="Arial" w:eastAsia="Arial" w:hAnsi="Arial"/>
                <w:sz w:val="18"/>
                <w:szCs w:val="18"/>
                <w:color w:val="auto"/>
              </w:rPr>
              <w:t>Property charges and other</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7,065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9,819</w:t>
            </w:r>
          </w:p>
        </w:tc>
      </w:tr>
      <w:tr>
        <w:trPr>
          <w:trHeight w:val="27"/>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Corporate expenses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31,302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28,040</w:t>
            </w:r>
          </w:p>
        </w:tc>
      </w:tr>
      <w:tr>
        <w:trPr>
          <w:trHeight w:val="243"/>
        </w:trPr>
        <w:tc>
          <w:tcPr>
            <w:tcW w:w="508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2,253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4,480</w:t>
            </w:r>
          </w:p>
        </w:tc>
      </w:tr>
      <w:tr>
        <w:trPr>
          <w:trHeight w:val="27"/>
        </w:trPr>
        <w:tc>
          <w:tcPr>
            <w:tcW w:w="5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50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63,000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86,106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121,774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166,044</w:t>
            </w: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97,424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49,551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148,938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89,970</w:t>
            </w:r>
          </w:p>
        </w:tc>
      </w:tr>
      <w:tr>
        <w:trPr>
          <w:trHeight w:val="27"/>
        </w:trPr>
        <w:tc>
          <w:tcPr>
            <w:tcW w:w="5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54</w:t>
            </w:r>
          </w:p>
        </w:tc>
      </w:tr>
      <w:tr>
        <w:trPr>
          <w:trHeight w:val="27"/>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(113,397)</w:t>
            </w:r>
          </w:p>
        </w:tc>
      </w:tr>
      <w:tr>
        <w:trPr>
          <w:trHeight w:val="243"/>
        </w:trPr>
        <w:tc>
          <w:tcPr>
            <w:tcW w:w="508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(26,578)</w:t>
            </w:r>
          </w:p>
        </w:tc>
      </w:tr>
      <w:tr>
        <w:trPr>
          <w:trHeight w:val="27"/>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Equity in income from unconsolidated affiliates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r>
      <w:tr>
        <w:trPr>
          <w:trHeight w:val="237"/>
        </w:trPr>
        <w:tc>
          <w:tcPr>
            <w:tcW w:w="5080" w:type="dxa"/>
            <w:vAlign w:val="bottom"/>
          </w:tcPr>
          <w:p>
            <w:pPr>
              <w:ind w:left="70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(53,538)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(82,959)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(139,739)</w:t>
            </w:r>
          </w:p>
        </w:tc>
      </w:tr>
      <w:tr>
        <w:trPr>
          <w:trHeight w:val="27"/>
        </w:trPr>
        <w:tc>
          <w:tcPr>
            <w:tcW w:w="5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43,886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(33,408)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42,221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(49,769)</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Operations</w:t>
      </w:r>
    </w:p>
    <w:p>
      <w:pPr>
        <w:spacing w:after="0" w:line="22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Our operating cash flows primarily consist of our operating income generated by our resort (excluding depreciation and amortization and other non-cash charges), interest paid,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65"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Net cash provided by operations for the six months ended June 30, 2014, was $159.1 million compared to $118.3 million for the six months ended June 30, 2013. During the six months ended June 30, 2014, the increase in our cash provided by operations was primarily from increased operating income that was driven by stronger operating results in the casino department.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Net cash used in investing activities for the six months ended June 30, 2014 was $33.9 million compared to $18.4 million used in investing activities for the same period in 2013. The increase was driven by the cash settlement timing of amounts with affiliates which resulted in cash used of $2.6 million for the six months ended June 30, 2014 compared to cash provided by affiliates of $7.4 million for the same period in 2013. Cash used for capital expenditures in both years primarily related to general property maintenance.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Net cash used in financing activities was $36.1 million for the six months ended June 30, 2014 primarily attributable to the repurchase of $32.0 million in principal plus interest of our first mortgage notes through open market transactions. Net cash used in financing activities of $42.4 million for the six months ended June 30, 2013 was primarily for principal payments of $275.4 million on long-term debt and the restriction of $243.0 million for purposes of redeeming first mortgage notes, offset by proceeds of $500.0 million from the issuance of senior notes.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9"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At June 30, 2014, we had $320.3 million of cash and cash equivalents available for use without restriction, including for operations, debt service and extinguishment, new development activities, enhancements to our property and general corporate purposes. We require a certain amount of cash on hand for operations. We anticipate such funds, together with any additional borrowings and cash generated from operations will satisfy our liquidity needs during the remainder of 2014.</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Off Balance Sheet Arrangements</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June 30, 2014, we had unsecured outstanding letters of credit totaling $16.7 million.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There have been no material changes outside the ordinary course of our business during the six months ended June 30, 2014 to our contractual obligations or off balance sheet arrangements as disclosed in our Annual Report on Form 10-K for the year ended December 31, 2013, except as discussed above under “Financing Activities.”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Liquidity Matters</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are restricted under the indentures governing the first mortgage notes from making certain “restricted payments” as defined in the indentures. These restricted payments include the payments of dividends or distributions to any direct or indirect holders of equity interests of Wynn Las Vegas, LLC. These restricted payments may not be made until certain other financial and non-financial criteria have been satisfied.</w:t>
      </w:r>
    </w:p>
    <w:p>
      <w:pPr>
        <w:spacing w:after="0" w:line="181"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We intend to fund our operations and capital requirements from cash on hand and operating cash flow. We cannot be sure that we will generate sufficient cash flow from operations or that future borrowings that are available to us, if any, will be sufficient to enable us to service and repay our indebtedness and to fund our other liquidity needs. We cannot be sure that we will be able to refinance any of our indebtedness on acceptable terms or at all.</w:t>
      </w:r>
    </w:p>
    <w:p>
      <w:pPr>
        <w:spacing w:after="0" w:line="147"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1 - "Financial Statements", Note 8 "Commitments and Contingencies".</w:t>
      </w:r>
    </w:p>
    <w:p>
      <w:pPr>
        <w:spacing w:after="0" w:line="181"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 Any repurchases might be made using a variety of methods, which may include open market purchases, privately negotiated transactions, or by any combination of those methods, in compliance with applicable securities laws and regulations.</w:t>
      </w:r>
    </w:p>
    <w:p>
      <w:pPr>
        <w:spacing w:after="0" w:line="15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New business developments or other unforeseen events may occur, resulting in the need to raise additional funds. We continue to explore opportunities to develop additional gaming or related businesses in the United States. There can be no assurances regarding the business prospects with respect to any other opportunity. Any other development would require us to obtain additional financing.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2013. There has been no material change to these policies for the six months ended June 30, 2014.</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9" w:right="27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88"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 – Risk Factors and other factors we describe from time to time in our periodic filings with the SEC, such as:</w:t>
      </w:r>
    </w:p>
    <w:p>
      <w:pPr>
        <w:spacing w:after="0" w:line="262"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 and from governmental intervention in the financial markets;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shareholder of Wynn Resorts, Limited;</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or enforcement actions;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Wynn Las Vegas for all of our cash flow;</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end enforce gaming debts;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tourism trends given the current domestic and international economic conditions;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environmental regulation;</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or the impact of a natural disaster may have on the travel and leisure industry; and</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consequences of military conflicts and any future security alerts and/or terrorist attacks.</w:t>
      </w:r>
    </w:p>
    <w:p>
      <w:pPr>
        <w:spacing w:after="0" w:line="225" w:lineRule="exact"/>
        <w:rPr>
          <w:sz w:val="20"/>
          <w:szCs w:val="20"/>
          <w:color w:val="auto"/>
        </w:rPr>
      </w:pPr>
    </w:p>
    <w:p>
      <w:pPr>
        <w:jc w:val="both"/>
        <w:ind w:right="100" w:firstLine="432"/>
        <w:spacing w:after="0" w:line="259"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9"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Risks</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and by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2014 our long-term debt was essentially based on fixed 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firstLine="413"/>
        <w:spacing w:after="0" w:line="340" w:lineRule="auto"/>
        <w:tabs>
          <w:tab w:leader="none" w:pos="848"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principal executive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principal executive officer and principal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principal executive officer and principal financial officer, as appropriate to allow timely decisions regarding required disclosure.</w:t>
      </w:r>
    </w:p>
    <w:p>
      <w:pPr>
        <w:spacing w:after="0" w:line="171" w:lineRule="exact"/>
        <w:rPr>
          <w:rFonts w:ascii="Arial" w:cs="Arial" w:eastAsia="Arial" w:hAnsi="Arial"/>
          <w:sz w:val="16"/>
          <w:szCs w:val="16"/>
          <w:color w:val="auto"/>
        </w:rPr>
      </w:pPr>
    </w:p>
    <w:p>
      <w:pPr>
        <w:jc w:val="both"/>
        <w:ind w:right="240" w:firstLine="413"/>
        <w:spacing w:after="0" w:line="311" w:lineRule="auto"/>
        <w:tabs>
          <w:tab w:leader="none" w:pos="858"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were no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quarter to which this report relates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9" w:right="27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 description of our risk factors can be found in Item 1A of our Annual Report on Form 10-K for the year ended December 31, 2013. There were no material changes to those risk factors during the six months ended June 30,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Restrictions imposed by our debt instruments significantly restrict us, subject to certain exceptions for payment of allocable corporate overhead, from declaring or paying dividends or distributions. Specifically, we are restricted under the indentures governing the first mortgage notes from making certain “restricted payments” as defined therein. These restricted payments include the payment of dividends or distributions to any direct or indirect holders of our membership interests. These restricted payments may not be made until certain other financial and non-financial criteria have been satisfied.</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240" w:top="279" w:right="41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jc w:val="right"/>
              <w:ind w:right="114"/>
              <w:spacing w:after="0"/>
              <w:rPr>
                <w:sz w:val="20"/>
                <w:szCs w:val="20"/>
                <w:color w:val="auto"/>
              </w:rPr>
            </w:pPr>
            <w:r>
              <w:rPr>
                <w:rFonts w:ascii="Arial" w:cs="Arial" w:eastAsia="Arial" w:hAnsi="Arial"/>
                <w:sz w:val="18"/>
                <w:szCs w:val="18"/>
                <w:color w:val="auto"/>
              </w:rPr>
              <w:t>(a)</w:t>
            </w:r>
          </w:p>
        </w:tc>
        <w:tc>
          <w:tcPr>
            <w:tcW w:w="10420" w:type="dxa"/>
            <w:vAlign w:val="bottom"/>
            <w:gridSpan w:val="3"/>
          </w:tcPr>
          <w:p>
            <w:pPr>
              <w:ind w:left="40"/>
              <w:spacing w:after="0"/>
              <w:rPr>
                <w:sz w:val="20"/>
                <w:szCs w:val="20"/>
                <w:color w:val="auto"/>
              </w:rPr>
            </w:pPr>
            <w:r>
              <w:rPr>
                <w:rFonts w:ascii="Arial" w:cs="Arial" w:eastAsia="Arial" w:hAnsi="Arial"/>
                <w:sz w:val="18"/>
                <w:szCs w:val="18"/>
                <w:color w:val="auto"/>
              </w:rPr>
              <w:t>Exhibits</w:t>
            </w:r>
          </w:p>
        </w:tc>
        <w:tc>
          <w:tcPr>
            <w:tcW w:w="0" w:type="dxa"/>
            <w:vAlign w:val="bottom"/>
          </w:tcPr>
          <w:p>
            <w:pPr>
              <w:spacing w:after="0"/>
              <w:rPr>
                <w:sz w:val="1"/>
                <w:szCs w:val="1"/>
                <w:color w:val="auto"/>
              </w:rPr>
            </w:pPr>
          </w:p>
        </w:tc>
      </w:tr>
      <w:tr>
        <w:trPr>
          <w:trHeight w:val="554"/>
        </w:trPr>
        <w:tc>
          <w:tcPr>
            <w:tcW w:w="8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800" w:type="dxa"/>
            <w:vAlign w:val="bottom"/>
            <w:gridSpan w:val="2"/>
          </w:tcPr>
          <w:p>
            <w:pPr>
              <w:ind w:left="5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12"/>
        </w:trPr>
        <w:tc>
          <w:tcPr>
            <w:tcW w:w="820" w:type="dxa"/>
            <w:vAlign w:val="bottom"/>
          </w:tcPr>
          <w:p>
            <w:pPr>
              <w:jc w:val="right"/>
              <w:ind w:right="94"/>
              <w:spacing w:after="0"/>
              <w:rPr>
                <w:sz w:val="20"/>
                <w:szCs w:val="20"/>
                <w:color w:val="auto"/>
              </w:rPr>
            </w:pPr>
            <w:r>
              <w:rPr>
                <w:rFonts w:ascii="Arial" w:cs="Arial" w:eastAsia="Arial" w:hAnsi="Arial"/>
                <w:sz w:val="14"/>
                <w:szCs w:val="14"/>
                <w:b w:val="1"/>
                <w:bCs w:val="1"/>
                <w:color w:val="auto"/>
              </w:rPr>
              <w:t>Exhibit</w:t>
            </w:r>
          </w:p>
        </w:tc>
        <w:tc>
          <w:tcPr>
            <w:tcW w:w="3620" w:type="dxa"/>
            <w:vAlign w:val="bottom"/>
          </w:tcPr>
          <w:p>
            <w:pPr>
              <w:spacing w:after="0"/>
              <w:rPr>
                <w:sz w:val="24"/>
                <w:szCs w:val="24"/>
                <w:color w:val="auto"/>
              </w:rPr>
            </w:pPr>
          </w:p>
        </w:tc>
        <w:tc>
          <w:tcPr>
            <w:tcW w:w="6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820" w:type="dxa"/>
            <w:vAlign w:val="bottom"/>
          </w:tcPr>
          <w:p>
            <w:pPr>
              <w:jc w:val="right"/>
              <w:ind w:right="214"/>
              <w:spacing w:after="0" w:line="158" w:lineRule="exact"/>
              <w:rPr>
                <w:sz w:val="20"/>
                <w:szCs w:val="20"/>
                <w:color w:val="auto"/>
              </w:rPr>
            </w:pPr>
            <w:r>
              <w:rPr>
                <w:rFonts w:ascii="Arial" w:cs="Arial" w:eastAsia="Arial" w:hAnsi="Arial"/>
                <w:sz w:val="14"/>
                <w:szCs w:val="14"/>
                <w:b w:val="1"/>
                <w:bCs w:val="1"/>
                <w:color w:val="auto"/>
              </w:rPr>
              <w:t>No.</w:t>
            </w:r>
          </w:p>
        </w:tc>
        <w:tc>
          <w:tcPr>
            <w:tcW w:w="3620" w:type="dxa"/>
            <w:vAlign w:val="bottom"/>
          </w:tcPr>
          <w:p>
            <w:pPr>
              <w:spacing w:after="0"/>
              <w:rPr>
                <w:sz w:val="13"/>
                <w:szCs w:val="13"/>
                <w:color w:val="auto"/>
              </w:rPr>
            </w:pPr>
          </w:p>
        </w:tc>
        <w:tc>
          <w:tcPr>
            <w:tcW w:w="6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820" w:type="dxa"/>
            <w:vAlign w:val="bottom"/>
            <w:tcBorders>
              <w:bottom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10420" w:type="dxa"/>
            <w:vAlign w:val="bottom"/>
            <w:gridSpan w:val="3"/>
          </w:tcPr>
          <w:p>
            <w:pPr>
              <w:ind w:left="940"/>
              <w:spacing w:after="0"/>
              <w:rPr>
                <w:sz w:val="20"/>
                <w:szCs w:val="20"/>
                <w:color w:val="auto"/>
              </w:rPr>
            </w:pPr>
            <w:r>
              <w:rPr>
                <w:rFonts w:ascii="Arial" w:cs="Arial" w:eastAsia="Arial" w:hAnsi="Arial"/>
                <w:sz w:val="18"/>
                <w:szCs w:val="18"/>
                <w:color w:val="auto"/>
              </w:rPr>
              <w:t>Second Amended and Restated Articles of Organization of Wynn Las Vegas, LLC. (1)</w:t>
            </w:r>
          </w:p>
        </w:tc>
        <w:tc>
          <w:tcPr>
            <w:tcW w:w="0" w:type="dxa"/>
            <w:vAlign w:val="bottom"/>
          </w:tcPr>
          <w:p>
            <w:pPr>
              <w:spacing w:after="0"/>
              <w:rPr>
                <w:sz w:val="1"/>
                <w:szCs w:val="1"/>
                <w:color w:val="auto"/>
              </w:rPr>
            </w:pPr>
          </w:p>
        </w:tc>
      </w:tr>
      <w:tr>
        <w:trPr>
          <w:trHeight w:val="392"/>
        </w:trPr>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0420" w:type="dxa"/>
            <w:vAlign w:val="bottom"/>
            <w:gridSpan w:val="3"/>
          </w:tcPr>
          <w:p>
            <w:pPr>
              <w:ind w:left="940"/>
              <w:spacing w:after="0"/>
              <w:rPr>
                <w:sz w:val="20"/>
                <w:szCs w:val="20"/>
                <w:color w:val="auto"/>
              </w:rPr>
            </w:pPr>
            <w:r>
              <w:rPr>
                <w:rFonts w:ascii="Arial" w:cs="Arial" w:eastAsia="Arial" w:hAnsi="Arial"/>
                <w:sz w:val="18"/>
                <w:szCs w:val="18"/>
                <w:color w:val="auto"/>
              </w:rPr>
              <w:t>Second Amended and Restated Operating Agreement of Wynn Las Vegas, LLC. (1)</w:t>
            </w:r>
          </w:p>
        </w:tc>
        <w:tc>
          <w:tcPr>
            <w:tcW w:w="0" w:type="dxa"/>
            <w:vAlign w:val="bottom"/>
          </w:tcPr>
          <w:p>
            <w:pPr>
              <w:spacing w:after="0"/>
              <w:rPr>
                <w:sz w:val="1"/>
                <w:szCs w:val="1"/>
                <w:color w:val="auto"/>
              </w:rPr>
            </w:pPr>
          </w:p>
        </w:tc>
      </w:tr>
      <w:tr>
        <w:trPr>
          <w:trHeight w:val="392"/>
        </w:trPr>
        <w:tc>
          <w:tcPr>
            <w:tcW w:w="820" w:type="dxa"/>
            <w:vAlign w:val="bottom"/>
          </w:tcPr>
          <w:p>
            <w:pPr>
              <w:jc w:val="right"/>
              <w:spacing w:after="0"/>
              <w:rPr>
                <w:sz w:val="20"/>
                <w:szCs w:val="20"/>
                <w:color w:val="auto"/>
              </w:rPr>
            </w:pPr>
            <w:r>
              <w:rPr>
                <w:rFonts w:ascii="Arial" w:cs="Arial" w:eastAsia="Arial" w:hAnsi="Arial"/>
                <w:sz w:val="18"/>
                <w:szCs w:val="18"/>
                <w:color w:val="auto"/>
              </w:rPr>
              <w:t>*31.1</w:t>
            </w:r>
          </w:p>
        </w:tc>
        <w:tc>
          <w:tcPr>
            <w:tcW w:w="10420" w:type="dxa"/>
            <w:vAlign w:val="bottom"/>
            <w:gridSpan w:val="3"/>
          </w:tcPr>
          <w:p>
            <w:pPr>
              <w:ind w:left="940"/>
              <w:spacing w:after="0"/>
              <w:rPr>
                <w:sz w:val="20"/>
                <w:szCs w:val="20"/>
                <w:color w:val="auto"/>
              </w:rPr>
            </w:pPr>
            <w:r>
              <w:rPr>
                <w:rFonts w:ascii="Arial" w:cs="Arial" w:eastAsia="Arial" w:hAnsi="Arial"/>
                <w:sz w:val="18"/>
                <w:szCs w:val="18"/>
                <w:color w:val="auto"/>
              </w:rPr>
              <w:t>Certification of Principal Executive Officer of Periodic Report Pursuant to Rule 13a – 14(a) and Rule 15d – 14(a).</w:t>
            </w:r>
          </w:p>
        </w:tc>
        <w:tc>
          <w:tcPr>
            <w:tcW w:w="0" w:type="dxa"/>
            <w:vAlign w:val="bottom"/>
          </w:tcPr>
          <w:p>
            <w:pPr>
              <w:spacing w:after="0"/>
              <w:rPr>
                <w:sz w:val="1"/>
                <w:szCs w:val="1"/>
                <w:color w:val="auto"/>
              </w:rPr>
            </w:pPr>
          </w:p>
        </w:tc>
      </w:tr>
      <w:tr>
        <w:trPr>
          <w:trHeight w:val="392"/>
        </w:trPr>
        <w:tc>
          <w:tcPr>
            <w:tcW w:w="820" w:type="dxa"/>
            <w:vAlign w:val="bottom"/>
          </w:tcPr>
          <w:p>
            <w:pPr>
              <w:jc w:val="right"/>
              <w:spacing w:after="0"/>
              <w:rPr>
                <w:sz w:val="20"/>
                <w:szCs w:val="20"/>
                <w:color w:val="auto"/>
              </w:rPr>
            </w:pPr>
            <w:r>
              <w:rPr>
                <w:rFonts w:ascii="Arial" w:cs="Arial" w:eastAsia="Arial" w:hAnsi="Arial"/>
                <w:sz w:val="18"/>
                <w:szCs w:val="18"/>
                <w:color w:val="auto"/>
              </w:rPr>
              <w:t>*31.2</w:t>
            </w:r>
          </w:p>
        </w:tc>
        <w:tc>
          <w:tcPr>
            <w:tcW w:w="10420" w:type="dxa"/>
            <w:vAlign w:val="bottom"/>
            <w:gridSpan w:val="3"/>
          </w:tcPr>
          <w:p>
            <w:pPr>
              <w:ind w:left="940"/>
              <w:spacing w:after="0"/>
              <w:rPr>
                <w:sz w:val="20"/>
                <w:szCs w:val="20"/>
                <w:color w:val="auto"/>
              </w:rPr>
            </w:pPr>
            <w:r>
              <w:rPr>
                <w:rFonts w:ascii="Arial" w:cs="Arial" w:eastAsia="Arial" w:hAnsi="Arial"/>
                <w:sz w:val="18"/>
                <w:szCs w:val="18"/>
                <w:color w:val="auto"/>
              </w:rPr>
              <w:t>Certification of Principal Financial Officer of Periodic Report Pursuant to Rule 13a – 14(a) and Rule 15d – 14(a).</w:t>
            </w:r>
          </w:p>
        </w:tc>
        <w:tc>
          <w:tcPr>
            <w:tcW w:w="0" w:type="dxa"/>
            <w:vAlign w:val="bottom"/>
          </w:tcPr>
          <w:p>
            <w:pPr>
              <w:spacing w:after="0"/>
              <w:rPr>
                <w:sz w:val="1"/>
                <w:szCs w:val="1"/>
                <w:color w:val="auto"/>
              </w:rPr>
            </w:pPr>
          </w:p>
        </w:tc>
      </w:tr>
      <w:tr>
        <w:trPr>
          <w:trHeight w:val="392"/>
        </w:trPr>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0420" w:type="dxa"/>
            <w:vAlign w:val="bottom"/>
            <w:gridSpan w:val="3"/>
          </w:tcPr>
          <w:p>
            <w:pPr>
              <w:ind w:left="940"/>
              <w:spacing w:after="0"/>
              <w:rPr>
                <w:sz w:val="20"/>
                <w:szCs w:val="20"/>
                <w:color w:val="auto"/>
              </w:rPr>
            </w:pPr>
            <w:r>
              <w:rPr>
                <w:rFonts w:ascii="Arial" w:cs="Arial" w:eastAsia="Arial" w:hAnsi="Arial"/>
                <w:sz w:val="18"/>
                <w:szCs w:val="18"/>
                <w:color w:val="auto"/>
              </w:rPr>
              <w:t>Certification of CEO and CFO Pursuant to 18 U.S.C. Section 1350.</w:t>
            </w:r>
          </w:p>
        </w:tc>
        <w:tc>
          <w:tcPr>
            <w:tcW w:w="0" w:type="dxa"/>
            <w:vAlign w:val="bottom"/>
          </w:tcPr>
          <w:p>
            <w:pPr>
              <w:spacing w:after="0"/>
              <w:rPr>
                <w:sz w:val="1"/>
                <w:szCs w:val="1"/>
                <w:color w:val="auto"/>
              </w:rPr>
            </w:pPr>
          </w:p>
        </w:tc>
      </w:tr>
      <w:tr>
        <w:trPr>
          <w:trHeight w:val="377"/>
        </w:trPr>
        <w:tc>
          <w:tcPr>
            <w:tcW w:w="820" w:type="dxa"/>
            <w:vAlign w:val="bottom"/>
          </w:tcPr>
          <w:p>
            <w:pPr>
              <w:jc w:val="right"/>
              <w:spacing w:after="0"/>
              <w:rPr>
                <w:sz w:val="20"/>
                <w:szCs w:val="20"/>
                <w:color w:val="auto"/>
              </w:rPr>
            </w:pPr>
            <w:r>
              <w:rPr>
                <w:rFonts w:ascii="Arial" w:cs="Arial" w:eastAsia="Arial" w:hAnsi="Arial"/>
                <w:sz w:val="18"/>
                <w:szCs w:val="18"/>
                <w:color w:val="auto"/>
              </w:rPr>
              <w:t>*101</w:t>
            </w:r>
          </w:p>
        </w:tc>
        <w:tc>
          <w:tcPr>
            <w:tcW w:w="10420" w:type="dxa"/>
            <w:vAlign w:val="bottom"/>
            <w:gridSpan w:val="3"/>
          </w:tcPr>
          <w:p>
            <w:pPr>
              <w:ind w:left="940"/>
              <w:spacing w:after="0"/>
              <w:rPr>
                <w:sz w:val="20"/>
                <w:szCs w:val="20"/>
                <w:color w:val="auto"/>
              </w:rPr>
            </w:pPr>
            <w:r>
              <w:rPr>
                <w:rFonts w:ascii="Arial" w:cs="Arial" w:eastAsia="Arial" w:hAnsi="Arial"/>
                <w:sz w:val="18"/>
                <w:szCs w:val="18"/>
                <w:color w:val="auto"/>
                <w:w w:val="92"/>
              </w:rPr>
              <w:t>The following financial information from the Company’s Quarterly Report on Form 10-Q for the quarter ended June 30, 2014, filed</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420" w:type="dxa"/>
            <w:vAlign w:val="bottom"/>
            <w:gridSpan w:val="3"/>
          </w:tcPr>
          <w:p>
            <w:pPr>
              <w:ind w:left="940"/>
              <w:spacing w:after="0"/>
              <w:rPr>
                <w:sz w:val="20"/>
                <w:szCs w:val="20"/>
                <w:color w:val="auto"/>
              </w:rPr>
            </w:pPr>
            <w:r>
              <w:rPr>
                <w:rFonts w:ascii="Arial" w:cs="Arial" w:eastAsia="Arial" w:hAnsi="Arial"/>
                <w:sz w:val="18"/>
                <w:szCs w:val="18"/>
                <w:color w:val="auto"/>
                <w:w w:val="93"/>
              </w:rPr>
              <w:t>with the SEC on August 8, 2014 formatted in Extensible Business Reporting Language (XBRL): (i) the Condensed Consolidated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420" w:type="dxa"/>
            <w:vAlign w:val="bottom"/>
            <w:gridSpan w:val="3"/>
          </w:tcPr>
          <w:p>
            <w:pPr>
              <w:ind w:left="940"/>
              <w:spacing w:after="0"/>
              <w:rPr>
                <w:sz w:val="20"/>
                <w:szCs w:val="20"/>
                <w:color w:val="auto"/>
              </w:rPr>
            </w:pPr>
            <w:r>
              <w:rPr>
                <w:rFonts w:ascii="Arial" w:cs="Arial" w:eastAsia="Arial" w:hAnsi="Arial"/>
                <w:sz w:val="18"/>
                <w:szCs w:val="18"/>
                <w:color w:val="auto"/>
                <w:w w:val="94"/>
              </w:rPr>
              <w:t>Statements of Comprehensive Income (Loss) for the three and six months ended June 30, 2014 and 2013, (ii) the Condensed</w:t>
            </w:r>
          </w:p>
        </w:tc>
        <w:tc>
          <w:tcPr>
            <w:tcW w:w="0" w:type="dxa"/>
            <w:vAlign w:val="bottom"/>
          </w:tcPr>
          <w:p>
            <w:pPr>
              <w:spacing w:after="0"/>
              <w:rPr>
                <w:sz w:val="1"/>
                <w:szCs w:val="1"/>
                <w:color w:val="auto"/>
              </w:rPr>
            </w:pPr>
          </w:p>
        </w:tc>
      </w:tr>
    </w:tbl>
    <w:p>
      <w:pPr>
        <w:ind w:left="1760" w:right="20"/>
        <w:spacing w:after="0" w:line="323" w:lineRule="auto"/>
        <w:rPr>
          <w:sz w:val="20"/>
          <w:szCs w:val="20"/>
          <w:color w:val="auto"/>
        </w:rPr>
      </w:pPr>
      <w:r>
        <w:rPr>
          <w:rFonts w:ascii="Arial" w:cs="Arial" w:eastAsia="Arial" w:hAnsi="Arial"/>
          <w:sz w:val="16"/>
          <w:szCs w:val="16"/>
          <w:color w:val="auto"/>
        </w:rPr>
        <w:t>Consolidated Balance Sheets at June 30, 2014 and December 31, 2013, (iii) the Condensed Consolidated Statements of Cash Flows for the six months ended June 30, 2014 and 2013, and (iv)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543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27"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right="260" w:hanging="652"/>
        <w:spacing w:after="0" w:line="27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filed by the Registrant on April 13, 2005 (File No. 333-124052) and incorporated herein by reference.</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240" w:top="279" w:right="41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WYNN LAS VEGAS, LLC</w:t>
      </w:r>
    </w:p>
    <w:p>
      <w:pPr>
        <w:spacing w:after="0" w:line="391" w:lineRule="exact"/>
        <w:rPr>
          <w:sz w:val="20"/>
          <w:szCs w:val="20"/>
          <w:color w:val="auto"/>
        </w:rPr>
      </w:pPr>
    </w:p>
    <w:p>
      <w:pPr>
        <w:ind w:left="40"/>
        <w:spacing w:after="0"/>
        <w:tabs>
          <w:tab w:leader="none" w:pos="6080" w:val="left"/>
          <w:tab w:leader="none" w:pos="6640" w:val="left"/>
        </w:tabs>
        <w:rPr>
          <w:sz w:val="20"/>
          <w:szCs w:val="20"/>
          <w:color w:val="auto"/>
        </w:rPr>
      </w:pPr>
      <w:r>
        <w:rPr>
          <w:rFonts w:ascii="Arial" w:cs="Arial" w:eastAsia="Arial" w:hAnsi="Arial"/>
          <w:sz w:val="18"/>
          <w:szCs w:val="18"/>
          <w:color w:val="auto"/>
        </w:rPr>
        <w:t>Dated: August 8,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Scott Peterson</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Financial and Accounting Officer)</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780"/>
          </w:cols>
          <w:pgMar w:left="240" w:top="279" w:right="87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Rule 15d-14(a)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Maurice Wooden, certify that:</w:t>
      </w:r>
    </w:p>
    <w:p>
      <w:pPr>
        <w:spacing w:after="0" w:line="171"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460" w:right="140" w:hanging="480"/>
        <w:spacing w:after="0" w:line="264"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460" w:right="60" w:hanging="480"/>
        <w:spacing w:after="0" w:line="264"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460" w:right="220" w:hanging="480"/>
        <w:spacing w:after="0" w:line="342" w:lineRule="auto"/>
        <w:tabs>
          <w:tab w:leader="none" w:pos="14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460" w:right="220" w:hanging="480"/>
        <w:spacing w:after="0" w:line="264"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460" w:right="460" w:hanging="480"/>
        <w:spacing w:after="0" w:line="342" w:lineRule="auto"/>
        <w:tabs>
          <w:tab w:leader="none" w:pos="14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460" w:right="160" w:hanging="480"/>
        <w:spacing w:after="0" w:line="277"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2014</w:t>
      </w:r>
    </w:p>
    <w:p>
      <w:pPr>
        <w:spacing w:after="0" w:line="17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Maurice Wooden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President</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Rule 15d-14(a)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Scott Peterson, certify that:</w:t>
      </w:r>
    </w:p>
    <w:p>
      <w:pPr>
        <w:spacing w:after="0" w:line="171"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460" w:right="140" w:hanging="480"/>
        <w:spacing w:after="0" w:line="264"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460" w:right="60" w:hanging="480"/>
        <w:spacing w:after="0" w:line="264"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460" w:right="220" w:hanging="480"/>
        <w:spacing w:after="0" w:line="342" w:lineRule="auto"/>
        <w:tabs>
          <w:tab w:leader="none" w:pos="14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460" w:right="220" w:hanging="480"/>
        <w:spacing w:after="0" w:line="264"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460" w:right="460" w:hanging="480"/>
        <w:spacing w:after="0" w:line="342" w:lineRule="auto"/>
        <w:tabs>
          <w:tab w:leader="none" w:pos="14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460" w:right="160" w:hanging="480"/>
        <w:spacing w:after="0" w:line="277"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2014</w:t>
      </w:r>
    </w:p>
    <w:p>
      <w:pPr>
        <w:spacing w:after="0" w:line="17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Scott Peterson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connection with the Quarterly Report on Form 10-Q of Wynn Las Vegas, LLC (the “Company”) for the quarter ended June 30, 2014 as filed with the Securities and Exchange Commission on the date hereof (the “Report”), Maurice Wooden, as President of the Company and Scott Peterson, as Chief Financial Officer of the Company, each hereby certifies, pursuant to 18 U.S.C. Section 1350, as adopted pursuant to Section 906 of the Sarbanes-Oxley Act of 2002, that, to the best of their knowledge:</w:t>
      </w:r>
    </w:p>
    <w:p>
      <w:pPr>
        <w:spacing w:after="0" w:line="13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 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8417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ind w:left="40"/>
              <w:spacing w:after="0"/>
              <w:rPr>
                <w:sz w:val="20"/>
                <w:szCs w:val="20"/>
                <w:color w:val="auto"/>
              </w:rPr>
            </w:pPr>
            <w:r>
              <w:rPr>
                <w:rFonts w:ascii="Arial" w:cs="Arial" w:eastAsia="Arial" w:hAnsi="Arial"/>
                <w:sz w:val="18"/>
                <w:szCs w:val="18"/>
                <w:color w:val="auto"/>
              </w:rPr>
              <w:t>Name:</w:t>
            </w:r>
          </w:p>
        </w:tc>
        <w:tc>
          <w:tcPr>
            <w:tcW w:w="5380" w:type="dxa"/>
            <w:vAlign w:val="bottom"/>
          </w:tcPr>
          <w:p>
            <w:pPr>
              <w:ind w:left="160"/>
              <w:spacing w:after="0"/>
              <w:rPr>
                <w:sz w:val="20"/>
                <w:szCs w:val="20"/>
                <w:color w:val="auto"/>
              </w:rPr>
            </w:pPr>
            <w:r>
              <w:rPr>
                <w:rFonts w:ascii="Arial" w:cs="Arial" w:eastAsia="Arial" w:hAnsi="Arial"/>
                <w:sz w:val="18"/>
                <w:szCs w:val="18"/>
                <w:color w:val="auto"/>
              </w:rPr>
              <w:t>Maurice Wooden</w:t>
            </w:r>
          </w:p>
        </w:tc>
      </w:tr>
      <w:tr>
        <w:trPr>
          <w:trHeight w:val="270"/>
        </w:trPr>
        <w:tc>
          <w:tcPr>
            <w:tcW w:w="680" w:type="dxa"/>
            <w:vAlign w:val="bottom"/>
          </w:tcPr>
          <w:p>
            <w:pPr>
              <w:ind w:left="40"/>
              <w:spacing w:after="0"/>
              <w:rPr>
                <w:sz w:val="20"/>
                <w:szCs w:val="20"/>
                <w:color w:val="auto"/>
              </w:rPr>
            </w:pPr>
            <w:r>
              <w:rPr>
                <w:rFonts w:ascii="Arial" w:cs="Arial" w:eastAsia="Arial" w:hAnsi="Arial"/>
                <w:sz w:val="18"/>
                <w:szCs w:val="18"/>
                <w:color w:val="auto"/>
              </w:rPr>
              <w:t>Title:</w:t>
            </w:r>
          </w:p>
        </w:tc>
        <w:tc>
          <w:tcPr>
            <w:tcW w:w="5380" w:type="dxa"/>
            <w:vAlign w:val="bottom"/>
          </w:tcPr>
          <w:p>
            <w:pPr>
              <w:ind w:left="160"/>
              <w:spacing w:after="0"/>
              <w:rPr>
                <w:sz w:val="20"/>
                <w:szCs w:val="20"/>
                <w:color w:val="auto"/>
              </w:rPr>
            </w:pPr>
            <w:r>
              <w:rPr>
                <w:rFonts w:ascii="Arial" w:cs="Arial" w:eastAsia="Arial" w:hAnsi="Arial"/>
                <w:sz w:val="18"/>
                <w:szCs w:val="18"/>
                <w:color w:val="auto"/>
              </w:rPr>
              <w:t>President</w:t>
            </w:r>
          </w:p>
        </w:tc>
      </w:tr>
      <w:tr>
        <w:trPr>
          <w:trHeight w:val="270"/>
        </w:trPr>
        <w:tc>
          <w:tcPr>
            <w:tcW w:w="680" w:type="dxa"/>
            <w:vAlign w:val="bottom"/>
          </w:tcPr>
          <w:p>
            <w:pPr>
              <w:spacing w:after="0"/>
              <w:rPr>
                <w:sz w:val="23"/>
                <w:szCs w:val="23"/>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r>
      <w:tr>
        <w:trPr>
          <w:trHeight w:val="270"/>
        </w:trPr>
        <w:tc>
          <w:tcPr>
            <w:tcW w:w="680" w:type="dxa"/>
            <w:vAlign w:val="bottom"/>
          </w:tcPr>
          <w:p>
            <w:pPr>
              <w:ind w:left="40"/>
              <w:spacing w:after="0"/>
              <w:rPr>
                <w:sz w:val="20"/>
                <w:szCs w:val="20"/>
                <w:color w:val="auto"/>
              </w:rPr>
            </w:pPr>
            <w:r>
              <w:rPr>
                <w:rFonts w:ascii="Arial" w:cs="Arial" w:eastAsia="Arial" w:hAnsi="Arial"/>
                <w:sz w:val="18"/>
                <w:szCs w:val="18"/>
                <w:color w:val="auto"/>
              </w:rPr>
              <w:t>Date:</w:t>
            </w:r>
          </w:p>
        </w:tc>
        <w:tc>
          <w:tcPr>
            <w:tcW w:w="5380" w:type="dxa"/>
            <w:vAlign w:val="bottom"/>
          </w:tcPr>
          <w:p>
            <w:pPr>
              <w:ind w:left="160"/>
              <w:spacing w:after="0"/>
              <w:rPr>
                <w:sz w:val="20"/>
                <w:szCs w:val="20"/>
                <w:color w:val="auto"/>
              </w:rPr>
            </w:pPr>
            <w:r>
              <w:rPr>
                <w:rFonts w:ascii="Arial" w:cs="Arial" w:eastAsia="Arial" w:hAnsi="Arial"/>
                <w:sz w:val="18"/>
                <w:szCs w:val="18"/>
                <w:color w:val="auto"/>
              </w:rPr>
              <w:t>August 8, 2014</w:t>
            </w:r>
          </w:p>
        </w:tc>
      </w:tr>
      <w:tr>
        <w:trPr>
          <w:trHeight w:val="405"/>
        </w:trPr>
        <w:tc>
          <w:tcPr>
            <w:tcW w:w="6060" w:type="dxa"/>
            <w:vAlign w:val="bottom"/>
            <w:gridSpan w:val="2"/>
          </w:tcPr>
          <w:p>
            <w:pPr>
              <w:ind w:left="500"/>
              <w:spacing w:after="0"/>
              <w:rPr>
                <w:sz w:val="20"/>
                <w:szCs w:val="20"/>
                <w:color w:val="auto"/>
              </w:rPr>
            </w:pPr>
            <w:r>
              <w:rPr>
                <w:rFonts w:ascii="Arial" w:cs="Arial" w:eastAsia="Arial" w:hAnsi="Arial"/>
                <w:sz w:val="18"/>
                <w:szCs w:val="18"/>
                <w:color w:val="auto"/>
              </w:rPr>
              <w:t>/s/ Scott Peterson</w:t>
            </w:r>
          </w:p>
        </w:tc>
      </w:tr>
      <w:tr>
        <w:trPr>
          <w:trHeight w:val="27"/>
        </w:trPr>
        <w:tc>
          <w:tcPr>
            <w:tcW w:w="680" w:type="dxa"/>
            <w:vAlign w:val="bottom"/>
            <w:tcBorders>
              <w:bottom w:val="single" w:sz="8" w:color="auto"/>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ind w:left="40"/>
              <w:spacing w:after="0"/>
              <w:rPr>
                <w:sz w:val="20"/>
                <w:szCs w:val="20"/>
                <w:color w:val="auto"/>
              </w:rPr>
            </w:pPr>
            <w:r>
              <w:rPr>
                <w:rFonts w:ascii="Arial" w:cs="Arial" w:eastAsia="Arial" w:hAnsi="Arial"/>
                <w:sz w:val="18"/>
                <w:szCs w:val="18"/>
                <w:color w:val="auto"/>
              </w:rPr>
              <w:t>Name:</w:t>
            </w:r>
          </w:p>
        </w:tc>
        <w:tc>
          <w:tcPr>
            <w:tcW w:w="5380" w:type="dxa"/>
            <w:vAlign w:val="bottom"/>
          </w:tcPr>
          <w:p>
            <w:pPr>
              <w:ind w:left="160"/>
              <w:spacing w:after="0"/>
              <w:rPr>
                <w:sz w:val="20"/>
                <w:szCs w:val="20"/>
                <w:color w:val="auto"/>
              </w:rPr>
            </w:pPr>
            <w:r>
              <w:rPr>
                <w:rFonts w:ascii="Arial" w:cs="Arial" w:eastAsia="Arial" w:hAnsi="Arial"/>
                <w:sz w:val="18"/>
                <w:szCs w:val="18"/>
                <w:color w:val="auto"/>
              </w:rPr>
              <w:t>Scott Peterson</w:t>
            </w:r>
          </w:p>
        </w:tc>
      </w:tr>
      <w:tr>
        <w:trPr>
          <w:trHeight w:val="270"/>
        </w:trPr>
        <w:tc>
          <w:tcPr>
            <w:tcW w:w="680" w:type="dxa"/>
            <w:vAlign w:val="bottom"/>
          </w:tcPr>
          <w:p>
            <w:pPr>
              <w:ind w:left="40"/>
              <w:spacing w:after="0"/>
              <w:rPr>
                <w:sz w:val="20"/>
                <w:szCs w:val="20"/>
                <w:color w:val="auto"/>
              </w:rPr>
            </w:pPr>
            <w:r>
              <w:rPr>
                <w:rFonts w:ascii="Arial" w:cs="Arial" w:eastAsia="Arial" w:hAnsi="Arial"/>
                <w:sz w:val="18"/>
                <w:szCs w:val="18"/>
                <w:color w:val="auto"/>
              </w:rPr>
              <w:t>Title:</w:t>
            </w:r>
          </w:p>
        </w:tc>
        <w:tc>
          <w:tcPr>
            <w:tcW w:w="5380" w:type="dxa"/>
            <w:vAlign w:val="bottom"/>
          </w:tcPr>
          <w:p>
            <w:pPr>
              <w:ind w:left="160"/>
              <w:spacing w:after="0"/>
              <w:rPr>
                <w:sz w:val="20"/>
                <w:szCs w:val="20"/>
                <w:color w:val="auto"/>
              </w:rPr>
            </w:pPr>
            <w:r>
              <w:rPr>
                <w:rFonts w:ascii="Arial" w:cs="Arial" w:eastAsia="Arial" w:hAnsi="Arial"/>
                <w:sz w:val="18"/>
                <w:szCs w:val="18"/>
                <w:color w:val="auto"/>
              </w:rPr>
              <w:t>Senior Vice President and Chief Financial Officer</w:t>
            </w:r>
          </w:p>
        </w:tc>
      </w:tr>
      <w:tr>
        <w:trPr>
          <w:trHeight w:val="270"/>
        </w:trPr>
        <w:tc>
          <w:tcPr>
            <w:tcW w:w="680" w:type="dxa"/>
            <w:vAlign w:val="bottom"/>
          </w:tcPr>
          <w:p>
            <w:pPr>
              <w:spacing w:after="0"/>
              <w:rPr>
                <w:sz w:val="23"/>
                <w:szCs w:val="23"/>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(Principal Financial and Accounting Officer)</w:t>
            </w:r>
          </w:p>
        </w:tc>
      </w:tr>
      <w:tr>
        <w:trPr>
          <w:trHeight w:val="270"/>
        </w:trPr>
        <w:tc>
          <w:tcPr>
            <w:tcW w:w="680" w:type="dxa"/>
            <w:vAlign w:val="bottom"/>
          </w:tcPr>
          <w:p>
            <w:pPr>
              <w:ind w:left="40"/>
              <w:spacing w:after="0"/>
              <w:rPr>
                <w:sz w:val="20"/>
                <w:szCs w:val="20"/>
                <w:color w:val="auto"/>
              </w:rPr>
            </w:pPr>
            <w:r>
              <w:rPr>
                <w:rFonts w:ascii="Arial" w:cs="Arial" w:eastAsia="Arial" w:hAnsi="Arial"/>
                <w:sz w:val="18"/>
                <w:szCs w:val="18"/>
                <w:color w:val="auto"/>
              </w:rPr>
              <w:t>Date:</w:t>
            </w:r>
          </w:p>
        </w:tc>
        <w:tc>
          <w:tcPr>
            <w:tcW w:w="5380" w:type="dxa"/>
            <w:vAlign w:val="bottom"/>
          </w:tcPr>
          <w:p>
            <w:pPr>
              <w:ind w:left="160"/>
              <w:spacing w:after="0"/>
              <w:rPr>
                <w:sz w:val="20"/>
                <w:szCs w:val="20"/>
                <w:color w:val="auto"/>
              </w:rPr>
            </w:pPr>
            <w:r>
              <w:rPr>
                <w:rFonts w:ascii="Arial" w:cs="Arial" w:eastAsia="Arial" w:hAnsi="Arial"/>
                <w:sz w:val="18"/>
                <w:szCs w:val="18"/>
                <w:color w:val="auto"/>
              </w:rPr>
              <w:t>August 8, 2014</w:t>
            </w:r>
          </w:p>
        </w:tc>
      </w:tr>
    </w:tbl>
    <w:p>
      <w:pPr>
        <w:spacing w:after="0" w:line="175"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3"/>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2019-12-07T04:24:28Z</dcterms:created>
  <dcterms:modified xsi:type="dcterms:W3CDTF">2019-12-07T04:24:28Z</dcterms:modified>
</cp:coreProperties>
</file>