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7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58"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460" w:type="dxa"/>
        <w:tblCellMar>
          <w:top w:w="0" w:type="dxa"/>
          <w:left w:w="0" w:type="dxa"/>
          <w:bottom w:w="0" w:type="dxa"/>
          <w:right w:w="0" w:type="dxa"/>
        </w:tblCellMar>
      </w:tblPr>
      <w:tr>
        <w:trPr>
          <w:trHeight w:val="204"/>
        </w:trPr>
        <w:tc>
          <w:tcPr>
            <w:tcW w:w="274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rPr>
              <w:t>For the transition period</w:t>
            </w:r>
          </w:p>
        </w:tc>
        <w:tc>
          <w:tcPr>
            <w:tcW w:w="3700" w:type="dxa"/>
            <w:vAlign w:val="bottom"/>
            <w:gridSpan w:val="3"/>
          </w:tcPr>
          <w:p>
            <w:pPr>
              <w:spacing w:after="0" w:line="204" w:lineRule="exact"/>
              <w:rPr>
                <w:sz w:val="20"/>
                <w:szCs w:val="20"/>
                <w:color w:val="auto"/>
              </w:rPr>
            </w:pPr>
            <w:r>
              <w:rPr>
                <w:rFonts w:ascii="Arial" w:cs="Arial" w:eastAsia="Arial" w:hAnsi="Arial"/>
                <w:sz w:val="18"/>
                <w:szCs w:val="18"/>
                <w:b w:val="1"/>
                <w:bCs w:val="1"/>
                <w:color w:val="auto"/>
              </w:rPr>
              <w:t>to</w:t>
            </w:r>
          </w:p>
        </w:tc>
      </w:tr>
      <w:tr>
        <w:trPr>
          <w:trHeight w:val="289"/>
        </w:trPr>
        <w:tc>
          <w:tcPr>
            <w:tcW w:w="18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40" w:type="dxa"/>
            <w:vAlign w:val="bottom"/>
          </w:tcPr>
          <w:p>
            <w:pPr>
              <w:ind w:left="280"/>
              <w:spacing w:after="0"/>
              <w:rPr>
                <w:sz w:val="20"/>
                <w:szCs w:val="20"/>
                <w:color w:val="auto"/>
              </w:rPr>
            </w:pPr>
            <w:r>
              <w:rPr>
                <w:rFonts w:ascii="Arial" w:cs="Arial" w:eastAsia="Arial" w:hAnsi="Arial"/>
                <w:sz w:val="18"/>
                <w:szCs w:val="18"/>
                <w:b w:val="1"/>
                <w:bCs w:val="1"/>
                <w:color w:val="auto"/>
                <w:w w:val="86"/>
              </w:rPr>
              <w:t>Commission File No. 000-50028</w:t>
            </w: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7"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860" w:type="dxa"/>
            <w:vAlign w:val="bottom"/>
          </w:tcPr>
          <w:p>
            <w:pPr>
              <w:spacing w:after="0"/>
              <w:rPr>
                <w:sz w:val="18"/>
                <w:szCs w:val="18"/>
                <w:color w:val="auto"/>
              </w:rPr>
            </w:pPr>
          </w:p>
        </w:tc>
        <w:tc>
          <w:tcPr>
            <w:tcW w:w="1800" w:type="dxa"/>
            <w:vAlign w:val="bottom"/>
            <w:gridSpan w:val="2"/>
          </w:tcPr>
          <w:p>
            <w:pPr>
              <w:jc w:val="center"/>
              <w:ind w:right="57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5420" w:type="dxa"/>
            <w:vAlign w:val="bottom"/>
            <w:gridSpan w:val="3"/>
          </w:tcPr>
          <w:p>
            <w:pPr>
              <w:jc w:val="center"/>
              <w:ind w:left="3560"/>
              <w:spacing w:after="0"/>
              <w:rPr>
                <w:sz w:val="20"/>
                <w:szCs w:val="20"/>
                <w:color w:val="auto"/>
              </w:rPr>
            </w:pPr>
            <w:r>
              <w:rPr>
                <w:rFonts w:ascii="Arial" w:cs="Arial" w:eastAsia="Arial" w:hAnsi="Arial"/>
                <w:sz w:val="18"/>
                <w:szCs w:val="18"/>
                <w:b w:val="1"/>
                <w:bCs w:val="1"/>
                <w:color w:val="auto"/>
                <w:w w:val="89"/>
              </w:rPr>
              <w:t>46-0484987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660" w:type="dxa"/>
            <w:vAlign w:val="bottom"/>
            <w:gridSpan w:val="3"/>
          </w:tcPr>
          <w:p>
            <w:pPr>
              <w:jc w:val="center"/>
              <w:ind w:left="11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20" w:type="dxa"/>
            <w:vAlign w:val="bottom"/>
          </w:tcPr>
          <w:p>
            <w:pPr>
              <w:spacing w:after="0"/>
              <w:rPr>
                <w:sz w:val="12"/>
                <w:szCs w:val="12"/>
                <w:color w:val="auto"/>
              </w:rPr>
            </w:pPr>
          </w:p>
        </w:tc>
        <w:tc>
          <w:tcPr>
            <w:tcW w:w="2300" w:type="dxa"/>
            <w:vAlign w:val="bottom"/>
            <w:gridSpan w:val="2"/>
          </w:tcPr>
          <w:p>
            <w:pPr>
              <w:jc w:val="center"/>
              <w:ind w:left="447"/>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60" w:type="dxa"/>
            <w:vAlign w:val="bottom"/>
            <w:gridSpan w:val="3"/>
          </w:tcPr>
          <w:p>
            <w:pPr>
              <w:jc w:val="center"/>
              <w:ind w:left="1140"/>
              <w:spacing w:after="0"/>
              <w:rPr>
                <w:sz w:val="20"/>
                <w:szCs w:val="20"/>
                <w:color w:val="auto"/>
              </w:rPr>
            </w:pPr>
            <w:r>
              <w:rPr>
                <w:rFonts w:ascii="Arial" w:cs="Arial" w:eastAsia="Arial" w:hAnsi="Arial"/>
                <w:sz w:val="14"/>
                <w:szCs w:val="14"/>
                <w:b w:val="1"/>
                <w:bCs w:val="1"/>
                <w:color w:val="auto"/>
                <w:w w:val="88"/>
              </w:rPr>
              <w:t>incorporation or organization)</w:t>
            </w:r>
          </w:p>
        </w:tc>
        <w:tc>
          <w:tcPr>
            <w:tcW w:w="3120" w:type="dxa"/>
            <w:vAlign w:val="bottom"/>
          </w:tcPr>
          <w:p>
            <w:pPr>
              <w:spacing w:after="0"/>
              <w:rPr>
                <w:sz w:val="15"/>
                <w:szCs w:val="15"/>
                <w:color w:val="auto"/>
              </w:rPr>
            </w:pPr>
          </w:p>
        </w:tc>
        <w:tc>
          <w:tcPr>
            <w:tcW w:w="2300" w:type="dxa"/>
            <w:vAlign w:val="bottom"/>
            <w:gridSpan w:val="2"/>
          </w:tcPr>
          <w:p>
            <w:pPr>
              <w:jc w:val="center"/>
              <w:ind w:left="447"/>
              <w:spacing w:after="0"/>
              <w:rPr>
                <w:sz w:val="20"/>
                <w:szCs w:val="20"/>
                <w:color w:val="auto"/>
              </w:rPr>
            </w:pPr>
            <w:r>
              <w:rPr>
                <w:rFonts w:ascii="Arial" w:cs="Arial" w:eastAsia="Arial" w:hAnsi="Arial"/>
                <w:sz w:val="14"/>
                <w:szCs w:val="14"/>
                <w:b w:val="1"/>
                <w:bCs w:val="1"/>
                <w:color w:val="auto"/>
                <w:w w:val="90"/>
              </w:rPr>
              <w:t>Identification Number)</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2"/>
                <w:szCs w:val="22"/>
                <w:color w:val="auto"/>
              </w:rPr>
            </w:pPr>
          </w:p>
        </w:tc>
        <w:tc>
          <w:tcPr>
            <w:tcW w:w="6540" w:type="dxa"/>
            <w:vAlign w:val="bottom"/>
            <w:gridSpan w:val="4"/>
          </w:tcPr>
          <w:p>
            <w:pPr>
              <w:jc w:val="center"/>
              <w:ind w:left="177"/>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740" w:type="dxa"/>
            <w:vAlign w:val="bottom"/>
            <w:gridSpan w:val="2"/>
          </w:tcPr>
          <w:p>
            <w:pPr>
              <w:jc w:val="center"/>
              <w:ind w:right="1487"/>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89"/>
              </w:rPr>
              <w:t>(702) 770-7555</w:t>
            </w:r>
          </w:p>
        </w:tc>
        <w:tc>
          <w:tcPr>
            <w:tcW w:w="1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740" w:type="dxa"/>
            <w:vAlign w:val="bottom"/>
            <w:gridSpan w:val="2"/>
          </w:tcPr>
          <w:p>
            <w:pPr>
              <w:jc w:val="center"/>
              <w:ind w:right="1487"/>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0" w:type="dxa"/>
            <w:vAlign w:val="bottom"/>
            <w:gridSpan w:val="3"/>
          </w:tcPr>
          <w:p>
            <w:pPr>
              <w:jc w:val="center"/>
              <w:ind w:right="82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860" w:type="dxa"/>
            <w:vAlign w:val="bottom"/>
            <w:vMerge w:val="restart"/>
          </w:tcPr>
          <w:p>
            <w:pPr>
              <w:ind w:left="1280"/>
              <w:spacing w:after="0"/>
              <w:rPr>
                <w:sz w:val="20"/>
                <w:szCs w:val="20"/>
                <w:color w:val="auto"/>
              </w:rPr>
            </w:pPr>
            <w:r>
              <w:rPr>
                <w:rFonts w:ascii="Arial" w:cs="Arial" w:eastAsia="Arial" w:hAnsi="Arial"/>
                <w:sz w:val="18"/>
                <w:szCs w:val="18"/>
                <w:b w:val="1"/>
                <w:bCs w:val="1"/>
                <w:color w:val="auto"/>
                <w:w w:val="71"/>
              </w:rPr>
              <w:t>Common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vMerge w:val="continue"/>
          </w:tcPr>
          <w:p>
            <w:pPr>
              <w:spacing w:after="0"/>
              <w:rPr>
                <w:sz w:val="19"/>
                <w:szCs w:val="19"/>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w w:val="90"/>
              </w:rPr>
              <w:t>Stock, $.01 par value</w:t>
            </w:r>
          </w:p>
        </w:tc>
        <w:tc>
          <w:tcPr>
            <w:tcW w:w="3120" w:type="dxa"/>
            <w:vAlign w:val="bottom"/>
          </w:tcPr>
          <w:p>
            <w:pPr>
              <w:spacing w:after="0"/>
              <w:rPr>
                <w:sz w:val="19"/>
                <w:szCs w:val="19"/>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Nasdaq Global Select Market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3"/>
          </w:tcPr>
          <w:p>
            <w:pPr>
              <w:jc w:val="center"/>
              <w:ind w:right="807"/>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740" w:type="dxa"/>
            <w:vAlign w:val="bottom"/>
            <w:gridSpan w:val="2"/>
          </w:tcPr>
          <w:p>
            <w:pPr>
              <w:jc w:val="center"/>
              <w:ind w:right="1487"/>
              <w:spacing w:after="0"/>
              <w:rPr>
                <w:sz w:val="20"/>
                <w:szCs w:val="20"/>
                <w:color w:val="auto"/>
              </w:rPr>
            </w:pPr>
            <w:r>
              <w:rPr>
                <w:rFonts w:ascii="Arial" w:cs="Arial" w:eastAsia="Arial" w:hAnsi="Arial"/>
                <w:sz w:val="18"/>
                <w:szCs w:val="18"/>
                <w:b w:val="1"/>
                <w:bCs w:val="1"/>
                <w:color w:val="auto"/>
                <w:w w:val="84"/>
              </w:rPr>
              <w:t>None</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8400" w:type="dxa"/>
            <w:vAlign w:val="bottom"/>
            <w:gridSpan w:val="5"/>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5"/>
        </w:trPr>
        <w:tc>
          <w:tcPr>
            <w:tcW w:w="840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22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460"/>
            <w:col w:w="5900" w:space="720"/>
            <w:col w:w="18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4">
            <w:col w:w="1500" w:space="540"/>
            <w:col w:w="5900" w:space="720"/>
            <w:col w:w="1920" w:space="680"/>
            <w:col w:w="160"/>
          </w:cols>
          <w:pgMar w:left="240" w:top="230" w:right="239" w:bottom="1440" w:gutter="0" w:footer="0" w:header="0"/>
          <w:type w:val="continuous"/>
        </w:sectPr>
      </w:pPr>
    </w:p>
    <w:p>
      <w:pPr>
        <w:spacing w:after="0" w:line="28"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440" w:space="160"/>
            <w:col w:w="260" w:space="80"/>
            <w:col w:w="160" w:space="180"/>
            <w:col w:w="220" w:space="80"/>
            <w:col w:w="1840"/>
          </w:cols>
          <w:pgMar w:left="240" w:top="230" w:right="239" w:bottom="1440" w:gutter="0" w:footer="0" w:header="0"/>
          <w:type w:val="continuous"/>
        </w:sectPr>
      </w:pPr>
    </w:p>
    <w:p>
      <w:pPr>
        <w:ind w:right="340" w:firstLine="456"/>
        <w:spacing w:after="0" w:line="268"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based on the closing price as reported on the NASDAQ Global Select Market on June 30, 2013 was approximately $10.3 billion.</w:t>
      </w:r>
    </w:p>
    <w:p>
      <w:pPr>
        <w:spacing w:after="0" w:line="2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February 14, 2014, 101,212,217 shares of the registrant’s Common Stock, $.01 par value, were outstanding.</w:t>
      </w:r>
    </w:p>
    <w:p>
      <w:pPr>
        <w:spacing w:after="0" w:line="63" w:lineRule="exact"/>
        <w:rPr>
          <w:sz w:val="24"/>
          <w:szCs w:val="24"/>
          <w:color w:val="auto"/>
        </w:rPr>
      </w:pPr>
    </w:p>
    <w:p>
      <w:pPr>
        <w:ind w:right="160" w:firstLine="456"/>
        <w:spacing w:after="0" w:line="268" w:lineRule="auto"/>
        <w:rPr>
          <w:sz w:val="20"/>
          <w:szCs w:val="20"/>
          <w:color w:val="auto"/>
        </w:rPr>
      </w:pPr>
      <w:r>
        <w:rPr>
          <w:rFonts w:ascii="Arial" w:cs="Arial" w:eastAsia="Arial" w:hAnsi="Arial"/>
          <w:sz w:val="18"/>
          <w:szCs w:val="18"/>
          <w:color w:val="auto"/>
        </w:rPr>
        <w:t>Portions of the registrant’s Proxy Statement for its 2014 Annual Meeting of Stockholders to be filed not later than 120 days after the end of the fiscal year covered by this report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60" w:type="dxa"/>
            <w:vAlign w:val="bottom"/>
            <w:gridSpan w:val="15"/>
          </w:tcPr>
          <w:p>
            <w:pPr>
              <w:ind w:left="520"/>
              <w:spacing w:after="0"/>
              <w:rPr>
                <w:sz w:val="20"/>
                <w:szCs w:val="20"/>
                <w:color w:val="auto"/>
              </w:rPr>
            </w:pPr>
            <w:r>
              <w:rPr>
                <w:rFonts w:ascii="Arial" w:cs="Arial" w:eastAsia="Arial" w:hAnsi="Arial"/>
                <w:sz w:val="18"/>
                <w:szCs w:val="18"/>
                <w:b w:val="1"/>
                <w:bCs w:val="1"/>
                <w:color w:val="auto"/>
              </w:rPr>
              <w:t>TABLE OF CONTENTS</w:t>
            </w:r>
          </w:p>
        </w:tc>
        <w:tc>
          <w:tcPr>
            <w:tcW w:w="1280" w:type="dxa"/>
            <w:vAlign w:val="bottom"/>
          </w:tcPr>
          <w:p>
            <w:pPr>
              <w:spacing w:after="0"/>
              <w:rPr>
                <w:sz w:val="19"/>
                <w:szCs w:val="19"/>
                <w:color w:val="auto"/>
              </w:rPr>
            </w:pPr>
          </w:p>
        </w:tc>
      </w:tr>
      <w:tr>
        <w:trPr>
          <w:trHeight w:val="488"/>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02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280" w:type="dxa"/>
            <w:vAlign w:val="bottom"/>
            <w:gridSpan w:val="2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8020" w:type="dxa"/>
            <w:vAlign w:val="bottom"/>
            <w:gridSpan w:val="2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8920" w:type="dxa"/>
            <w:vAlign w:val="bottom"/>
            <w:gridSpan w:val="2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6920" w:type="dxa"/>
            <w:vAlign w:val="bottom"/>
            <w:gridSpan w:val="18"/>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8920" w:type="dxa"/>
            <w:vAlign w:val="bottom"/>
            <w:gridSpan w:val="2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920" w:type="dxa"/>
            <w:vAlign w:val="bottom"/>
            <w:gridSpan w:val="2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11"/>
          </w:tcPr>
          <w:p>
            <w:pPr>
              <w:jc w:val="center"/>
              <w:ind w:right="4000"/>
              <w:spacing w:after="0"/>
              <w:rPr>
                <w:rFonts w:ascii="Arial" w:cs="Arial" w:eastAsia="Arial" w:hAnsi="Arial"/>
                <w:sz w:val="18"/>
                <w:szCs w:val="18"/>
                <w:b w:val="1"/>
                <w:bCs w:val="1"/>
                <w:color w:val="0000EE"/>
                <w:w w:val="96"/>
              </w:rPr>
            </w:pPr>
            <w:hyperlink w:anchor="page42">
              <w:r>
                <w:rPr>
                  <w:rFonts w:ascii="Arial" w:cs="Arial" w:eastAsia="Arial" w:hAnsi="Arial"/>
                  <w:sz w:val="18"/>
                  <w:szCs w:val="18"/>
                  <w:b w:val="1"/>
                  <w:bCs w:val="1"/>
                  <w:color w:val="0000EE"/>
                  <w:w w:val="96"/>
                </w:rPr>
                <w:t>PART II</w:t>
              </w:r>
            </w:hyperlink>
          </w:p>
        </w:tc>
        <w:tc>
          <w:tcPr>
            <w:tcW w:w="128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8920" w:type="dxa"/>
            <w:vAlign w:val="bottom"/>
            <w:gridSpan w:val="2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Market for Registrant’s Common Equity, Related Stockholder Matters and Issuer Purchases of Equity Securities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0"/>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8920" w:type="dxa"/>
            <w:vAlign w:val="bottom"/>
            <w:gridSpan w:val="2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3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Quantitative and Qualitative Disclosures About Market Risk</w:t>
              </w:r>
            </w:hyperlink>
          </w:p>
        </w:tc>
        <w:tc>
          <w:tcPr>
            <w:tcW w:w="2000" w:type="dxa"/>
            <w:vAlign w:val="bottom"/>
            <w:tcBorders>
              <w:top w:val="single" w:sz="8" w:color="0000EE"/>
            </w:tcBorders>
            <w:gridSpan w:val="7"/>
          </w:tcPr>
          <w:p>
            <w:pPr>
              <w:spacing w:after="0"/>
              <w:rPr>
                <w:sz w:val="17"/>
                <w:szCs w:val="17"/>
                <w:color w:val="auto"/>
              </w:rPr>
            </w:pPr>
          </w:p>
        </w:tc>
        <w:tc>
          <w:tcPr>
            <w:tcW w:w="2620" w:type="dxa"/>
            <w:vAlign w:val="bottom"/>
            <w:gridSpan w:val="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Financial Statements and Supplementary Data</w:t>
              </w:r>
            </w:hyperlink>
          </w:p>
        </w:tc>
        <w:tc>
          <w:tcPr>
            <w:tcW w:w="5660" w:type="dxa"/>
            <w:vAlign w:val="bottom"/>
            <w:gridSpan w:val="1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8920" w:type="dxa"/>
            <w:vAlign w:val="bottom"/>
            <w:gridSpan w:val="26"/>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Changes in and Disagreements with Accountants on Accounting and Financial Disclosure</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127">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7"/>
          </w:tcPr>
          <w:p>
            <w:pPr>
              <w:spacing w:after="0"/>
              <w:rPr>
                <w:sz w:val="17"/>
                <w:szCs w:val="17"/>
                <w:color w:val="auto"/>
              </w:rPr>
            </w:pPr>
          </w:p>
        </w:tc>
        <w:tc>
          <w:tcPr>
            <w:tcW w:w="2600" w:type="dxa"/>
            <w:vAlign w:val="bottom"/>
            <w:gridSpan w:val="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8920" w:type="dxa"/>
            <w:vAlign w:val="bottom"/>
            <w:gridSpan w:val="26"/>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Other Information</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20" w:type="dxa"/>
            <w:vAlign w:val="bottom"/>
            <w:gridSpan w:val="14"/>
          </w:tcPr>
          <w:p>
            <w:pPr>
              <w:jc w:val="center"/>
              <w:ind w:right="3700"/>
              <w:spacing w:after="0"/>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PART III</w:t>
              </w:r>
            </w:hyperlink>
          </w:p>
        </w:tc>
        <w:tc>
          <w:tcPr>
            <w:tcW w:w="1280" w:type="dxa"/>
            <w:vAlign w:val="bottom"/>
          </w:tcPr>
          <w:p>
            <w:pPr>
              <w:spacing w:after="0"/>
              <w:rPr>
                <w:sz w:val="24"/>
                <w:szCs w:val="24"/>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4260" w:type="dxa"/>
            <w:vAlign w:val="bottom"/>
            <w:gridSpan w:val="13"/>
          </w:tcPr>
          <w:p>
            <w:pPr>
              <w:spacing w:after="0" w:line="196" w:lineRule="exact"/>
              <w:rPr>
                <w:rFonts w:ascii="Arial" w:cs="Arial" w:eastAsia="Arial" w:hAnsi="Arial"/>
                <w:sz w:val="18"/>
                <w:szCs w:val="18"/>
                <w:color w:val="0000EE"/>
                <w:w w:val="94"/>
              </w:rPr>
            </w:pPr>
            <w:hyperlink w:anchor="page128">
              <w:r>
                <w:rPr>
                  <w:rFonts w:ascii="Arial" w:cs="Arial" w:eastAsia="Arial" w:hAnsi="Arial"/>
                  <w:sz w:val="18"/>
                  <w:szCs w:val="18"/>
                  <w:color w:val="0000EE"/>
                  <w:w w:val="94"/>
                </w:rPr>
                <w:t>Directors, Executive Officers and Corporate Governance</w:t>
              </w:r>
            </w:hyperlink>
          </w:p>
        </w:tc>
        <w:tc>
          <w:tcPr>
            <w:tcW w:w="720" w:type="dxa"/>
            <w:vAlign w:val="bottom"/>
            <w:tcBorders>
              <w:top w:val="single" w:sz="8" w:color="0000EE"/>
            </w:tcBorders>
            <w:gridSpan w:val="7"/>
          </w:tcPr>
          <w:p>
            <w:pPr>
              <w:spacing w:after="0"/>
              <w:rPr>
                <w:sz w:val="17"/>
                <w:szCs w:val="17"/>
                <w:color w:val="auto"/>
              </w:rPr>
            </w:pPr>
          </w:p>
        </w:tc>
        <w:tc>
          <w:tcPr>
            <w:tcW w:w="3940" w:type="dxa"/>
            <w:vAlign w:val="bottom"/>
            <w:gridSpan w:val="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Executive Compensation</w:t>
              </w:r>
            </w:hyperlink>
          </w:p>
        </w:tc>
        <w:tc>
          <w:tcPr>
            <w:tcW w:w="4920" w:type="dxa"/>
            <w:vAlign w:val="bottom"/>
            <w:gridSpan w:val="1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8920" w:type="dxa"/>
            <w:vAlign w:val="bottom"/>
            <w:gridSpan w:val="26"/>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Security Ownership of Certain Beneficial Owners and Management and Related Stockholder Matters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Certain Relationships and Related Transactions, and Director Independence</w:t>
              </w:r>
            </w:hyperlink>
          </w:p>
        </w:tc>
        <w:tc>
          <w:tcPr>
            <w:tcW w:w="180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Principal Accountant Fees and Services</w:t>
              </w:r>
            </w:hyperlink>
          </w:p>
        </w:tc>
        <w:tc>
          <w:tcPr>
            <w:tcW w:w="3600" w:type="dxa"/>
            <w:vAlign w:val="bottom"/>
            <w:gridSpan w:val="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5"/>
              </w:rPr>
            </w:pPr>
            <w:hyperlink w:anchor="page130">
              <w:r>
                <w:rPr>
                  <w:rFonts w:ascii="Arial" w:cs="Arial" w:eastAsia="Arial" w:hAnsi="Arial"/>
                  <w:sz w:val="18"/>
                  <w:szCs w:val="18"/>
                  <w:b w:val="1"/>
                  <w:bCs w:val="1"/>
                  <w:color w:val="0000EE"/>
                  <w:w w:val="95"/>
                </w:rPr>
                <w:t>PART IV</w:t>
              </w:r>
            </w:hyperlink>
          </w:p>
        </w:tc>
        <w:tc>
          <w:tcPr>
            <w:tcW w:w="3960" w:type="dxa"/>
            <w:vAlign w:val="bottom"/>
            <w:gridSpan w:val="7"/>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8920" w:type="dxa"/>
            <w:vAlign w:val="bottom"/>
            <w:gridSpan w:val="26"/>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Exhibits and Financial Statement Schedules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1000" w:type="dxa"/>
            <w:vAlign w:val="bottom"/>
            <w:gridSpan w:val="2"/>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383"/>
        </w:trPr>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7"/>
          </w:tcPr>
          <w:p>
            <w:pPr>
              <w:ind w:left="46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Wynn Resorts, Limited, a Nevada corporation, was formed in June 2002, is led by Chairman and Chief Executive Officer, Stephen A. Wynn, and is a leading developer, owner and operator of destination casino resorts. Wynn Resorts, Limited currently owns 72.3% of Wynn Macau, Limited which operates a casino hotel resort property in the Macau Special Administrative Region of the People’s Republic of China (“Macau”). In Las Vegas, Nevada, we own and operate Wynn Las Vegas, which includes Encore at Wynn Las Vegas. We present our results based on the following two segments: Macau Operations and Las Vegas Operations. For more information on the financial results for our segments, see Item 8—“Financial Statements and Supplementary Data”, Note 17 “Segment Information.”</w:t>
      </w:r>
    </w:p>
    <w:p>
      <w:pPr>
        <w:spacing w:after="0" w:line="14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Unless the context otherwise requires, all references herein to “Wynn Resorts,” the “Company,” “we,” “us” or “our,” or similar terms, refer to Wynn Resorts, Limited and its consolidated subsidiaries.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Wynn Resorts files annual reports on Form 10-K, quarterly reports on Form 10-Q, current reports on Form 8-K and amendments of such reports with the Securities and Exchange Commission (“SEC”). Any document Wynn Resorts files may be inspected, without charge, at the SEC’s public reference room at 100 F Street, N.E. Washington, D.C. 20549 or at the SEC’s internet site address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Information related to the operation of the SEC’s public reference room may be obtained by calling the SEC at 1-800-SEC-0330. In addition, through our own internet address at </w:t>
      </w:r>
      <w:r>
        <w:rPr>
          <w:rFonts w:ascii="Arial" w:cs="Arial" w:eastAsia="Arial" w:hAnsi="Arial"/>
          <w:sz w:val="16"/>
          <w:szCs w:val="16"/>
          <w:u w:val="single" w:color="auto"/>
          <w:color w:val="auto"/>
        </w:rPr>
        <w:t>www.wynnresorts.com</w:t>
      </w:r>
      <w:r>
        <w:rPr>
          <w:rFonts w:ascii="Arial" w:cs="Arial" w:eastAsia="Arial" w:hAnsi="Arial"/>
          <w:sz w:val="16"/>
          <w:szCs w:val="16"/>
          <w:color w:val="auto"/>
        </w:rPr>
        <w:t>, Wynn Resorts provides a hyperlink to a third-party SEC filing website which posts these filings as soon as reasonably practicable, where they can be reviewed without charge. The information found on our website is not a part of this Annual Report on Form 10-K or any other report we file or furnish to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Wynn Macau opened on September 6, 2006. On April 21, 2010, we opened Encore at Wynn Macau, an expansion of Wynn Macau. We refer to the fully integrated Wynn Macau and Encore at Wynn Macau resort as “Wynn Macau | Encore” or as our “Macau Operations.” We believe that this resort offers exceptional accommodations, amenities and service.</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Macau Operations feature 1,008 spacious guest rooms and suites, 493 table games, 866 slot machines and a poker pit in approximately 280,000 square feet of casino gaming space (including sky casinos and private gaming salons), casual and fine dining in eight restaurants, two spas and a salon, lounges, meeting facilities and approximately 57,000 square feet of retail space featuring boutiques from Bvlgari, Cartier, Chanel, Dior, Dunhill, Ermenegildo Zegna, Ferrari, Giorgio Armani, Graff, Gucci, Hermes, Hugo Boss, Jaeger-LeCoultre, Loro Piana, Louis Vuitton, Miu Miu, Piaget, Prada, Roger Dubuis, Rolex, Tiffany, Tudor, Vacheron Constantin, Van Cleef &amp; Arpels, Versace, Vertu, and others. Our Macau Operations include a show in the rotunda featuring a Chinese zodiac-inspired ceiling along with gold “prosperity tree” and “dragon of fortune” attractions.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Wynn Las Vegas opened on April 28, 2005. On December 22, 2008, we opened Encore at Wynn Las Vegas, an expansion of Wynn Las Vegas. We refer to the fully integrated Wynn Las Vegas and Encore at Wynn Las Vegas resort as “Wynn Las Vegas | Encore” or as our “Las Vegas Operations.” We believe that this resort offers exceptional accommodations, amenities and service.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Las Vegas Operations feature 4,748 hotel rooms and suites, 230 table games, 1,854 slot machines, a race and sports book and a poker room in approximately 186,000 square feet of casino gaming space (including a sky casino and private gaming salons), casual and fine dining in 34 food and beverage outlets, two spas and salons, lounges, and approximately 96,000 square feet of retail space featuring boutiques from Alexander McQueen, Brioni, Cartier, Chanel, Chloé, Chopard, Dior, Graff, Hermes, IWC Schaffhausen, Jaeger-LeCoultre, Loro Piana, Louis Vuitton, Manolo Blahnik, Nicholas Kirkwood, Oscar de la Renta, Piaget, Rolex, Vertu and others. Our Las Vegas Operations also offer three nightclubs, a beach club, a Ferrari and Maserati automobile dealership, wedding chapels, an 18-hole golf course, approximately 284,000 square feet of meeting space, a specially designed theater presenting “Le Rêve-The Dream,” a water-based theatrical production, and the Encore Theater presenting various headliner entertainment acts throughout the year.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7—“Management’s Discussion and Analysis of Financial Condition and Results of Operations—Results of Operations” for more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Development Opportunities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the ordinary course of our business, and as a market leader and innovator, we have made and continue to make certain enhancements and refinements to our resort complexes.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September 2011, Palo Real Estate Company Limited (“Palo”) and Wynn Resorts (Macau), S.A. (“Wynn Macau”), each an 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(including interest at 5%) which began in November 2012. As of December 31, 2013, the Company has recorded this obligation and related asset with $29.3 million included as a current liability and $46.8 million included as a long-term liability. The Company will also be required to make annual lease payments of $0.8 million during the resort construction period and annual lease payments of approximately $1.1 million once the development is completed.</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the land subject to the land concession discussed above, we are currently constructing Wynn Palace, a full-scale integrated resort containing a 1,700-room hotel, performance lake, meeting space, casino, spa, retail offerings and food and beverage outlets. The total project budget, including construction costs, capitalized interest, pre-opening expenses, land costs and financing fees, is $4 billion. As of December 31, 2013, we have invested $703.7 million in the project. We continue to remain on schedule for an opening in the first half of 2016.</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July 29, 2013, Wynn Macau and Palo executed a guaranteed maximum price construction (“GMP”) contract with Leighton Contractors (Asia) Limited, acting as the general contractor. Under the GMP contract, the general contractor is responsible for both the construction and design of the project. The general contractor is obligated to substantially complete the project in the first half of 2016 for a guaranteed maximum price of HK$20 billion (approximately $2.57 billion). An early completion bonus for achievement of substantial completion on or before January 25, 2016, will be paid to the general contractor if certain conditions are satisfied under the GMP contract. Both the contract time and guaranteed maximum price are subject to further adjustment under certain specified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convention facilities, entertainment, fine dining and premium retail offerings, to create resorts that appeal to our international customer base.</w:t>
      </w:r>
    </w:p>
    <w:p>
      <w:pPr>
        <w:spacing w:after="0" w:line="14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Our resorts are designed, built and operated to provide a premium experience for our guests. Our business is dependent upon repeat visitation from our guests and we believe superior customer experience and service is the best marketing strategy to attract and retain our customers. Our company heavily emphasizes human resources and staff training to ensure our employees are prepared to provide the luxury service that our guests expect. We market our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resorts through various media channels, including social media, television, radio, newspapers, magazines, the internet, direct mail and billboards.</w:t>
      </w:r>
    </w:p>
    <w:p>
      <w:pPr>
        <w:spacing w:after="0" w:line="10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Mr. Wynn and his team bring significant experience in designing, developing and operating casino resorts. The senior executive team has an average of over 25 years of experience in the hotel and gaming industries. We also have an approximately 125-person design, development and construction subsidiary, the senior management of which has significant experience in all major construction disciplines.</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the sixth consecutive year, Wynn Macau and The Spa at Wynn Macau received the Forbes five-star distinction, while Encore at Wynn Macau and the Spa at Encore at Wynn Macau received the Forbes five-star distinction for the second consecutive year. For the eighth consecutive year, The Tower Suites at Wynn Las Vegas has received the Forbes five-star distinction. The Spa at Wynn Las Vegas earned five-star recognition from Forbes for the sixth year in a row. The Tower Suites at Encore and the Spa at Encore are also recipients of the Forbes five-star distinction. In addition, a number of restaurants in our resorts have earned star-distinction from Forbes, with 38 stars in total for the current year.</w:t>
      </w:r>
    </w:p>
    <w:p>
      <w:pPr>
        <w:spacing w:after="0" w:line="1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continually seek out new opportunities for additional gaming or related businesses, in the United States, and worldwide. On November 11, 2013, we announced that our Board had elected to withdraw the previously filed application for a gaming license in Pennsylvania. We have made an application for a gaming license in Massachusetts. The process is competitive and we do not expect to know the outcome until the end of the first half of 2014. Proceeding with this project will require significant expenditure of Company funds. In addition, we are exploring expansion opportunities in other international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casino resort industry is highly competitive. Both our Macau Operations and our Las Vegas Operations compete with other high-quality casino resorts. Resorts located on or near our properties compete on the basis of overall atmosphere, range of amenities, level of service, price, location, entertainment, themes and size, among other factors. We seek to differentiate our Macau and Las Vegas resorts from other major resorts by concentrating on our fundamental elements of superior design, atmosphere, personal service and luxury.</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Macau</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Macau is governed as a special administrative region of China and is located approximately 37 miles southwest of, and approximately one hour away via ferry from, Hong Kong. Macau, which has been a casino destination for more than 50 years, consists principally of a peninsula on mainland China, with two neighboring islands, Taipa and Coloane, between which the Cotai area is located. In 2002, the government of Macau ended a</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40 year monopoly of the conduct of gaming operations by conducting a competitive process resulting in the issuance of concessions to conduct gaming operations to three concessionaires (including Wynn Macau), who in turn were permitted, subject to the approval of the government of Macau, to each grant one subconcession, resulting in a total of six gaming concessionaires. In addition to Wynn Macau, each of Sociedade de Jogos de Macau (“SJM”) and Galaxy Entertainment Group Limited are primary concessionaires and Sands China Ltd., Melco Crown and MGM China Holdings Limited operate under subconcessions. There is no limit to the number of casinos each concessionaire is permitted to operate, but each facility is subject to government approval. Currently, there are 35 operating casinos in Macau.</w:t>
      </w:r>
    </w:p>
    <w:p>
      <w:pPr>
        <w:spacing w:after="0" w:line="14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believe that Macau is located in one of the world’s largest concentrations of potential gaming customers. According to Macau Statistical Information, casinos in Macau, the largest gaming market in the world, generated approximately $45.2 billion in gaming revenue in 2013, an 18.6% increase over the approximately $38.1 billion generated in 2012, and a significant increase over the approximately $2.9 billion generated in 2002.</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Macau’s gaming market is primarily dependent on tourists. Tourist arrivals in 2013 were 29.3 million, compared to 28.1 million in 2012. The Macau market has also experienced tremendous growth in capacity in the last several years. As of December 31, 2013, there were 27,764 hotel rooms, 5,750 table games and 13,106 slot machines in Macau, compared to 12,978 hotel rooms, 2,762 table games and 6,546 slot machines as of December 31, 2006.</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Gaming customers traveling to Macau have typically come from nearby destinations in Asia including Hong Kong, mainland China, Taiwan, South Korea and Malaysia. According to the Macau Statistics and Census Service Monthly Bulletin of Statistics, approximately 90% of the tourists who visited Macau in 2013 came from Hong Kong, mainland China and Taiwan. Travel to Macau by citizens of mainland China requires a visa. Chinese government officials have, on occasion, exercised their authority to adjust the visa policy and may do so in the future.</w:t>
      </w:r>
    </w:p>
    <w:p>
      <w:pPr>
        <w:spacing w:after="0" w:line="143"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Wynn Macau faces competition from casinos located throughout Asia, as well as other major gaming centers located around the world, including Singapore, Australia, Las Vegas and cruise ships in Asia that offer gaming.</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Las Vegas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Las Vegas is the largest gaming market in the United States. During 2013, the economic environment in the gaming and hotel markets in Las Vegas continued to improve with increased levels of gaming revenue and hotel room demand. While these gaming and hotel statistics have increased from prior year levels, uncertainty still exists in the Las Vegas market. During 2013, the average daily room rate increased 2.4%, visitation remained relatively flat at 39.7 million visitors, and Las Vegas Strip gaming revenues increased 4.8%, all as compared to the year ended December 31, 2012. During 2012, the average daily room rate increased 2.8%, visitation increased 2.1% to 39.7 million visitors, and Las Vegas Strip gaming revenues increased 2.3%, all as compared to the year ended December 31, 2011.</w:t>
      </w:r>
    </w:p>
    <w:p>
      <w:pPr>
        <w:spacing w:after="0" w:line="14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Las Vegas Operations are located on the Las Vegas Strip and compete with other high-quality resorts and hotel casinos in Las Vegas. Our Las Vegas Operations also compete, to some extent, with other casino resorts in Nevada and throughout the United States, and elsewhere in the world. The legalization of casino gaming in or near metropolitan areas from which we attract customers could have a negative effect on our business. New or renovated casinos in Asia, including Singapore, the Philippines, South Korea and Macau, could draw gaming customers away from Las Vegas.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Geographic data are reported in Item 8—“Financial Statements and Supplementary Data”, Note 17 “Segment Information.” Additional financial data about our geographic operations is provided in Item 7—“Management’s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Macau</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As a casino concessionaire, Wynn Macau, an indirect 72.3% owned subsidiary of the Company, is subject to the regulatory control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 of Macau. The government has adopted Laws and Administrative Regulations governing the operation of casinos in Macau. Only concessionaires or subconcessionaires are permitted to operate casinos. Subconcessions may be awarded subject to the approval of the Macau government and each concessionaire has issued one subconcession. Each concessionaire was required to enter into a concession agreement with the Macau government which, together with the Law and Administrative Regulations, form the framework for the regulation of the activities of the concessionaire.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18"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88"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applicable taxes, according to the rate in effect as set by the government, from any commissions paid to games promoters. The withholding rate may be adjusted from time to time.</w:t>
      </w:r>
    </w:p>
    <w:p>
      <w:pPr>
        <w:spacing w:after="0" w:line="8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A games promoter, also known as a junket representative, is a person who, for the purpose of promoting casino gaming activity, arranges customer transportation and accommodations, and provides credit in their sole discretion, food and beverage services and entertainment in exchange for commissions or other compensation from a concessionaire. Macau law provides that games promoters must be licensed by the Macau government in order to do business with and receive compensation from concessionaires. For a license to be obtained, direct and indirect owners of 5% or more of a games promoter (regardless of its corporate form or sole proprietor status), its directors and its key employees must be found suitable. Applicants are required to pay the cost of license investigations, and are required to maintain suitability standards during the period of licensure. The term of a games promoters’ license is one calendar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 The Gaming Inspection and Coordination Bureau (“DICJ”) implemented certain instructions in 2009,</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which have the force of law, relating to commissions paid to, and by, games promoters. Such instructions also impose certain financial reporting and audit requirements on games promoters.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Under Macau law, licensed games promoters must identify outside contractors who assist them in their promotion activities. These contractors are subject to approval of the Macau government. Changes in the management structure of business entity games promoters licensees must be reported to the Macau government and any transfer or the encumbering of interests in such licensees is ineffective without prior government approval. To conduct gaming promotion activities licensees must be registered with one or more concessionaires and must have written contracts with such concessionaires, copies of which must be submitted to the Macau government.</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Macau law further provides that concessionaires are jointly responsible with their games promoters for the activities of such representatives and their directors and contractors in the concessionaires’ casinos, and for their compliance with applicable laws and regulations. Concessionaires must submit annual lists of their games promoters, and must update such lists on a quarterly basis. The Macau government may designate a maximum number of games promoters and specify the number of games promoters a concessionaire is permitted to engage. Concessionaires are subject to periodic reporting requirements with respect to commissions paid to their games promoters representatives and are required to oversee their activities and report instances of unlawful activity.</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 The government of Macau may also terminate a concession for cause, including, without limitation, failure of the concessionaire to fulfill its obligations under law or the concession contract.</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Concession Agreement. </w:t>
      </w:r>
      <w:r>
        <w:rPr>
          <w:rFonts w:ascii="Arial" w:cs="Arial" w:eastAsia="Arial" w:hAnsi="Arial"/>
          <w:sz w:val="18"/>
          <w:szCs w:val="18"/>
          <w:color w:val="auto"/>
        </w:rPr>
        <w:t>The concession agreement between Wynn Macau and the Macau government required Wynn Macau to construct and operate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more casino gaming properties in Macau, including, at a minimum, one full-service casino resort by the end of December 2006, and to invest not less than a total of 4 billion Macau patacas (approximately $500 million) in Macau-related projects by June 2009. These obligations were satisfied upon the opening of Wynn Macau in 2006.</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Macau was also obligated to obtain, and did obtain, a 700 million Macau pataca (approximately $87 million) bank guarantee from Banco National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Ultramarino, S.A. (“BNU”) that was effective until March 31, 2007. The amount of this guarantee was reduced to 300 million Macau patacas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 million) for the period from April 1, 2007 until 180 days after the end of the term of the concession agreement. This guarantee, which is for the benefit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Macau government, assures Wynn Macau’s performance under the casino concession agreement, including the payment of premiums, fines and indemnity for 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material failure to perform the concession agreement. Wynn Macau is obligated, upon demand by BNU, to promptly repay any claim made on the guarantee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Macau government. BNU is currently paid an annual fee by Wynn Macau for the guarantee of approximately 5.2 million patacas (approximately $0.7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government of Macau may redeem the concession beginning on June 24, 2017, and in such event Wynn Macau will be entitled to fair compensation or indemnity. The amount of such compensation or indemnity will be determined based on the amount of revenue generated during the tax year prior to the redemption multiplied for the remaining years under the concession.</w:t>
      </w:r>
    </w:p>
    <w:p>
      <w:pPr>
        <w:spacing w:after="0" w:line="140" w:lineRule="exact"/>
        <w:rPr>
          <w:sz w:val="20"/>
          <w:szCs w:val="20"/>
          <w:color w:val="auto"/>
        </w:rPr>
      </w:pPr>
    </w:p>
    <w:p>
      <w:pPr>
        <w:ind w:right="420" w:firstLine="456"/>
        <w:spacing w:after="0" w:line="357" w:lineRule="auto"/>
        <w:rPr>
          <w:sz w:val="20"/>
          <w:szCs w:val="20"/>
          <w:color w:val="auto"/>
        </w:rPr>
      </w:pPr>
      <w:r>
        <w:rPr>
          <w:rFonts w:ascii="Arial" w:cs="Arial" w:eastAsia="Arial" w:hAnsi="Arial"/>
          <w:sz w:val="15"/>
          <w:szCs w:val="15"/>
          <w:color w:val="auto"/>
        </w:rPr>
        <w:t>The government of Macau may unilaterally rescind the concession if Wynn Macau fails to fulfill its fundamental obligations under the concession agreement. The concession agreement expressly provides that the government of Macau may unilaterally rescind the concession agreement if Wynn Macau:</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abandons or suspends gaming operations in Macau for more than seven consecutive days (or more than 14 days in a civil year) without justification;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repeatedly and seriously violates applicable gaming laws.</w:t>
      </w:r>
    </w:p>
    <w:p>
      <w:pPr>
        <w:spacing w:after="0" w:line="17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for one of the reasons stated above, Wynn Macau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 interest, unilaterally terminate the concession at any time, in which case Wynn Macau would be entitled to reasonable compensation.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Nevada</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Introduction. </w:t>
      </w:r>
      <w:r>
        <w:rPr>
          <w:rFonts w:ascii="Arial" w:cs="Arial" w:eastAsia="Arial" w:hAnsi="Arial"/>
          <w:sz w:val="18"/>
          <w:szCs w:val="18"/>
          <w:color w:val="auto"/>
        </w:rPr>
        <w:t>The ownership and operation of casino gaming facilities in the State of Nevada are subject to the Nevada Gaming Control Act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made under the Act, as well as to various local ordinances. Our Las Vegas Operations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our Las Vegas gaming operations and our financial condition and results of operations.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Our subsidiary, Wynn Las Vegas, LLC, the owner and operator of our Las Vegas Operations,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approved by 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Company Registration Requirements. </w:t>
      </w:r>
      <w:r>
        <w:rPr>
          <w:rFonts w:ascii="Arial" w:cs="Arial" w:eastAsia="Arial" w:hAnsi="Arial"/>
          <w:sz w:val="18"/>
          <w:szCs w:val="18"/>
          <w:color w:val="auto"/>
        </w:rPr>
        <w:t>Wynn Resorts was found suitable by the Nevada Gaming Commission to own the equity interests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Holdings, LLC (“Wynn Resorts Holdings”), a wholly owned 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Las Vegas, LLC and to be registered by the Nevada Gaming Commission as an intermediary company. In addition to being licensed, Wynn Las Vegas, LLC, as an issuer of debt securities registered with the SEC, also qualified as a registered company. Wynn Las Vegas Capital Corp., a co-issuer of the debt securities, was not required to be registered or licensed, but may be required to be found suitable as a lender or financing source.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more than 5% stockholder or member of, or receive any percentage of the profits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2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Securities Owned By an Unsuitable Person. </w:t>
      </w:r>
      <w:r>
        <w:rPr>
          <w:rFonts w:ascii="Arial" w:cs="Arial" w:eastAsia="Arial" w:hAnsi="Arial"/>
          <w:sz w:val="16"/>
          <w:szCs w:val="16"/>
          <w:color w:val="auto"/>
        </w:rPr>
        <w:t>The Company’s articles of incorporation provide that, to the extent required by the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Wynn Resorts.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 and as set forth in the Company’s articles of incorporation.</w:t>
      </w:r>
    </w:p>
    <w:p>
      <w:pPr>
        <w:spacing w:after="0" w:line="124"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On February 18, 2012, Wynn Resorts’ Gaming Compliance Committee concluded an investigation after receiving an independent report by Freeh, Sporkin &amp; Sullivan, LLP (the “Freeh Report”) detailing a pattern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misconduct by Aruze USA, Inc. (at the time a stockholder of Wynn Resorts), Universal Entertainment Corporation, Aruze USA, Inc.’s parent company, and Kazuo Okada, (the majority shareholder of Universal Entertainment Corporation and a former member of the Board of Directors of Wynn Resorts and Wynn Macau, Limited) (collectively, the “Okada Parties”).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the Aruze shares,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In addition,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Additionally,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cancelled Aruze USA, Inc.’s 24,549,222 shares of Wynn Resorts’ common stock. The Company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its articles of incorporation, Wynn Resorts issued the Redemption Price Promissory Note (the “Redemption Note”) to Aruze USA, Inc.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Okada Parties have challenged the redemption of Aruze USA, Inc.’s shares and the Company is currently involved in litigation with those parties as well as related shareholder derivative litigation. See Item 1A—“Risk Factors”, Item 3—“Legal Proceedings” and Item 8—“Financial Statements and Supplementary Data”, Note 16 “Commitments and Contingencies”. The outcome of these various proceedings cannot be predicted.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our Las Vegas Operations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Wynn Resorts’ voting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4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Wynn Resorts is required to maintain a current stock ledger in Nevada which may be examined by the Nevada Gaming Authorities at any time. If any securities are held in trust by an agent or by a nominee, the record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21, 2013, the Nevada Gaming Commission granted us and Wynn Las Vegas, LLC prior approval, subject to certain conditions, to make public offerings for a period of three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Foreign Gaming Investigations. </w:t>
      </w:r>
      <w:r>
        <w:rPr>
          <w:rFonts w:ascii="Arial" w:cs="Arial" w:eastAsia="Arial" w:hAnsi="Arial"/>
          <w:sz w:val="18"/>
          <w:szCs w:val="18"/>
          <w:color w:val="auto"/>
        </w:rPr>
        <w:t>Any person who is licensed, required to be licensed, registered, required to be registered in Nevada, or is under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40" w:hanging="325"/>
        <w:spacing w:after="0" w:line="35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December 31, 2013, we had a total of approximately 16,500 full-time equivalent employees (including approximately 7,000 in Macau and 9,500 in Las Vegas).</w:t>
      </w:r>
    </w:p>
    <w:p>
      <w:pPr>
        <w:spacing w:after="0" w:line="132"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We entered into a ten year collective bargaining agreement with the Culinary and Bartenders Union local covering approximately 5,575 employees at our Las Vegas Operations that will expire in 2015. We also entered into a ten year collective bargaining agreement with the Transportation Workers Union in November 2010, which covers the table games dealers at Wynn Las Vegas. Certain other unions may seek to organize the workers of our Las Vegas Operations.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Among our most important marks are our trademarks and service marks that use the name “WYNN.” Wynn Resorts has registered with the U.S. Patent and Trademark Office (“PTO”) a variety of the WYNN-related trademarks and service marks in connection with a variety of goods and services. These marks include “WYNN RESORTS,” “WYNN DESIGN AND DEVELOPMENT,” “WYNN LAS VEGAS,” “ENCORE” and “WYNN MACAU.” Some of the applications are based upon ongoing use and others are based upon a bona fide intent to use the marks.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the portion of a mark primarily constituting a surname) is not eligible for registration unless the surname has acquired “secondary meaning.” Wynn Resorts has been successful in demonstrating to the PTO such secondary meaning for the Wynn name based upon factors including Mr. Wynn’s prominence as a resort developer.</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PTO and include “WYNN MACAU,” “WYNN LAS VEGAS,” “WYNN PALACE” and “ENCORE.” Some of the applications are based upon ongoing use and others are based upon a bona fide intent to use the marks.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August 6, 2004, we entered into agreements with Mr. Wynn that confirm and clarify our rights to use the “Wynn” name and Mr. Wynn’s persona in connection with our casino resorts. Under a Surname Rights Agreement, Mr. Wynn has acknowledged our exclusive, fully paid-up, perpetual, worldwide right to use, and to own and register trademarks and service marks incorporating, the “Wynn” name for casino resorts and related businesses, together with the right to sublicense the name and marks to our affiliates. Under a Rights of Publicity License, Mr. Wynn has granted us the exclusive, royalty-free, worldwide right to use his full name, persona and related rights of publicity for casino resorts and related businesses, together with the ability to sublicense the persona and publicity rights to our affiliates, until October 24, 2017.</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We have also registered various domain names including, but not limited to, </w:t>
      </w:r>
      <w:r>
        <w:rPr>
          <w:rFonts w:ascii="Arial" w:cs="Arial" w:eastAsia="Arial" w:hAnsi="Arial"/>
          <w:sz w:val="18"/>
          <w:szCs w:val="18"/>
          <w:u w:val="single" w:color="auto"/>
          <w:color w:val="auto"/>
        </w:rPr>
        <w:t>www.wynnlasvegas.com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www.wynnmacau.com</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www.wynnmacaulimited.com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www.encorelasvegas.com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www.wynnresorts.com</w:t>
      </w:r>
      <w:r>
        <w:rPr>
          <w:rFonts w:ascii="Arial" w:cs="Arial" w:eastAsia="Arial" w:hAnsi="Arial"/>
          <w:sz w:val="16"/>
          <w:szCs w:val="16"/>
          <w:color w:val="auto"/>
        </w:rPr>
        <w:t>, with various domain registrars around the world. Our domain registrations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extend to various foreign countries such as “.com.cn” and “.com.hk.” We pursue domain related infringement on a case by case basis depending on the infringing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domain in question. The information found on these websites is not a part of this Annual Report on Form 10-K or any other report we file or furnish to the SEC.</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make forward-looking statements in this Annual Report on Form 10-K based upon the beliefs and assumptions of our management and on information currently available to us. Forward-looking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5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or enforcement actions and probity investigations;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valuation of the promissory note we issued in connection with the redemption of Mr. Okada’s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violations by us of the Foreign Corrupt Practices Act or federal anti-money laundering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uncertainties over the development and success of new gaming and resort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tourism and trends reflecting current domestic and international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environmental regulation on management and construction of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subsidiaries’ ability to pay us dividends and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relationships with Macau games promoters;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debts;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maintenance of our concession from the Macau government;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exchange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24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extreme weather patterns or a natural disaster may have on the travel and leisure industry;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You should carefully consider the risk factors set forth below, as well as the other information contained in this Annual Report on Form 10-K, regarding matters which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ability to maintain our competitive position is dependent to a large degree on the efforts, skills and reputation of Stephen A. Wynn, the Chairman of the Board, Chief Executive Officer and one of the principal stockholders of Wynn Resorts. Mr. Wynn’s employment agreement expires in October 2020. However, we cannot assure you that Mr. Wynn will remain with Wynn Resorts, Limited. If we lose the services of Mr. Wynn, or if he is unable to devote sufficient attention to our operations for any other reason, our business may be significantly impaired.</w:t>
      </w:r>
    </w:p>
    <w:p>
      <w:pPr>
        <w:spacing w:after="0" w:line="224"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Visitation to Macau may decline due to economic disruptions in mainland China as well as increased restrictions on visitations to Macau from citizens of mainland China.</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 significant number of our gaming customers at Wynn Macau come from mainland China. Any economic disruption or contraction in China could disrupt the number of patrons visiting our property or the amount they may be willing to spend. In addition, any travel restrictions imposed by China on its citizens could disrupt the number of visitors from mainland China to our property. It is not known when, or if, policies similar to those implemented in 2009 restricting visitation by mainland Chinese citizens to Macau and Hong Kong, will be put in place and travel policies may be adjusted, without notice, in the future. The resulting decreased visitation would negatively affect our revenues and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Potential violations of law by Mr. Okada (former director and formerly the largest beneficial owner of our shares) and his affiliates could have adverse consequences to the Company.</w:t>
      </w:r>
    </w:p>
    <w:p>
      <w:pPr>
        <w:spacing w:after="0" w:line="5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February 18, 2012, the Board of Directors of Wynn Resorts received a report from Freeh, Sporkin &amp; Sullivan, LLP detailing numerous instances of conduct constituting prima facie violations of the Foreign Corrupt Practices Act (the “FCPA”) by Kazuo Okada (formerly the largest beneficial owner of our shares) and certain of his affiliates. See Item 3—“Legal Proceedings” and Item 8—“Financial Statements and Supplementary Data”, Note 16 “Commitments and Contingencies.” The Company has provided the Freeh Report to applicable regulators and has been cooperating with related investigations of such regulators. The conduct of Mr. Okada and his affiliates and the outcome of any resulting regulatory findings could have adverse consequences to the Company. A finding by regulatory authorities that Mr. Okada violated the FCPA on Company property and/or otherwise involved the Company in criminal or civil violations could result in actions by regulatory authorities against the Company. Relatedly, regulators have and may pursue separate investigations into the Company’s compliance with applicable laws in connection with the Okada matter, as discussed in Item 3—“Legal Proceedings”. While the Company believes that it is in full compliance with all applicable laws, any such investigations could result in actions by regulators against the Company, which could negatively affect the Company’s financial condition or results of operations.</w:t>
      </w:r>
    </w:p>
    <w:p>
      <w:pPr>
        <w:spacing w:after="0" w:line="204"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Mr. Okada and his affiliates have challenged the redemption of Aruze USA, Inc.’s Shares. An adverse judgment or settlement resulting from the related litigation could reduce our profits or limit our ability to operate our business.</w:t>
      </w:r>
    </w:p>
    <w:p>
      <w:pPr>
        <w:spacing w:after="0" w:line="5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On February 18, 2012, after receiving the Freeh Report, the Board of Directors of Wynn Resorts determined that Aruze USA, Inc., Universal Entertainment Corporation and Mr. Kazuo Okada (collectively, the “Okada Parties”) were “unsuitable” within the meaning of Article VII of Wynn Resorts’ articles of incorporation and redeemed all of Aruze USA, Inc.’s shares of Wynn Resorts’ common stock. See Item 3—“Legal Proceedings” and Item 8—“Financial Statements and Supplementary Data”, Note 16 “Commitments and Contingencies”. 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cancelling the shares of Aruze, USA, Inc. On March 12, 2012, the Okada Parties filed an answer denying the claims and a counterclaim (as amended, the “Counterclaim”) against the Company, each of the members of the Company’s Board of Directors (other than Mr. Okada) and Wynn Resorts’ General Counsel (collectively, the “Wynn Parties”), seeking, among other things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 In connection with the Redemption Action and Counterclaim</w:t>
      </w:r>
    </w:p>
    <w:p>
      <w:pPr>
        <w:spacing w:after="0" w:line="5" w:lineRule="exact"/>
        <w:rPr>
          <w:sz w:val="20"/>
          <w:szCs w:val="20"/>
          <w:color w:val="auto"/>
        </w:rPr>
      </w:pPr>
    </w:p>
    <w:p>
      <w:pPr>
        <w:ind w:firstLine="8"/>
        <w:spacing w:after="0" w:line="286"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various Okada Parties filed a complaint in the Tokyo District Court against the Company, all members of the Board (other than Mr. Okada) and the Company’s General Counsel alleging that the press release issued by the Company in connection with the Redemption Action has damaged their social evaluation and credibility and seeking damages and legal fees, (2) four federal derivative actions were commenced against the Company and all members of its Board of Directors, (3) two state derivative actions were commenced against the Company and all members of its Board of Directors and (4) regulatory inquiries and investigations were initiated against the Company. See Item 3—“Legal Proceedings”, for a full description of these matters and status as of the date of this report. The Company is vigorously pursuing its claims against the Okada Parties, and together with the other counter-defendants, vigorously defending against the Counterclaims and other actions asserted against them. However, as with all litigation, the outcome of these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in valuation of our Redemption Price Promissory Note could have a negative impact on our results of operations.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connection with the redemption of the shares previously held by Aruze USA, Inc., we recorded the fair value of the Redemption Note of approximately $1.94 billion in accordance with applicable accounting guidance. We utilized an independent third party valuation to assist in the determination of this fair value. In determining this fair value, we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the Okada Parties (see Item 8—“Financial Statements and Supplementary Data”, Note 16—“Commitments and Contingencies”); the outcome of on-going investigations of Aruze USA, Inc. by the United States Attorney’s Office, the U.S. Department of Justice and by the Nevada Gaming Control Board; and other potential legal and regulatory actions. In 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w:t>
      </w:r>
    </w:p>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determination of the appropriate discount rate to be used in the estimated present value, the Redemption Note’s subordinated position relative to all other debt in our capital structure and credit ratings associated our traded debt were considered. Observable inputs for the risk free rate based on Federal Reserve rates for U.S. Treasury securities and credit risk spread based on a yield curve index of similarly rated debt was used. As a result of this analysis, we concluded the Redemption Notes’ stated rate of 2% approximated a market rate.</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change in any of the assumptions discussed above could result in a change in the fair value of this Redemption Note and significantly impact our results of operations.</w:t>
      </w:r>
    </w:p>
    <w:p>
      <w:pPr>
        <w:spacing w:after="0" w:line="213" w:lineRule="exact"/>
        <w:rPr>
          <w:sz w:val="20"/>
          <w:szCs w:val="20"/>
          <w:color w:val="auto"/>
        </w:rPr>
      </w:pPr>
    </w:p>
    <w:p>
      <w:pPr>
        <w:ind w:left="240" w:right="680"/>
        <w:spacing w:after="0" w:line="268" w:lineRule="auto"/>
        <w:rPr>
          <w:sz w:val="20"/>
          <w:szCs w:val="20"/>
          <w:color w:val="auto"/>
        </w:rPr>
      </w:pPr>
      <w:r>
        <w:rPr>
          <w:rFonts w:ascii="Arial" w:cs="Arial" w:eastAsia="Arial" w:hAnsi="Arial"/>
          <w:sz w:val="18"/>
          <w:szCs w:val="18"/>
          <w:b w:val="1"/>
          <w:bCs w:val="1"/>
          <w:i w:val="1"/>
          <w:iCs w:val="1"/>
          <w:color w:val="auto"/>
        </w:rPr>
        <w:t>Ongoing litigation and other disputes with Mr. Okada and certain of his affiliates could distract management and result in negative publicity and additional scrutiny of regulators.</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There has been widespread publicity of the findings in the Freeh Report of prima facie violations of law by Mr. Okada and his affiliates, the Board’s unsuitability finding, the redemption of shares and related litigation. The actions, litigation, and publicity could reduce demand for shares of Wynn Resorts and Wynn Macau, Limited and thereby have a negative impact on the trading prices of their respective shares. The disputes may also lead to additional scrutiny from regulators, which could lead to investigations relating to, and possibly a negative impact on, the Company’s gaming licenses, and possibly have a negative impact on the Company’s ability to bid successfully for new gaming market opportunities.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laws or regulations could have a negative impact on us.</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 significant portion of our revenue is derived from operations outside the United States, which exposes the Company to complex foreign and U.S. regulations inherent in doing business cross-border and in each of the countries in which it transacts business. We also deal with significant amounts of cash in our operations and are subject to various reporting and anti-money laundering regulations. Any violation of anti-money laundering laws or regulations by any of our resorts could have a negative effect on our results of operations. Compliance with international and U.S. laws and regulations that apply to our international operations also increases our cost of doing business in foreign jurisdictions.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the FCPA.</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Internal control policies and procedures and employee training and compliance programs that we have implemented to deter prohibited practices may not be effective in prohibiting our directors, employees, contractors or agents from violating or circumventing our policies and the law. If our directors, employees or agents fail to comply with applicable laws or Company policies governing our international operations, the Company may face investigations, prosecutions and other legal proceedings and actions which could result in civil penalties, administrative remedies and criminal sanctions. Any future government investigations, prosecutions or other legal proceedings or actions, however, could have a negative impact on us.</w:t>
      </w:r>
    </w:p>
    <w:p>
      <w:pPr>
        <w:spacing w:after="0" w:line="11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Kazuo Okada, one of our former directors, failed to comply with internal training in these matters and failed to return to the Company an executed Acknowledgment agreeing to comply with the Company’s Code of Business Conduct and Ethics. For additional information on the Freeh Report, which detailed numerous instances of conduct constituting prima facie violations of the FCPA by Mr. Okada and certain of his affiliates, and the redemption of Aruze USA, Inc.’s shares, see Item 8—“Financial Statements and Supplementary Data”, Note 16 “Commitments and Contingencies.” On February 19, 2012, the Company filed a complaint in Nevada state court against Mr. Okada and other entities alleging, among other things, breach of fiduciary duty in connection with alleged violations of the FCPA. For a detailed description of the legal proceedings between the Company and Mr. Okada and his affiliates, see Item 3—“Legal Proceedings.”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business is particularly sensitive to reductions in discretionary consumer and corporate spending as a result of downturns in the economy.</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factors such as perceived or actual general economic conditions, high unemployment, the housing foreclosure crisis, perceived or actual changes in disposable consumer income and wealth, an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 which may increase in the future.</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casino/hotel industry is highly competitive. Resorts located on or near the Las Vegas Strip compete with other Las Vegas Strip hotels and with other hotel casinos in Las Vegas on the basis of overall atmosphere, range of amenities, level of service, price, location, entertainment, theme and size, among other factors.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Wynn Las Vegas also competes with other hotel/casino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our Las Vegas Operations.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Macau operations also face intense competition. Currently there are 35 operating casinos in Macau. We hold a concession under one of only three gaming concessions and three subconcessions authorized by the Macau government to operate casinos in Macau. The Macau government has had the ability to grant additional gaming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concessions since April 2009. If the Macau government were to allow additional competitors to operate in Macau through the grant of additional concessions or subconcessions, we would face additional competition, which could have a material adverse effect on our business, financial condition, results of operations and cash flows. Current concessionaries and subconcessionaires can open additional facilities.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Macau resort complex also faces competition from casinos located in other areas of Asia, including the Marina Bay Sands and Resorts World Sentosa resorts operating in Singapore, Genting Highlands Resort, a major gaming and resort destination located outside of Kuala Lumpur, Malaysia, and casinos in the Philippines. We also encounter competition from other major gaming centers located around the world, including Australia and Las Vegas, cruise ships in Asia that offer gaming, and other casinos throughout Asia. Further, if current efforts to legalize gaming in other Asian countries are successful, our Wynn Macau resort will face additional regional competition.</w:t>
      </w:r>
    </w:p>
    <w:p>
      <w:pPr>
        <w:spacing w:after="0" w:line="224"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entirely dependent upon our Macau Operations and Las Vegas Operations for all of our operating cash flow. As a result, we are subject to a greater degree of risk than a gaming company with more operating properties or greater geographic diversification. The risks to which we have a greater degree of exposure include the following:</w:t>
      </w:r>
    </w:p>
    <w:p>
      <w:pPr>
        <w:spacing w:after="0" w:line="59" w:lineRule="exact"/>
        <w:rPr>
          <w:sz w:val="20"/>
          <w:szCs w:val="20"/>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gaming and non-casino activities at our resorts;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outbreak of infectious diseases.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Development costs of Wynn Palace may be higher than expected.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project budget, including construction costs, capitalized interest, pre-opening expenses, land costs and financing fees, is $4 billion.</w:t>
      </w:r>
    </w:p>
    <w:p>
      <w:pPr>
        <w:spacing w:after="0" w:line="194"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These projected development costs reflect our best estimates and the actual development costs may be higher than expected. Owners’ contingencies that have been set aside to cover cost overruns may be insufficient to cover the full amount of such overruns. If these contingencies are not sufficient to cover these costs, we may not have the funds required to pay the excess costs and Wynn Palace may not be completed. Failure to complete Wynn Palace would negatively affect our financial condition, our results of operations and our ability to pay our debt.</w:t>
      </w:r>
    </w:p>
    <w:p>
      <w:pPr>
        <w:spacing w:after="0" w:line="194"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There are significant risks associated with the construction of Wynn Palace, which could have an adverse effect on our financial condition, results of operations or cash flows from this planned facility.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Wynn Palace entail significant risks, including:</w:t>
      </w:r>
    </w:p>
    <w:p>
      <w:pPr>
        <w:spacing w:after="0" w:line="90" w:lineRule="exact"/>
        <w:rPr>
          <w:sz w:val="20"/>
          <w:szCs w:val="20"/>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interference from severe weather or natural disasters;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71"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Wynn Palace.</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anticipate that only some of the subcontractors engaged for these projects will post bonds guaranteeing timely completion of the subcontractor’s work and payment for all of that subcontractor’s labor and materials. These bonds may not be adequate to ensure completion of the work.</w:t>
      </w:r>
    </w:p>
    <w:p>
      <w:pPr>
        <w:spacing w:after="0" w:line="85"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Our Wynn Palace facility may not commence operations on schedule and construction costs for this project may exceed budgeted amounts. Failure to complete this project on schedule or within budget may have a significant negative effect on us and on our ability to make payments on our debt.</w:t>
      </w:r>
    </w:p>
    <w:p>
      <w:pPr>
        <w:spacing w:after="0" w:line="166"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We often extend credit, and we may not be able to collect gaming receivables from our credit players or credit play may decrease.</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u w:val="single" w:color="auto"/>
          <w:color w:val="auto"/>
        </w:rPr>
        <w:t>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 significant portion of our table games revenue at our resorts is attributable to the play of a limited number of international customers. The loss</w:t>
      </w:r>
      <w:r>
        <w:rPr>
          <w:rFonts w:ascii="Arial" w:cs="Arial" w:eastAsia="Arial" w:hAnsi="Arial"/>
          <w:sz w:val="18"/>
          <w:szCs w:val="18"/>
          <w:i w:val="1"/>
          <w:iCs w:val="1"/>
          <w:color w:val="auto"/>
        </w:rPr>
        <w:t xml:space="preserve"> </w:t>
      </w:r>
      <w:r>
        <w:rPr>
          <w:rFonts w:ascii="Arial" w:cs="Arial" w:eastAsia="Arial" w:hAnsi="Arial"/>
          <w:sz w:val="18"/>
          <w:szCs w:val="18"/>
          <w:color w:val="auto"/>
        </w:rPr>
        <w:t>or a reduction in the play of the most significant of these customers could have a material adverse effect on our business, financial condition, results of operations and cashflows. A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conduct our gaming activities on a credit as well as a cash basis. This credit is unsecured. We will extend credit to those customers whose level of play and financial resources, in the opinion of management, warrant such an extension. The collectability of receivables from international customers could be negatively affected by future business or economic trends or by significant events in the countries in which these customers reside.</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premium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u w:val="single" w:color="auto"/>
          <w:color w:val="auto"/>
        </w:rPr>
        <w:t>Wynn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While gaming debts evidenced by a credit instrument, including what is commonly referred to as a “marker,” are enforceable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laws of Nevada,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4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u w:val="single" w:color="auto"/>
          <w:color w:val="auto"/>
        </w:rPr>
        <w:t>Wynn Macau.</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the law in Macau permits casino operators to extend credit to gaming customers, Wynn Macau may not be able to collect all of its</w:t>
      </w:r>
      <w:r>
        <w:rPr>
          <w:rFonts w:ascii="Arial" w:cs="Arial" w:eastAsia="Arial" w:hAnsi="Arial"/>
          <w:sz w:val="18"/>
          <w:szCs w:val="18"/>
          <w:i w:val="1"/>
          <w:iCs w:val="1"/>
          <w:color w:val="auto"/>
        </w:rPr>
        <w:t xml:space="preserve"> </w:t>
      </w:r>
      <w:r>
        <w:rPr>
          <w:rFonts w:ascii="Arial" w:cs="Arial" w:eastAsia="Arial" w:hAnsi="Arial"/>
          <w:sz w:val="18"/>
          <w:szCs w:val="18"/>
          <w:color w:val="auto"/>
        </w:rPr>
        <w:t>gaming receivables from its credit players. We expect that Wynn Macau will be able to enforce these obligations only in a limited number of jurisdictions, including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spacing w:after="0" w:line="10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Currently, the gaming tax in Macau is calculated as a percentage of gross gaming revenue. However, unlike Nevada, the gross gaming revenue calculation in Macau does not include deductions for uncollectible gaming debts. As a result, if we extend credit to our customers in Macau and are unable to collect on the related receivables from them, we remain obligated to pay taxes on our winnings from these customers.</w:t>
      </w:r>
    </w:p>
    <w:p>
      <w:pPr>
        <w:spacing w:after="0" w:line="188" w:lineRule="exact"/>
        <w:rPr>
          <w:sz w:val="20"/>
          <w:szCs w:val="20"/>
          <w:color w:val="auto"/>
        </w:rPr>
      </w:pPr>
    </w:p>
    <w:p>
      <w:pPr>
        <w:ind w:left="240" w:right="500"/>
        <w:spacing w:after="0" w:line="332" w:lineRule="auto"/>
        <w:rPr>
          <w:sz w:val="20"/>
          <w:szCs w:val="20"/>
          <w:color w:val="auto"/>
        </w:rPr>
      </w:pPr>
      <w:r>
        <w:rPr>
          <w:rFonts w:ascii="Arial" w:cs="Arial" w:eastAsia="Arial" w:hAnsi="Arial"/>
          <w:sz w:val="16"/>
          <w:szCs w:val="16"/>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operations of our resorts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Nevada Gaming Commission may require the holder of any debt or securities we or Wynn Las Vegas issue to file applications, be investigated and be found suitable to own Wynn Resorts’ securities if it has reason to believe that the security ownership would be inconsistent with the declared policies of the State of Nevada.</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Company’s articles of incorporation also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116"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On February 18, 2012, the Board of Directors of Wynn Resorts received the Freeh Report. See Item 3—“Legal Proceedings”, and Item 8—“Financial Statements and Supplementary Data”, Note 16 “Commitments and Contingencies.” After receiving the Freeh Report, the Board of Directors of Wynn Resorts determined that Aruze USA, Inc., Universal Entertainment Corporation and Mr. Okada were “unsuitable” within the meaning of Article VII of Wynn Resorts’ articles of incorporation and redeemed all of Aruze USA, Inc.’s shares of Wynn Resorts’ common stock. See Item 3—“Legal Proceedings” and Item 8 —“Financial Statements and Supplementary Data”, Note 16 “Commitments and Contingencies”.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Nevada regulatory authorities also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and license requirements is costly. Any change in the Nevada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Macau’s operations are subject to unique risks. Failure to adhere to the regulatory and gaming environment in Macau could result in the revocation of Wynn Macau’s concession or otherwise negatively affect its operations in Macau. Moreover, we are subject to the risk that U.S. regulators could determine that Macau’s gaming regulatory framework has not developed in a way that would permit us to conduct operations in Macau in a manner consistent with the way in which we intend, or the Nevada gaming authorities require us, to conduct our operations in the United States.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rely on information technology and other systems to maintain and transmit customer financial information, credit card settlements, credit card funds transmissions, mailing lists and reservations information.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 party vendors. The steps we take to deter and mitigate these risks may not be successful and our insurance coverage for protecting against cybersecurity risks may not be sufficient. Any disruption, compromise or loss of data or systems that results from a cybersecurity attack or breach could materially adversely impact, operations or regulatory compliance and could result in remedial expenses, fines, litigation, and loss of reputation, potentially impacting our financial results.</w:t>
      </w:r>
    </w:p>
    <w:p>
      <w:pPr>
        <w:spacing w:after="0" w:line="199"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197"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Our business is particularly sensitive to the willingness of our customers to travel. Acts of terrorism, regional political events and developments in the conflicts in certain countries could cause severe disruptions in air travel that reduce the number of visitors to our facilities, resulting in a material adverse effect on our business and financial condition, results of operations or cash flows.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dependent on the willingness of our customers to travel. Only a small amount of our business is and will be generated by local residents. Most of our customers travel to reach our Las Vegas and Macau properties. Acts of terrorism may severely disrupt domestic and international travel, which would result in a decrease in customer visits to Las Vegas and Macau, including our properties. Regional conflicts could have a similar effect on domestic and international travel. Disruptions in air or other forms of travel as a result of any further terrorist act, outbreak of hostilities or escalation of war would have an adverse effect on our business and financial condition, results of operations or cash flows.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a parent company and our primary source of cash is and will be distributions from our subsidiaries.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subsidiaries’ payments to us will be contingent upon their earnings and upon other business considerations.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224"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trademarks and/or service marks, our business or results of operations could be harmed.</w:t>
      </w:r>
    </w:p>
    <w:p>
      <w:pPr>
        <w:spacing w:after="0" w:line="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intellectual property assets, especially the logo version of “Wynn,” are among our most valuable assets. 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These marks include “WYNN RESORTS,” “WYNN DESIGN AND DEVELOPMENT,” “WYNN LAS VEGAS,” “WYNN MACAU,” “WYNN PALACE” and “ENCORE.” Some of the applications are based upon ongoing use and others are based upon a bona fide intent to use the marks in the future.</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1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are subject to tax by various governments and agencies, both in the U.S. and in Macau. Changes in the rates of taxation, the amount of taxes we owe and the time when income is subject to taxation, our ability to claim U.S. foreign tax credits, failure to renew our Macau dividend agreement and Macau income tax exemption after 2015 and the imposition of foreign withholding taxes could increase our overall rate of taxation.</w:t>
      </w:r>
    </w:p>
    <w:p>
      <w:pPr>
        <w:spacing w:after="0" w:line="188" w:lineRule="exact"/>
        <w:rPr>
          <w:sz w:val="20"/>
          <w:szCs w:val="20"/>
          <w:color w:val="auto"/>
        </w:rPr>
      </w:pPr>
    </w:p>
    <w:p>
      <w:pPr>
        <w:ind w:left="240" w:right="82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Associated with our Macau Operations</w:t>
      </w:r>
    </w:p>
    <w:p>
      <w:pPr>
        <w:spacing w:after="0" w:line="96" w:lineRule="exact"/>
        <w:rPr>
          <w:sz w:val="20"/>
          <w:szCs w:val="20"/>
          <w:color w:val="auto"/>
        </w:rPr>
      </w:pPr>
    </w:p>
    <w:p>
      <w:pPr>
        <w:ind w:left="240" w:right="580"/>
        <w:spacing w:after="0" w:line="357" w:lineRule="auto"/>
        <w:rPr>
          <w:sz w:val="20"/>
          <w:szCs w:val="20"/>
          <w:color w:val="auto"/>
        </w:rPr>
      </w:pPr>
      <w:r>
        <w:rPr>
          <w:rFonts w:ascii="Arial" w:cs="Arial" w:eastAsia="Arial" w:hAnsi="Arial"/>
          <w:sz w:val="15"/>
          <w:szCs w:val="15"/>
          <w:b w:val="1"/>
          <w:bCs w:val="1"/>
          <w:i w:val="1"/>
          <w:iCs w:val="1"/>
          <w:color w:val="auto"/>
        </w:rPr>
        <w:t>We depend upon games promoters for a significant portion of our gaming revenue. If we are unable to maintain, or develop additional, successful relationships with reputable games promoters, our ability to maintain or grow our gaming revenues could be adversely affected.</w:t>
      </w:r>
    </w:p>
    <w:p>
      <w:pPr>
        <w:ind w:firstLine="456"/>
        <w:spacing w:after="0" w:line="254" w:lineRule="auto"/>
        <w:rPr>
          <w:sz w:val="20"/>
          <w:szCs w:val="20"/>
          <w:color w:val="auto"/>
        </w:rPr>
      </w:pPr>
      <w:r>
        <w:rPr>
          <w:rFonts w:ascii="Arial" w:cs="Arial" w:eastAsia="Arial" w:hAnsi="Arial"/>
          <w:sz w:val="18"/>
          <w:szCs w:val="18"/>
          <w:color w:val="auto"/>
        </w:rPr>
        <w:t>We may lose the clientele of our games promoters, who generate a significant portion of our gaming revenue. There is intense competition among casino operators in Macau for services provided by games promoters, which we expect to intensify as additional casinos open in Macau. If we are unable to maintain, or develop additional, successful relationships with reputable games promoters, or lose a significant number of our games promoters to our competitors, our ability to maintain or grow our gaming revenues will be adversely affected and we will have to seek alternative ways of developing relationships with VIP customers. In addition, if our games promoters are unable to develop or maintain relationships with our VIP customers, our ability to maintain or grow our gaming revenues will be hampered.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Increased competition for the services of games promoters may require us to pay increased commission rates to games promoters.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Certain games promoters have significant leverage and bargaining strength in negotiating operational agreements with casino operators. This leverage could result in games promoters negotiating changes to our operational agreements, including higher commissions, or the loss of business to a competitor or the loss of certain relationships with games promoters. If we need to increase our commission rates or otherwise change our practices with respect to games promoters due to competitive forces, our results of operations could be adversely affected.</w:t>
      </w:r>
    </w:p>
    <w:p>
      <w:pPr>
        <w:spacing w:after="0" w:line="194" w:lineRule="exact"/>
        <w:rPr>
          <w:sz w:val="20"/>
          <w:szCs w:val="20"/>
          <w:color w:val="auto"/>
        </w:rPr>
      </w:pPr>
    </w:p>
    <w:p>
      <w:pPr>
        <w:ind w:left="240" w:right="380"/>
        <w:spacing w:after="0" w:line="332" w:lineRule="auto"/>
        <w:rPr>
          <w:sz w:val="20"/>
          <w:szCs w:val="20"/>
          <w:color w:val="auto"/>
        </w:rPr>
      </w:pPr>
      <w:r>
        <w:rPr>
          <w:rFonts w:ascii="Arial" w:cs="Arial" w:eastAsia="Arial" w:hAnsi="Arial"/>
          <w:sz w:val="16"/>
          <w:szCs w:val="16"/>
          <w:b w:val="1"/>
          <w:bCs w:val="1"/>
          <w:i w:val="1"/>
          <w:iCs w:val="1"/>
          <w:color w:val="auto"/>
        </w:rPr>
        <w:t>Failure by the games promoters with whom we work to comply with Macau gaming laws and high standards of probity and integrity might affect our reputation and ability to comply with the requirements of our concession, Macau gaming laws and other gaming licenses.</w:t>
      </w:r>
    </w:p>
    <w:p>
      <w:pPr>
        <w:spacing w:after="0" w:line="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reputations and probity of the games promoters with whom we work are important to our own reputation and to our ability to operate in compliance with our concession, Macau gaming laws and other gaming licenses. We are not able to control our games promoters’ compliance with these high standards of probity and integrity, and our games promoters may violate provisions in their contracts with us designed to ensure such compliance. In addition, if we enter into a new business relationship with a games promoter whose probity is in doubt, this may be considered by regulators or investors to reflect negatively on our own probity. If our games promoters are unable to maintain required standards of probity and integrity, we may face consequences from gaming regulators with authority over our operations. Furthermore, if any of our games promoters violate the Macau gaming laws while on our premises, the Macau government may, in its discretion, take enforcement action against us, the games promoter, or each concurrently, and we may be sanctioned and our reputation could be harmed.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financial resources of our games promoters may be insufficient to allow them to continue doing business at our resort.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games promoters may encounter decreased liquidity, limiting their ability to grant credit to their patrons, resulting in decreased gaming volume at Wynn Macau. Furthermore, credit already extended by our games promoters to their patrons may become increasingly difficult for them to collect. This inability to grant credit and collect amounts due can negatively affect our games promoters’ operations, and as a result, our results of operations could be adversely impacted.</w:t>
      </w:r>
    </w:p>
    <w:p>
      <w:pPr>
        <w:spacing w:after="0" w:line="22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Revenues from our Macau gaming operations will end if we cannot secure an extension of our concession in 2022 or if the Macau government exercises its redemption right in 2017.</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concession agreement with the Macau government expires in June 2022. Unless our concession is extended, in June 2022, all of our gaming operations and related equipment in Macau will be automatically transferred to the Macau government without compensation to us and we will cease to generate any revenues from these operations. Beginning in June 2017, the Macau government may redeem the concession agreement by providing us at least one year’s prior notice. In the event the Macau government exercises this redemption right, we are entitled to fair compensation or indemnity. The amount of such compensation or indemnity will be determined based on the amount of revenue generated during the tax year prior to the redemption multiplied for the remaining years under the concession. We may not be able to renew or extend our concession agreement on terms favorable to us or at all and, if our concession is redeemed, the compensation paid to us may not be adequate to compensate us for the loss of future revenues. The redemption of or failure to extend our concession would have a material adverse effect on our results of operations.</w:t>
      </w:r>
    </w:p>
    <w:p>
      <w:pPr>
        <w:spacing w:after="0" w:line="199"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If Wynn Macau fails to comply with the concession agreement, the Macau government can terminate our concession without compensation to us, which would have a material adverse effect on our business and financial condition.</w:t>
      </w:r>
    </w:p>
    <w:p>
      <w:pPr>
        <w:spacing w:after="0" w:line="5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that the government of Macau may unilaterally rescind the concession agreement if Wynn Macau:</w:t>
      </w:r>
    </w:p>
    <w:p>
      <w:pPr>
        <w:spacing w:after="0" w:line="59" w:lineRule="exact"/>
        <w:rPr>
          <w:sz w:val="20"/>
          <w:szCs w:val="20"/>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(or more than 14 days in a civil year) without justification;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the government of Macau unilaterally rescinds the concession agreement, Wynn Macau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business and financial condition.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Macau subsidiaries’ indebtedness is secured by a substantial portion of their assets.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Macau subsidiaries’ debt is secured by liens on substantially all of their assets. In the event of a default by such subsidiaries under their financing documents, or if such subsidiaries experience insolvency, liquidation, dissolution or reorganization, the holders of such secured debt would first be entitled to payment from their collateral security, and only then would holders of our Macau subsidiaries’ unsecured debt be entitled to payment from their remaining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compete for limited labor resources in Macau and Macau government policies may also affect our ability to employ imported labor.</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success of our operations in Macau will be affected by our success in hiring and retaining employees. We compete with a large number of casino resorts in Macau for a limited number of qualified employees. We have to seek employees from other countries to adequately staff our resort and certain Macau government policies affect our ability to import labor in certain job classifications. Despite our coordination with the Macau labor and immigration authorities to assure that our labor needs are satisfied, we may not be able to recruit and retain a sufficient number of qualified employees for our operations or obtain required work permits for those employees.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 may be affected by adverse political and economic conditions.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significant portion of our revenue is derived from our Macau operations. Our Macau operations are subject to significant political, economic and social risks inherent in doing business in an emerging market. Macau’s legislative, regulatory, legal, economic and cultural institutions are in a period of transition. The continued success of Wynn Macau will depend on political and economic conditions in Macau and mainland China. For example, fiscal decline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Wynn Macau’s operations or ability to repatriate funds.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Macau may not have an adequate transportation infrastructure to accommodate the demand from future development.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Because of additional casino projects which are under construction and to be developed in the future, the ferry and helicopter services which provide transportation between Macau and Hong Kong may need to be expanded to accommodate the increased visitation of Macau. If transportation facilities to and from Macau are inadequate to meet the demands of an increased volume of gaming customers visiting Macau, the desirability of Macau as a gaming destination, as well as the results of operations of Wynn Macau, could be negatively impacted.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Extreme weather conditions may have an adverse impact on 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Macau’s subtropical climate and location on the South China Sea are subject to extreme weather conditions including typhoons and heavy rainstorms.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Unfavorable weather conditions could negatively affect the profitability of our resort complex and prevent or discourage guests from traveling to Macau.</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Conflicts of interest may arise because certain of our directors and officers are also directors of Wynn Macau, Limited.</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October 2009, Wynn Macau, Limited, an indirect wholly owned subsidiary of Wynn Resorts and the developer, owner and operator of Wynn Macau, listed its ordinary shares of common stock on The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Exchange of Hong Kong Limited. Wynn Macau, Limited sold through an initial public offering, 1,437,500,000 shares (27.7%) of this subsidiary’s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Nevada gaming laws apply to Wynn Macau’s gaming activities and associations.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Certain Nevada gaming laws also apply to gaming activities and associations in jurisdictions outside the State of Nevada. With respect to our Wynn Macau operations,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Nevada Gaming Commission if our Macau-related subsidiaries:</w:t>
      </w:r>
    </w:p>
    <w:p>
      <w:pPr>
        <w:spacing w:after="0" w:line="32" w:lineRule="exact"/>
        <w:rPr>
          <w:sz w:val="20"/>
          <w:szCs w:val="20"/>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 to conduct Wynn Macau’s operations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440" w:right="380" w:hanging="324"/>
        <w:spacing w:after="0" w:line="332"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4" w:lineRule="exact"/>
        <w:rPr>
          <w:rFonts w:ascii="Arial" w:cs="Arial" w:eastAsia="Arial" w:hAnsi="Arial"/>
          <w:sz w:val="16"/>
          <w:szCs w:val="16"/>
          <w:color w:val="auto"/>
        </w:rPr>
      </w:pPr>
    </w:p>
    <w:p>
      <w:pPr>
        <w:ind w:left="440" w:hanging="324"/>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113" w:lineRule="exact"/>
        <w:rPr>
          <w:rFonts w:ascii="Arial" w:cs="Arial" w:eastAsia="Arial" w:hAnsi="Arial"/>
          <w:sz w:val="16"/>
          <w:szCs w:val="16"/>
          <w:color w:val="auto"/>
        </w:rPr>
      </w:pPr>
    </w:p>
    <w:p>
      <w:pPr>
        <w:ind w:left="440" w:right="220" w:hanging="324"/>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our Macau-related subsidiaries may be prohibited pursuant to one or more of the standards described above, the Nevada State Gaming Control Board can require us and our licensed Nevada subsidiaries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subsidiary’s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99"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Unfavorable changes in currency exchange rates may increase Wynn Macau’s obligations under the concession agreement and cause fluctuations in the value of our investment in Macau.</w:t>
      </w:r>
    </w:p>
    <w:p>
      <w:pPr>
        <w:spacing w:after="0" w:line="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currency delineated in Wynn Macau’s concession agreement with the government of Macau is the Macau pataca. The Macau pataca, which is not a freely convertible currency, is linked to the Hong Kong dollar, and the two are often used interchangeably in Macau. The Hong Kong dollar is linked to the U.S. dollar and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exchange rate between these two currencies has remained relatively stable over the past several years. However, the exchange linkages of the Hong Kong dollar and the Macau pataca, and the Hong Kong dollar and the U.S. dollar, are subject to potential changes due to changes in Chinese governmental policies and international economic and political developments.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1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we operate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our results of operations, financial condition and ability to service its debt.</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 controls and currency export restrictions could negatively impact Wynn Macau.</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Share Ownership and Stockholder Matters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largest stockholders are able to exert significant influence over our operations and future direction.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December 31, 2013, Mr. Wynn and Elaine P. Wynn own 10,026,708 shares and 9,659,355 shares, respectively, or in the aggregate approximately 19.5%, of our outstanding common stock. As a result, Mr. Wynn and Elaine P. Wynn, to the extent they vote their shares in a similar manner, may be able to exert significant influence over all matters requiring our stockholders’ approval, including the approval of significant corporate transactions. In addition, until February 2012, Aruze USA, Inc. owned 24,549,222 shares of our outstanding common stock. On February 18, 2012, the Company redeemed all of the shares of the Company’s common stock held by Aruze USA, Inc. For additional information on the redemption, see Item 8—“Financial Statements and Supplementary Data”, Note 16 “Commitments and Contingencies”.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Amended and Restated Stockholders Agreement, dated as of January 6, 2010, by and among Stephen A. Wynn, Elaine P. Wynn and Aruze USA, Inc. (the “Amended and Restated Stockholders Agreement”), Mr. Wynn and Elaine P. Wynn have agreed to vote the shares of the Company’s common stock held by them subject to the terms of the Amended and Restated Stockholders Agreement in a manner so as to elect to our Board of Directors each of the nominees contained on each and every slate of directors endorsed by Mr. Wynn, which slate will include, subject to certain exceptions, Elaine P. Wynn. As a result of this voting arrangement, Mr. Wynn, as a practical matter, exercises significant influence over the slate of directors to be elected to our Board of Directors. In addition, with stated exceptions, the Amended and Restated Stockholders Agreement requires the written consent of the other party prior to any party selling any shares of the Company’s common stock that it owns.</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June 2012, in connection with the pending litigation between the Company and Aruze USA, Inc., Elaine P. Wynn submitted a cross claim against Mr. Wynn and Kazuo Okada seeking to void the Amended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Restated Stockholders Agreement. Certain Wynn Las Vegas indentures provide that if Mr. Wynn, together with certain related parties, in the aggregate beneficially owns a lesser percentage of the outstanding common stock of the Company than is beneficially owned by any other person, a change of control will have occurred. If Elaine Wynn prevails in her cross claim, Stephen A. Wynn would not beneficially own or control Elaine Wynn’s shares and a change in control may result under the Wynn Las Vegas debt documents. For additional information on the cross claim, see Item 8—“Financial Statements and Supplementary Data”, Note 8 “Long-Term Debt” and Note 16 “Commitments and Contingencies”.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November 2006, the Board of Directors of Wynn Resorts approved an amendment of its bylaws that exempts future acquisitions of shares of Wynn Resorts’ common stock by either Mr. Wynn or Aruze USA, Inc. from Nevada’s acquisition of controlling interest statutes. In light of the determination by the Board of Directors on February 18, 2012 that each of Aruze USA, Inc., Universal Entertainment Corporation and Mr. Kazuo Okada is an “Unsuitable Person” under the Company’s articles of incorporation and the redemption and cancellation of Aruze USA Inc.’s shares of Company common stock, our Fifth Amended and Restated Bylaws amended these provisions to delete the reference to Aruze USA, Inc. and its affiliates.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 third, (ii) one-third or more but less than a majority, or (iii) a majority or more, of the voting power in the election of directors. As a result of these bylaws provisions, Mr. Wynn or his affiliates may acquire ownership of outstanding voting shares of Wynn Resorts permitting him or them to exercise more than one-third but less than a majority, or a majority or more, of all of the voting power of the Company in the election of directors, without requiring a resolution of the Company’s stockholders granting voting rights in the control shares acquired.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9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trading price of our common stock may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changes affecting the travel industry.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Substantial Indebtedness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a substantial amount of consolidated debt in relation to our equity. As of December 31, 2013, we had total outstanding debt of approximately $6.6 billion, which includes a portion of the funds we expect to need to construct Wynn Palace. We may, however, incur additional indebtedness in connection with the construction of Wynn Palace. See Item—1 “Business”, “Construction and Development Opportunities”. In addition, we are permitted to incur additional indebtedness if certain conditions are met, including conditions under our Wynn Macau credit facilities and our Wynn Las Vegas indentures in connection with other future potential development plans. On February 18, 2012, we issued a subordinated promissory note with a principal amount of approximately $1.94 billion in redemption of all of the shares of Wynn Resorts common stock held by Aruze USA, Inc. (the “Redemption Note”). For additional information on the redemption and the Redemption Note, see Item 3—“Legal Proceedings” and Item 8—“Financial Statements and Supplementary Data”, Note 16—“Commitments and Contingencies”.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substantial indebtedness could have important consequences. For example:</w:t>
      </w:r>
    </w:p>
    <w:p>
      <w:pPr>
        <w:spacing w:after="0" w:line="90" w:lineRule="exact"/>
        <w:rPr>
          <w:sz w:val="20"/>
          <w:szCs w:val="20"/>
          <w:color w:val="auto"/>
        </w:rPr>
      </w:pPr>
    </w:p>
    <w:p>
      <w:pPr>
        <w:ind w:left="440" w:hanging="324"/>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to meet our payment obligations could result in acceleration of our indebtedness, foreclosure upon our assets that serve as collateral or bankruptcy;</w:t>
      </w:r>
    </w:p>
    <w:p>
      <w:pPr>
        <w:spacing w:after="0" w:line="113" w:lineRule="exact"/>
        <w:rPr>
          <w:rFonts w:ascii="Arial" w:cs="Arial" w:eastAsia="Arial" w:hAnsi="Arial"/>
          <w:sz w:val="16"/>
          <w:szCs w:val="16"/>
          <w:color w:val="auto"/>
        </w:rPr>
      </w:pPr>
    </w:p>
    <w:p>
      <w:pPr>
        <w:ind w:left="440" w:hanging="324"/>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servicing our indebtedness requires a substantial portion of our cash flow from the operations of Wynn Las Vegas and Wynn Macau and reduces the amount of available cash, if any, to fund working capital and other cash requirements;</w:t>
      </w:r>
    </w:p>
    <w:p>
      <w:pPr>
        <w:spacing w:after="0" w:line="50" w:lineRule="exact"/>
        <w:rPr>
          <w:rFonts w:ascii="Arial" w:cs="Arial" w:eastAsia="Arial" w:hAnsi="Arial"/>
          <w:sz w:val="18"/>
          <w:szCs w:val="18"/>
          <w:color w:val="auto"/>
        </w:rPr>
      </w:pPr>
    </w:p>
    <w:p>
      <w:pPr>
        <w:ind w:left="440" w:hanging="324"/>
        <w:spacing w:after="0" w:line="291" w:lineRule="auto"/>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Aruze USA, Inc., Universal Entertainment Corporation and Kazuo Okada have challenged the redemption of Aruze USA, Inc.’s shares and we are currently involved in litigation with those parties as well as related shareholder derivative litigation. The outcome of these various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 See Item 3—“Legal Proceedings” and Item 8—“Financial Statements and Supplementary Data”, Note 16 “Commitments and Contingencies”;</w:t>
      </w:r>
    </w:p>
    <w:p>
      <w:pPr>
        <w:spacing w:after="0" w:line="39" w:lineRule="exact"/>
        <w:rPr>
          <w:rFonts w:ascii="Arial" w:cs="Arial" w:eastAsia="Arial" w:hAnsi="Arial"/>
          <w:sz w:val="16"/>
          <w:szCs w:val="16"/>
          <w:color w:val="auto"/>
        </w:rPr>
      </w:pPr>
    </w:p>
    <w:p>
      <w:pPr>
        <w:ind w:left="440" w:right="60" w:hanging="324"/>
        <w:spacing w:after="0" w:line="306" w:lineRule="auto"/>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experience decreased revenues from our operations due to decreased consumer spending levels and high unemployment, and could fail to generate sufficient cash to fund our liquidity needs and/or fail to satisfy the financial and other restrictive covenants to which we are subject under our existing indebtedness. Our business may not generate sufficient cash flow from operations to pay our indebtedness or to fund our other liquidity needs;</w:t>
      </w:r>
    </w:p>
    <w:p>
      <w:pPr>
        <w:spacing w:after="0" w:line="25" w:lineRule="exact"/>
        <w:rPr>
          <w:rFonts w:ascii="Arial" w:cs="Arial" w:eastAsia="Arial" w:hAnsi="Arial"/>
          <w:sz w:val="16"/>
          <w:szCs w:val="16"/>
          <w:color w:val="auto"/>
        </w:rPr>
      </w:pPr>
    </w:p>
    <w:p>
      <w:pPr>
        <w:ind w:left="440" w:right="200" w:hanging="324"/>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 and</w:t>
      </w:r>
    </w:p>
    <w:p>
      <w:pPr>
        <w:spacing w:after="0" w:line="50" w:lineRule="exact"/>
        <w:rPr>
          <w:rFonts w:ascii="Arial" w:cs="Arial" w:eastAsia="Arial" w:hAnsi="Arial"/>
          <w:sz w:val="18"/>
          <w:szCs w:val="18"/>
          <w:color w:val="auto"/>
        </w:rPr>
      </w:pPr>
    </w:p>
    <w:p>
      <w:pPr>
        <w:ind w:left="440" w:right="220" w:hanging="324"/>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rates with respect to a portion of the interest we pay will fluctuate with market rates and, accordingly, our interest expense will increase if market interest rates increase.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Under the terms of the documents governing our debt facilities, subject to certain limitations, we are permitted to incur indebtedness. If we incur additional indebtedness, the risks described above will be exacerbated.</w:t>
      </w:r>
    </w:p>
    <w:p>
      <w:pPr>
        <w:spacing w:after="0" w:line="213"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b w:val="1"/>
          <w:bCs w:val="1"/>
          <w:i w:val="1"/>
          <w:i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5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Some of our debt facilities require us to satisfy various financial covenants, which include requirements for minimum interest coverage ratios and leverage ratios pertaining to total debt to earnings before interest, tax, depreciation and amortization (both currently required for our Wynn Macau credit facilities). Future indebtedness or other contracts could contain covenants more restrictive than those contained in our existing debt facilities.</w:t>
      </w:r>
    </w:p>
    <w:p>
      <w:pPr>
        <w:spacing w:after="0" w:line="10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w:t>
      </w:r>
    </w:p>
    <w:p>
      <w:pPr>
        <w:spacing w:after="0" w:line="59" w:lineRule="exact"/>
        <w:rPr>
          <w:sz w:val="20"/>
          <w:szCs w:val="20"/>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or Wynn Macau’s operations fail to generate adequate cash flow, we may violate those covenants, causing a default under our agreements, which would materially and adversely affect our operating results and our financial condition or result in our lenders or holders of our debt taking action to enforce their security interests in our various assets or cause all outstanding amounts to be due and payable immediately.</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Land Concessions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government of Macau owns most of the land in Macau. In most cases, private interests in real property located in Macau are obtained through long-term leases known as concessions and other grants of rights to use land from the government. In July 2004, our subsidiary, Wynn Macau, entered into a land concession contract under which Wynn Macau leases from the Macau government an approximately 16-acre parcel of land in downtown Macau’s inner harbor area where Wynn Macau is located. The term of the land concession contract is 25 years from August 2004, and it may be renewed with government approval for successive periods. Wynn Macau paid a land concession premium of approximately 319.4 million Macau patacas (approximately US $40 million) for this land concession. In 2009, the Company and the Macau government agreed to modify this land concession as a result of the expansion of Wynn Macau with Encore at Wynn Macau and the additional square footage that was added as a result of such expansion. In November 2009, the Company made an additional one-time land premium payment of approximately 113.4 million Macau patacas (approximately US $14.2 million). Annual rent of approximately 4.2 million Macau patacas (approximately US $525,000) is being paid in accordance with the land concession contract.</w:t>
      </w:r>
    </w:p>
    <w:p>
      <w:pPr>
        <w:spacing w:after="0" w:line="12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September 2011, Palo Real Estate Company Limited and Wynn Macau, each an 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We are currently constructing Wynn Palace in the Cotai area of Macau, a full-scale integrated resort containing a 1,700-room hotel, performance lake, meeting space, casino, spa, retail offerings and food and beverage outlets. The total project budget, including construction costs, capitalized interest, pre-opening expenses, land costs and financing fees, is $4 billion. As of December 31, 2013, we have invested $703.7 million in the project. We continue to remain on schedule for an opening in the first half of 2016.</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currently own approximately 238 acres of land on or near the Las Vegas Strip consisting of approximately 75 acres at the northeast corner of the intersection of Las Vegas Boulevard and Sands Avenue, on which Wynn Las Vegas is located, the approximately 140-acre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and an office building.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96" w:lineRule="exact"/>
        <w:rPr>
          <w:sz w:val="20"/>
          <w:szCs w:val="20"/>
          <w:color w:val="auto"/>
        </w:rPr>
      </w:pPr>
    </w:p>
    <w:p>
      <w:pPr>
        <w:ind w:right="400" w:firstLine="456"/>
        <w:spacing w:after="0" w:line="335" w:lineRule="auto"/>
        <w:rPr>
          <w:sz w:val="20"/>
          <w:szCs w:val="20"/>
          <w:color w:val="auto"/>
        </w:rPr>
      </w:pPr>
      <w:r>
        <w:rPr>
          <w:rFonts w:ascii="Arial" w:cs="Arial" w:eastAsia="Arial" w:hAnsi="Arial"/>
          <w:sz w:val="15"/>
          <w:szCs w:val="15"/>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2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are occasionally party to lawsuits. As with all litigation, no assurance can be provided as to the outcome of such matters and we note that litigation inherently involves significant costs. For more information regarding the Company’s legal matters see Item 1A—“Risk Factors” and Item 8—“Financial Statements and Supplementary Data”, Note 16 “Commitments and Contingencies,”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Atlantic-Pacific Capital</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May 3, 2010, Atlantic-Pacific Capital, Inc. (“APC”) filed an arbitration demand with JAMS, a private alternative dispute resolution provider, regarding an agreement with the Company. The action concerns a claim for compensation of approximately $32 million pursuant to an agreement entered into between APC and the Company on or about March 30, 2008, whereby APC was engaged to raise private equity capital for a specific investment vehicle sponsored by the Company. APC is seeking compensation unrelated to the investment vehicle. The Company has denied APC’s claims for compensation. The Company filed a Complaint for Damages and Declaratory Relief against APC in the Eighth Judicial District Court, Clark County, Nevada, on May 10, 2010, which APC removed to the United States District Court, District of Nevada. In March 2011, the District Court denied APC’s motion to compel arbitration, and dismissed the action. APC appealed, and on November 13, 2012, the United States Court of Appeals for the Ninth Circuit reversed the District Court and compelled arbitration. The arbitration is set for April 2014. An arbitrator has been selected, and the parties have been engaging in discovery. Management believes that APC’s claims against the Company are without merit, and the Company intends to continue to defend this matter vigorously.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9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On February 18, 2012, Wynn Resorts’ Gaming Compliance Committee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have received concerning these policies.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the Aruze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In addition,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Additionally,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its articles of incorporation, Wynn Resorts issued the Redemption Note to Aruze USA, Inc. in redemption of the shares. The Redemption Note has a principal amount of $1.94 billion, matures on February 18, 2022 and bears interest at the rate of</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4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Action and Counterclaim</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cancelling the shares of Aruze, USA, Inc.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USA, Inc. were exempt from the redemption-for-unsuitability provisions in the Wynn Resorts articles of incorporation (the “Articles”) pursuant to certain agreements executed in 2002; (2) that the Wynn Resorts directors who authorized the redemption of Aruze USA, Inc.’s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Among other relief, the Counterclaim seeks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June 19, 2012, Elaine Wynn responded to the Counterclaim and asserted a cross claim against Steve Wynn and Kazuo Okada seeking a declaration that</w:t>
      </w:r>
    </w:p>
    <w:p>
      <w:pPr>
        <w:spacing w:after="0" w:line="50" w:lineRule="exact"/>
        <w:rPr>
          <w:sz w:val="20"/>
          <w:szCs w:val="20"/>
          <w:color w:val="auto"/>
        </w:rPr>
      </w:pPr>
    </w:p>
    <w:p>
      <w:pPr>
        <w:ind w:right="20" w:firstLine="8"/>
        <w:spacing w:after="0" w:line="285"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for Wynn Las Vegas, LLC’s 7 7/8% first mortgage notes due 2020, 7 3/4% first mortgage notes due 2020 (the “2020 Indentures”) and the indenture for Wynn Las Vegas, LLC’s 4 1/4% Senior Notes due 2023 (the “2023 Indenture,” and, together with the 2020 Indentures, the “Indentures”) provide that if Stephen A. Wynn, together with certain related parties, in the aggregate beneficially owns a lesser percentage of the outstanding common stock of the Company than are beneficially owned by any other person, a change of control will have occurred. If Elaine Wynn prevails in her cross claim, Stephen A. Wynn would not beneficially own or control Elaine Wynn’s shares and a change in control may result under the Wynn Las Vegas debt documents. Under the 2020 Indentures, the occurrence of a change of control requires that the Company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Under the 2023 Indenture, if a change of control occurs and within 60 days after that occurrence the 4 1/4% Senior Notes due 2023 are rated below investment grade by both rating agencies that rate such notes, the Company is required to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22"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filed an answer to that pleading on December 16, 2013. The parties had been engaged in discovery at the time the court entered the Stay (defined and discussed below). Therefore, although the court previously set a timetable for all discovery, pre-trial and trial deadlines, with a five-week jury trial scheduled to commence in April 2014, this schedule will necessarily change due to the Stay.</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February 13, 2013, the Okada Parties filed a motion in the Nevada state court asking the court to establish an escrow account (specifically, they asked the court to establish a “disputed ownership fund,” as defined in a federal tax regulation (“DOF”)) to hold the Redemption Note as well as the redeemed shares themselves (although those shares were previously cancelled in February 2012), until the resolution of the Redemption Action and Counterclaim. The Okada Parties subsequently filed reply papers in further support of their motion, in which they narrowed the relief they were seeking, specifically by withdrawing their request that the redeemed shares be placed into the escrow account. On April 17, 2013, the court entered an order granting the Okada Parties’ motion in part as to the narrowed relief outlined in their reply papers. Among other things, the court’s order directed the Okada Parties to establish an escrow account with a third party (without making any ruling as to whether such an account would satisfy the requirements of a DOF) to hold interest payments tendered by the Company on the Redemption Note. Per the court’s order, the Company is to have no responsibility for fees or costs of the account, and will receive a full release and indemnity related to the account. On each of February 14, 2013 and February 13, 2014, the Company issued checks to Aruze USA, Inc. in the amount of $38.7 million, representing the interest payments due on the Redemption Note at those times. However, as of the date of this report, the checks remain uncashed. The parties engaged in discussions regarding the terms of the escrow agreement contemplated by the court’s order. However, the Okada Parties recently advised of their intent to deposit any checks for interest and principal, past and future, due under the terms of the Redemption Note to the Clerk of the Court for deposit into the Clerk’s Trust Account.</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period of six months, expiring May 2, 2014.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w:t>
      </w:r>
    </w:p>
    <w:p>
      <w:pPr>
        <w:spacing w:after="0" w:line="12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Subject to the Stay, the Company will continue to vigorously pursue its claims against the Okada Parties, and the Company and the Wynn Parties will continue to vigorously defend against the counterclaims asserted against them. The Company’s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 See Item 1A—“Risk Factors” and Item 8—“Financial Statements and Supplementary Data”, Note 16 “Commitments and Contingencies”.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Japan Action:</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On August 28, 2012, Mr. Okada, Universal Entertainment Corporation and Okada Holdings (“Okada Japan Parties”) filed a complaint in Tokyo District Court against the Company, all members of the Board of Directors (other than Mr. Okada) and the Company’s General Counsel (the “Wynn Parties”), alleging that the press release issued by the Company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An informal hearing on the matter has been scheduled for February 27, 2014.</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Indemnification Action: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20, 2013, Mr. Okada filed a complaint against the Company in Nevada state court for indemnification under the Company’s Articles, bylaws and agreements with its directors. The complaint seeks advancement of Mr. Okada’s costs and expenses (including attorney’s fees) incurred pursuant to the various legal proceedings and related regulatory investigations described above. The Company believes there is no basis for the relief requested in the complaint and intends to vigorously defend against this matter. The Company’s answer and counterclaim was filed on April 15, 2013. The counterclaim names each of the Okada Parties as defendants and seeks indemnification under the Company’s Articles for costs and expenses (including attorney’s fees) incurred pursuant to the various legal proceedings and related regulatory investigations described above. On April 30, 2013, Mr. Okada filed his reply to the counterclaim.</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June 14, 2013, Mr. Okada filed a motion for partial summary judgment that he was entitled to advancement of his expenses incurred in the various proceedings and investigations. Mr. Okada also filed a special motion to dismiss, arguing that the Company’s counterclaims seek to infringe upon Mr. Okada’s right to petition the court, and constitute a strategic lawsuit against public policy. The Company’s counterclaims seek only to enforce Wynn Resorts’ contractual right to indemnity under Article VII, Section 4 of the Company’s Articles. At a hearing on August 1, 2013, the court denied both motions and provided for limited discovery (</w:t>
      </w:r>
      <w:r>
        <w:rPr>
          <w:rFonts w:ascii="Arial" w:cs="Arial" w:eastAsia="Arial" w:hAnsi="Arial"/>
          <w:sz w:val="18"/>
          <w:szCs w:val="18"/>
          <w:i w:val="1"/>
          <w:iCs w:val="1"/>
          <w:color w:val="auto"/>
        </w:rPr>
        <w:t>i.e</w:t>
      </w:r>
      <w:r>
        <w:rPr>
          <w:rFonts w:ascii="Arial" w:cs="Arial" w:eastAsia="Arial" w:hAnsi="Arial"/>
          <w:sz w:val="18"/>
          <w:szCs w:val="18"/>
          <w:color w:val="auto"/>
        </w:rPr>
        <w:t>., discovery that does not implicate any of the issues subject to the Stay entered in the Redemption Action). On August 2, 2013, the court stayed discovery in the indemnification action related to the government investigations (consistent with the Stay in the Redemption Action), and ordered that all other discovery be conducted within ninety (90) days.</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August 22, 2013, the Company noticed Mr. Okada’s deposition for September 16, 2013. Mr. Okada filed a motion for protective order seeking to vacate his deposition, arguing that he did not have any information relevant to his claims for advancement of fees and/or indemnity that he asserted against the Company. On October 18, 2013, after a full briefing by the parties, the court denied Mr. Okada’s motion and entered an order stating that Mr. Okada’s deposition testimony is relevant to the claims he asserted against the Company, that Mr. Okada may not designate someone else to testify on his behalf, and that the Company may sequence discovery in the action as it chooses. On February 4, 2014, the court entered an order on the parties’ stipulation that: (1) dismissed Okada’s claims asserted against the Company in that action (i.e., all Okada’s claims that relate to advancement); (2) reserved Okada’s right to assert, in the future, any claims for indemnity following the resolution of the Redemption Action; and (3) stayed the claims asserted by the Company against Okada in that action pending the resolution of the Redemption Action.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Investigations: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donation to the University of Macau discussed above. The Company has not received any target letter or subpoena in connection with such an investigation. The Company intends to cooperate fully with the government in response to any inquiry related to the donation to the University of Macau.</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Derivative Claims: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four federal actions brought by the following plaintiffs have been consolidated: (1) The Louisiana Municipal Police Employees’ Retirement System,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Maryanne Solak, (3) Excavators Union Local 731 Welfare Fund, and (4) Boilermakers Lodge No. 154 Retirement Fund (collectively, the “Federal Plaintiffs”).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38" w:lineRule="exact"/>
        <w:rPr>
          <w:sz w:val="20"/>
          <w:szCs w:val="20"/>
          <w:color w:val="auto"/>
        </w:rPr>
      </w:pPr>
    </w:p>
    <w:p>
      <w:pPr>
        <w:ind w:right="140" w:firstLine="8"/>
        <w:spacing w:after="0" w:line="306" w:lineRule="auto"/>
        <w:tabs>
          <w:tab w:leader="none" w:pos="249"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injunctive relief; and (4) unjust enrichment. The claims are against the Company and all Company directors, including Mr. Okada, however, the plaintiffs voluntarily dismissed Mr. Okada as a defendant in this consolidated action on September 27, 2012. The Federal Plaintiffs claim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 USA, Inc.’s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The Federal Plaintiffs filed their opposition on July 8, 2013, and the Company and directors filed their reply on August 8, 2013. The court has not yet ruled on this motion.</w:t>
      </w:r>
    </w:p>
    <w:p>
      <w:pPr>
        <w:spacing w:after="0" w:line="11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two state court actions brought by the following plaintiffs have also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 (3) gross mismanagement; and (4) unjust enrichment. The claims are against the Company and all Company directors, including Mr. Okada, as well as the Company’s Chief Financial Officer, who signs financial disclosures filed with the SEC. The State Plaintiffs claim that the individual defendants failed to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February 5, 2014, the court entered a new stipulation between the parties that provides for a further stay of the state derivative action and directs the parties, within 30 days of the conclusion of the stay in the Redemption Action, to discuss how the state derivative action should proceed and to file a joint report with the court.</w:t>
      </w:r>
    </w:p>
    <w:p>
      <w:pPr>
        <w:spacing w:after="0" w:line="12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individual defendants are vigorously defending against the claims pleaded against them in these derivative actions. We are unable to predict the outcome of these litigations at this time.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240" w:top="45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ind w:left="1040" w:right="40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common stock trades on the NASDAQ Global Select Market under the symbol “WYNN.” The following table sets forth the high and low sale prices for the indicated periods, as reported by the NASDAQ Global Select Market.</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2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2820" w:type="dxa"/>
            <w:vAlign w:val="bottom"/>
            <w:gridSpan w:val="2"/>
          </w:tcPr>
          <w:p>
            <w:pPr>
              <w:jc w:val="center"/>
              <w:ind w:left="2112"/>
              <w:spacing w:after="0"/>
              <w:rPr>
                <w:sz w:val="20"/>
                <w:szCs w:val="20"/>
                <w:color w:val="auto"/>
              </w:rPr>
            </w:pPr>
            <w:r>
              <w:rPr>
                <w:rFonts w:ascii="Arial" w:cs="Arial" w:eastAsia="Arial" w:hAnsi="Arial"/>
                <w:sz w:val="18"/>
                <w:szCs w:val="18"/>
                <w:color w:val="auto"/>
                <w:w w:val="89"/>
              </w:rPr>
              <w:t>$126.98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113.39</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2820" w:type="dxa"/>
            <w:vAlign w:val="bottom"/>
            <w:gridSpan w:val="2"/>
            <w:shd w:val="clear" w:color="auto" w:fill="CCEEFF"/>
          </w:tcPr>
          <w:p>
            <w:pPr>
              <w:jc w:val="center"/>
              <w:ind w:left="2112"/>
              <w:spacing w:after="0"/>
              <w:rPr>
                <w:sz w:val="20"/>
                <w:szCs w:val="20"/>
                <w:color w:val="auto"/>
              </w:rPr>
            </w:pPr>
            <w:r>
              <w:rPr>
                <w:rFonts w:ascii="Arial" w:cs="Arial" w:eastAsia="Arial" w:hAnsi="Arial"/>
                <w:sz w:val="18"/>
                <w:szCs w:val="18"/>
                <w:color w:val="auto"/>
                <w:w w:val="89"/>
              </w:rPr>
              <w:t>$144.99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114.41</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2820" w:type="dxa"/>
            <w:vAlign w:val="bottom"/>
            <w:gridSpan w:val="2"/>
          </w:tcPr>
          <w:p>
            <w:pPr>
              <w:jc w:val="center"/>
              <w:ind w:left="2112"/>
              <w:spacing w:after="0"/>
              <w:rPr>
                <w:sz w:val="20"/>
                <w:szCs w:val="20"/>
                <w:color w:val="auto"/>
              </w:rPr>
            </w:pPr>
            <w:r>
              <w:rPr>
                <w:rFonts w:ascii="Arial" w:cs="Arial" w:eastAsia="Arial" w:hAnsi="Arial"/>
                <w:sz w:val="18"/>
                <w:szCs w:val="18"/>
                <w:color w:val="auto"/>
                <w:w w:val="89"/>
              </w:rPr>
              <w:t>$159.85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124.57</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2820" w:type="dxa"/>
            <w:vAlign w:val="bottom"/>
            <w:gridSpan w:val="2"/>
            <w:shd w:val="clear" w:color="auto" w:fill="CCEEFF"/>
          </w:tcPr>
          <w:p>
            <w:pPr>
              <w:jc w:val="center"/>
              <w:ind w:left="2112"/>
              <w:spacing w:after="0"/>
              <w:rPr>
                <w:sz w:val="20"/>
                <w:szCs w:val="20"/>
                <w:color w:val="auto"/>
              </w:rPr>
            </w:pPr>
            <w:r>
              <w:rPr>
                <w:rFonts w:ascii="Arial" w:cs="Arial" w:eastAsia="Arial" w:hAnsi="Arial"/>
                <w:sz w:val="18"/>
                <w:szCs w:val="18"/>
                <w:color w:val="auto"/>
                <w:w w:val="89"/>
              </w:rPr>
              <w:t>$194.53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155.77</w:t>
            </w:r>
          </w:p>
        </w:tc>
        <w:tc>
          <w:tcPr>
            <w:tcW w:w="100" w:type="dxa"/>
            <w:vAlign w:val="bottom"/>
            <w:shd w:val="clear" w:color="auto" w:fill="CCEEFF"/>
          </w:tcPr>
          <w:p>
            <w:pPr>
              <w:spacing w:after="0"/>
              <w:rPr>
                <w:sz w:val="18"/>
                <w:szCs w:val="18"/>
                <w:color w:val="auto"/>
              </w:rPr>
            </w:pPr>
          </w:p>
        </w:tc>
      </w:tr>
      <w:tr>
        <w:trPr>
          <w:trHeight w:val="323"/>
        </w:trPr>
        <w:tc>
          <w:tcPr>
            <w:tcW w:w="4580" w:type="dxa"/>
            <w:vAlign w:val="bottom"/>
          </w:tcPr>
          <w:p>
            <w:pPr>
              <w:spacing w:after="0"/>
              <w:rPr>
                <w:sz w:val="20"/>
                <w:szCs w:val="20"/>
                <w:color w:val="auto"/>
              </w:rPr>
            </w:pPr>
            <w:r>
              <w:rPr>
                <w:rFonts w:ascii="Arial" w:cs="Arial" w:eastAsia="Arial" w:hAnsi="Arial"/>
                <w:sz w:val="18"/>
                <w:szCs w:val="18"/>
                <w:b w:val="1"/>
                <w:bCs w:val="1"/>
                <w:color w:val="auto"/>
              </w:rPr>
              <w:t>Year Ended December 31, 2012</w:t>
            </w:r>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2820" w:type="dxa"/>
            <w:vAlign w:val="bottom"/>
            <w:gridSpan w:val="2"/>
            <w:shd w:val="clear" w:color="auto" w:fill="CCEEFF"/>
          </w:tcPr>
          <w:p>
            <w:pPr>
              <w:jc w:val="center"/>
              <w:ind w:left="2112"/>
              <w:spacing w:after="0"/>
              <w:rPr>
                <w:sz w:val="20"/>
                <w:szCs w:val="20"/>
                <w:color w:val="auto"/>
              </w:rPr>
            </w:pPr>
            <w:r>
              <w:rPr>
                <w:rFonts w:ascii="Arial" w:cs="Arial" w:eastAsia="Arial" w:hAnsi="Arial"/>
                <w:sz w:val="18"/>
                <w:szCs w:val="18"/>
                <w:color w:val="auto"/>
                <w:w w:val="89"/>
              </w:rPr>
              <w:t>$132.59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104.62</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2820" w:type="dxa"/>
            <w:vAlign w:val="bottom"/>
            <w:gridSpan w:val="2"/>
          </w:tcPr>
          <w:p>
            <w:pPr>
              <w:jc w:val="center"/>
              <w:ind w:left="2112"/>
              <w:spacing w:after="0"/>
              <w:rPr>
                <w:sz w:val="20"/>
                <w:szCs w:val="20"/>
                <w:color w:val="auto"/>
              </w:rPr>
            </w:pPr>
            <w:r>
              <w:rPr>
                <w:rFonts w:ascii="Arial" w:cs="Arial" w:eastAsia="Arial" w:hAnsi="Arial"/>
                <w:sz w:val="18"/>
                <w:szCs w:val="18"/>
                <w:color w:val="auto"/>
                <w:w w:val="89"/>
              </w:rPr>
              <w:t>$138.28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95.82</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2820" w:type="dxa"/>
            <w:vAlign w:val="bottom"/>
            <w:gridSpan w:val="2"/>
            <w:shd w:val="clear" w:color="auto" w:fill="CCEEFF"/>
          </w:tcPr>
          <w:p>
            <w:pPr>
              <w:jc w:val="center"/>
              <w:ind w:left="2112"/>
              <w:spacing w:after="0"/>
              <w:rPr>
                <w:sz w:val="20"/>
                <w:szCs w:val="20"/>
                <w:color w:val="auto"/>
              </w:rPr>
            </w:pPr>
            <w:r>
              <w:rPr>
                <w:rFonts w:ascii="Arial" w:cs="Arial" w:eastAsia="Arial" w:hAnsi="Arial"/>
                <w:sz w:val="18"/>
                <w:szCs w:val="18"/>
                <w:color w:val="auto"/>
                <w:w w:val="89"/>
              </w:rPr>
              <w:t>$116.47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00" w:type="dxa"/>
            <w:vAlign w:val="bottom"/>
            <w:shd w:val="clear" w:color="auto" w:fill="CCEEFF"/>
          </w:tcPr>
          <w:p>
            <w:pPr>
              <w:spacing w:after="0"/>
              <w:rPr>
                <w:sz w:val="18"/>
                <w:szCs w:val="18"/>
                <w:color w:val="auto"/>
              </w:rPr>
            </w:pPr>
          </w:p>
        </w:tc>
      </w:tr>
      <w:tr>
        <w:trPr>
          <w:trHeight w:val="222"/>
        </w:trPr>
        <w:tc>
          <w:tcPr>
            <w:tcW w:w="45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2820" w:type="dxa"/>
            <w:vAlign w:val="bottom"/>
            <w:gridSpan w:val="2"/>
          </w:tcPr>
          <w:p>
            <w:pPr>
              <w:jc w:val="center"/>
              <w:ind w:left="2112"/>
              <w:spacing w:after="0"/>
              <w:rPr>
                <w:sz w:val="20"/>
                <w:szCs w:val="20"/>
                <w:color w:val="auto"/>
              </w:rPr>
            </w:pPr>
            <w:r>
              <w:rPr>
                <w:rFonts w:ascii="Arial" w:cs="Arial" w:eastAsia="Arial" w:hAnsi="Arial"/>
                <w:sz w:val="18"/>
                <w:szCs w:val="18"/>
                <w:color w:val="auto"/>
                <w:w w:val="89"/>
              </w:rPr>
              <w:t>$123.64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103.34</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195 holders of record of our common stock as of February 14, 2014.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holding a majority of our assets, including Wynn Las Vegas, LLC and Wynn Macau, from making dividends or distributions to Wynn Resorts. Specifically, Wynn Las Vegas, LLC and certain of its subsidiaries are restricted under the indentures governing the first mortgage notes from making certain “restricted payments,” as defined in the indentures. These restricted payments include the payment of dividends or distributions to any direct or indirect holders of equity interests of Wynn Las Vegas, LLC. Restricted payments cannot be made unless certain financial and non-financial criteria have been satisfied. In addition, the terms of the other loan agreements of Wynn Las Vegas, LLC and Wynn Macau contain similar restrictions. Our Company has paid the following dividends:</w:t>
      </w:r>
    </w:p>
    <w:p>
      <w:pPr>
        <w:spacing w:after="0" w:line="37" w:lineRule="exact"/>
        <w:rPr>
          <w:sz w:val="20"/>
          <w:szCs w:val="20"/>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December 2013, we paid a cash dividend of $3.00 per share. In each of March 2013, June 2013, August 2013 and November 2013, we paid a cash dividend of $1.00 per share.</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November 2012, we paid a cash dividend of $8.00 per share. In each of March 2012, June 2012 and August 2012, we paid a cash dividend of $0.50 per share.</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Company has increased its quarterly dividend to $1.25 per share in 2014. On January 30, 2014, we announced a cash dividend of $1.25 per share, payable on February 27, 2014 to Stockholders of record as of February 13, 2014. Our Board of Directors will continue to periodically assess the level and appropriateness of any cash dividends.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following tables reflect selected consolidated financial data of Wynn Resorts and its subsidiaries. This data should be read together with our Consolidated Financial Statements and Notes thereto, Item 7—“Management’s Discussion and Analysis of Financial Condition and Results of Operations” and the other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information contained in this Annual Report on Form 10-K. Operating results for the periods presented are not indicative of the results that may be expected for future years. Significant events impacting our selected financial data include:</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28, 2005, we opened our Wynn Las Vegas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September 6, 2006, we opened our Wynn Macau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December 24, 2007, we opened an expansion of our Wynn Macau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December 22, 2008, we opened Encore at Wynn Las Vegas, an expansion of Wynn Las Vegas.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October 9, 2009, Wynn Macau, Limited listed its shares of common stock on The Stock Exchange of Hong Kong Limited. Wynn Macau, Limited sold 27.7% of its common stock through an initial public offering.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21, 2010, we opened Encore at Wynn Macau, a further expansion of Wynn Macau.</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February 18, 2012, we redeemed and cancelled Aruze USA, Inc.’s 24,549,222 shares of Wynn Resorts common stock.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Years Ended December 31,</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435"/>
              <w:spacing w:after="0" w:line="142"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60" w:type="dxa"/>
            <w:vAlign w:val="bottom"/>
            <w:gridSpan w:val="5"/>
          </w:tcPr>
          <w:p>
            <w:pPr>
              <w:jc w:val="center"/>
              <w:ind w:right="255"/>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 Data:</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revenues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5"/>
              <w:spacing w:after="0"/>
              <w:rPr>
                <w:sz w:val="20"/>
                <w:szCs w:val="20"/>
                <w:color w:val="auto"/>
              </w:rPr>
            </w:pPr>
            <w:r>
              <w:rPr>
                <w:rFonts w:ascii="Arial" w:cs="Arial" w:eastAsia="Arial" w:hAnsi="Arial"/>
                <w:sz w:val="18"/>
                <w:szCs w:val="18"/>
                <w:color w:val="auto"/>
                <w:w w:val="87"/>
              </w:rPr>
              <w:t>5,620,936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5,154,284</w:t>
            </w:r>
          </w:p>
        </w:tc>
        <w:tc>
          <w:tcPr>
            <w:tcW w:w="1600" w:type="dxa"/>
            <w:vAlign w:val="bottom"/>
            <w:gridSpan w:val="2"/>
          </w:tcPr>
          <w:p>
            <w:pPr>
              <w:jc w:val="right"/>
              <w:ind w:right="335"/>
              <w:spacing w:after="0"/>
              <w:rPr>
                <w:sz w:val="20"/>
                <w:szCs w:val="20"/>
                <w:color w:val="auto"/>
              </w:rPr>
            </w:pPr>
            <w:r>
              <w:rPr>
                <w:rFonts w:ascii="Arial" w:cs="Arial" w:eastAsia="Arial" w:hAnsi="Arial"/>
                <w:sz w:val="18"/>
                <w:szCs w:val="18"/>
                <w:color w:val="auto"/>
              </w:rPr>
              <w:t>$ 5,269,792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75"/>
              <w:spacing w:after="0"/>
              <w:rPr>
                <w:sz w:val="20"/>
                <w:szCs w:val="20"/>
                <w:color w:val="auto"/>
              </w:rPr>
            </w:pPr>
            <w:r>
              <w:rPr>
                <w:rFonts w:ascii="Arial" w:cs="Arial" w:eastAsia="Arial" w:hAnsi="Arial"/>
                <w:sz w:val="18"/>
                <w:szCs w:val="18"/>
                <w:color w:val="auto"/>
                <w:w w:val="84"/>
              </w:rPr>
              <w:t>4,184,698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3,045,611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3,169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9,496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Operating income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w w:val="87"/>
              </w:rPr>
              <w:t>1,290,091</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1,029,276</w:t>
            </w:r>
          </w:p>
        </w:tc>
        <w:tc>
          <w:tcPr>
            <w:tcW w:w="460" w:type="dxa"/>
            <w:vAlign w:val="bottom"/>
          </w:tcPr>
          <w:p>
            <w:pPr>
              <w:spacing w:after="0"/>
              <w:rPr>
                <w:sz w:val="18"/>
                <w:szCs w:val="18"/>
                <w:color w:val="auto"/>
              </w:rPr>
            </w:pPr>
          </w:p>
        </w:tc>
        <w:tc>
          <w:tcPr>
            <w:tcW w:w="1140" w:type="dxa"/>
            <w:vAlign w:val="bottom"/>
          </w:tcPr>
          <w:p>
            <w:pPr>
              <w:jc w:val="right"/>
              <w:ind w:right="335"/>
              <w:spacing w:after="0"/>
              <w:rPr>
                <w:sz w:val="20"/>
                <w:szCs w:val="20"/>
                <w:color w:val="auto"/>
              </w:rPr>
            </w:pPr>
            <w:r>
              <w:rPr>
                <w:rFonts w:ascii="Arial" w:cs="Arial" w:eastAsia="Arial" w:hAnsi="Arial"/>
                <w:sz w:val="18"/>
                <w:szCs w:val="18"/>
                <w:color w:val="auto"/>
                <w:w w:val="87"/>
              </w:rPr>
              <w:t>1,008,240</w:t>
            </w:r>
          </w:p>
        </w:tc>
        <w:tc>
          <w:tcPr>
            <w:tcW w:w="120" w:type="dxa"/>
            <w:vAlign w:val="bottom"/>
          </w:tcPr>
          <w:p>
            <w:pPr>
              <w:spacing w:after="0"/>
              <w:rPr>
                <w:sz w:val="18"/>
                <w:szCs w:val="18"/>
                <w:color w:val="auto"/>
              </w:rPr>
            </w:pPr>
          </w:p>
        </w:tc>
        <w:tc>
          <w:tcPr>
            <w:tcW w:w="960" w:type="dxa"/>
            <w:vAlign w:val="bottom"/>
          </w:tcPr>
          <w:p>
            <w:pPr>
              <w:jc w:val="right"/>
              <w:ind w:right="175"/>
              <w:spacing w:after="0"/>
              <w:rPr>
                <w:sz w:val="20"/>
                <w:szCs w:val="20"/>
                <w:color w:val="auto"/>
              </w:rPr>
            </w:pPr>
            <w:r>
              <w:rPr>
                <w:rFonts w:ascii="Arial" w:cs="Arial" w:eastAsia="Arial" w:hAnsi="Arial"/>
                <w:sz w:val="18"/>
                <w:szCs w:val="18"/>
                <w:color w:val="auto"/>
              </w:rPr>
              <w:t>625,252</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234,963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87"/>
              </w:rPr>
              <w:t>1,004,157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728,699</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825,113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316,596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w w:val="98"/>
              </w:rPr>
              <w:t>(275,505)</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(226,663)</w:t>
            </w:r>
          </w:p>
        </w:tc>
        <w:tc>
          <w:tcPr>
            <w:tcW w:w="460" w:type="dxa"/>
            <w:vAlign w:val="bottom"/>
          </w:tcPr>
          <w:p>
            <w:pPr>
              <w:spacing w:after="0"/>
              <w:rPr>
                <w:sz w:val="18"/>
                <w:szCs w:val="18"/>
                <w:color w:val="auto"/>
              </w:rPr>
            </w:pPr>
          </w:p>
        </w:tc>
        <w:tc>
          <w:tcPr>
            <w:tcW w:w="1140" w:type="dxa"/>
            <w:vAlign w:val="bottom"/>
          </w:tcPr>
          <w:p>
            <w:pPr>
              <w:jc w:val="right"/>
              <w:ind w:right="275"/>
              <w:spacing w:after="0"/>
              <w:rPr>
                <w:sz w:val="20"/>
                <w:szCs w:val="20"/>
                <w:color w:val="auto"/>
              </w:rPr>
            </w:pPr>
            <w:r>
              <w:rPr>
                <w:rFonts w:ascii="Arial" w:cs="Arial" w:eastAsia="Arial" w:hAnsi="Arial"/>
                <w:sz w:val="18"/>
                <w:szCs w:val="18"/>
                <w:color w:val="auto"/>
                <w:w w:val="98"/>
              </w:rPr>
              <w:t>(211,742)</w:t>
            </w:r>
          </w:p>
        </w:tc>
        <w:tc>
          <w:tcPr>
            <w:tcW w:w="120" w:type="dxa"/>
            <w:vAlign w:val="bottom"/>
          </w:tcPr>
          <w:p>
            <w:pPr>
              <w:spacing w:after="0"/>
              <w:rPr>
                <w:sz w:val="18"/>
                <w:szCs w:val="18"/>
                <w:color w:val="auto"/>
              </w:rPr>
            </w:pPr>
          </w:p>
        </w:tc>
        <w:tc>
          <w:tcPr>
            <w:tcW w:w="960" w:type="dxa"/>
            <w:vAlign w:val="bottom"/>
          </w:tcPr>
          <w:p>
            <w:pPr>
              <w:jc w:val="right"/>
              <w:ind w:right="115"/>
              <w:spacing w:after="0"/>
              <w:rPr>
                <w:sz w:val="20"/>
                <w:szCs w:val="20"/>
                <w:color w:val="auto"/>
              </w:rPr>
            </w:pPr>
            <w:r>
              <w:rPr>
                <w:rFonts w:ascii="Arial" w:cs="Arial" w:eastAsia="Arial" w:hAnsi="Arial"/>
                <w:sz w:val="18"/>
                <w:szCs w:val="18"/>
                <w:color w:val="auto"/>
                <w:w w:val="95"/>
              </w:rPr>
              <w:t>(156,469)</w:t>
            </w:r>
          </w:p>
        </w:tc>
        <w:tc>
          <w:tcPr>
            <w:tcW w:w="3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(18,453)</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728,652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502,036</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613,371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160,127</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Basic income per share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7.25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5"/>
              <w:spacing w:after="0"/>
              <w:rPr>
                <w:sz w:val="20"/>
                <w:szCs w:val="20"/>
                <w:color w:val="auto"/>
              </w:rPr>
            </w:pPr>
            <w:r>
              <w:rPr>
                <w:rFonts w:ascii="Arial" w:cs="Arial" w:eastAsia="Arial" w:hAnsi="Arial"/>
                <w:sz w:val="18"/>
                <w:szCs w:val="18"/>
                <w:color w:val="auto"/>
              </w:rPr>
              <w:t>4.94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75"/>
              <w:spacing w:after="0"/>
              <w:rPr>
                <w:sz w:val="20"/>
                <w:szCs w:val="20"/>
                <w:color w:val="auto"/>
              </w:rPr>
            </w:pPr>
            <w:r>
              <w:rPr>
                <w:rFonts w:ascii="Arial" w:cs="Arial" w:eastAsia="Arial" w:hAnsi="Arial"/>
                <w:sz w:val="18"/>
                <w:szCs w:val="18"/>
                <w:color w:val="auto"/>
              </w:rPr>
              <w:t>1.30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7.17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51"/>
        </w:trPr>
        <w:tc>
          <w:tcPr>
            <w:tcW w:w="4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435"/>
              <w:spacing w:after="0" w:line="142"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60" w:type="dxa"/>
            <w:vAlign w:val="bottom"/>
            <w:gridSpan w:val="5"/>
          </w:tcPr>
          <w:p>
            <w:pPr>
              <w:jc w:val="center"/>
              <w:ind w:right="215"/>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5"/>
              <w:spacing w:after="0"/>
              <w:rPr>
                <w:sz w:val="20"/>
                <w:szCs w:val="20"/>
                <w:color w:val="auto"/>
              </w:rPr>
            </w:pPr>
            <w:r>
              <w:rPr>
                <w:rFonts w:ascii="Arial" w:cs="Arial" w:eastAsia="Arial" w:hAnsi="Arial"/>
                <w:sz w:val="18"/>
                <w:szCs w:val="18"/>
                <w:color w:val="auto"/>
                <w:w w:val="87"/>
              </w:rPr>
              <w:t>2,435,041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1,725,219</w:t>
            </w:r>
          </w:p>
        </w:tc>
        <w:tc>
          <w:tcPr>
            <w:tcW w:w="1600" w:type="dxa"/>
            <w:vAlign w:val="bottom"/>
            <w:gridSpan w:val="2"/>
          </w:tcPr>
          <w:p>
            <w:pPr>
              <w:jc w:val="right"/>
              <w:ind w:right="335"/>
              <w:spacing w:after="0"/>
              <w:rPr>
                <w:sz w:val="20"/>
                <w:szCs w:val="20"/>
                <w:color w:val="auto"/>
              </w:rPr>
            </w:pPr>
            <w:r>
              <w:rPr>
                <w:rFonts w:ascii="Arial" w:cs="Arial" w:eastAsia="Arial" w:hAnsi="Arial"/>
                <w:sz w:val="18"/>
                <w:szCs w:val="18"/>
                <w:color w:val="auto"/>
              </w:rPr>
              <w:t>$ 1,262,587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5"/>
              <w:spacing w:after="0"/>
              <w:rPr>
                <w:sz w:val="20"/>
                <w:szCs w:val="20"/>
                <w:color w:val="auto"/>
              </w:rPr>
            </w:pPr>
            <w:r>
              <w:rPr>
                <w:rFonts w:ascii="Arial" w:cs="Arial" w:eastAsia="Arial" w:hAnsi="Arial"/>
                <w:sz w:val="18"/>
                <w:szCs w:val="18"/>
                <w:color w:val="auto"/>
                <w:w w:val="87"/>
              </w:rPr>
              <w:t>1,258,499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1,991,830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558,624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110,490</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28,477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22,901</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457,594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assets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w w:val="87"/>
              </w:rPr>
              <w:t>8,377,030</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7,276,594</w:t>
            </w:r>
          </w:p>
        </w:tc>
        <w:tc>
          <w:tcPr>
            <w:tcW w:w="460" w:type="dxa"/>
            <w:vAlign w:val="bottom"/>
          </w:tcPr>
          <w:p>
            <w:pPr>
              <w:spacing w:after="0"/>
              <w:rPr>
                <w:sz w:val="18"/>
                <w:szCs w:val="18"/>
                <w:color w:val="auto"/>
              </w:rPr>
            </w:pPr>
          </w:p>
        </w:tc>
        <w:tc>
          <w:tcPr>
            <w:tcW w:w="1140" w:type="dxa"/>
            <w:vAlign w:val="bottom"/>
          </w:tcPr>
          <w:p>
            <w:pPr>
              <w:jc w:val="right"/>
              <w:ind w:right="335"/>
              <w:spacing w:after="0"/>
              <w:rPr>
                <w:sz w:val="20"/>
                <w:szCs w:val="20"/>
                <w:color w:val="auto"/>
              </w:rPr>
            </w:pPr>
            <w:r>
              <w:rPr>
                <w:rFonts w:ascii="Arial" w:cs="Arial" w:eastAsia="Arial" w:hAnsi="Arial"/>
                <w:sz w:val="18"/>
                <w:szCs w:val="18"/>
                <w:color w:val="auto"/>
                <w:w w:val="87"/>
              </w:rPr>
              <w:t>6,899,496</w:t>
            </w:r>
          </w:p>
        </w:tc>
        <w:tc>
          <w:tcPr>
            <w:tcW w:w="120" w:type="dxa"/>
            <w:vAlign w:val="bottom"/>
          </w:tcPr>
          <w:p>
            <w:pPr>
              <w:spacing w:after="0"/>
              <w:rPr>
                <w:sz w:val="18"/>
                <w:szCs w:val="18"/>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w w:val="87"/>
              </w:rPr>
              <w:t>6,674,497</w:t>
            </w:r>
          </w:p>
        </w:tc>
        <w:tc>
          <w:tcPr>
            <w:tcW w:w="3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7,581,769</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87"/>
              </w:rPr>
              <w:t>6,789,145</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6,041,285</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87"/>
              </w:rPr>
              <w:t>3,096,149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87"/>
              </w:rPr>
              <w:t>3,405,983</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3,695,821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Stockholders’ equity[3]</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132,351</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103,932</w:t>
            </w:r>
          </w:p>
        </w:tc>
        <w:tc>
          <w:tcPr>
            <w:tcW w:w="460" w:type="dxa"/>
            <w:vAlign w:val="bottom"/>
          </w:tcPr>
          <w:p>
            <w:pPr>
              <w:spacing w:after="0"/>
              <w:rPr>
                <w:sz w:val="18"/>
                <w:szCs w:val="18"/>
                <w:color w:val="auto"/>
              </w:rPr>
            </w:pPr>
          </w:p>
        </w:tc>
        <w:tc>
          <w:tcPr>
            <w:tcW w:w="1140" w:type="dxa"/>
            <w:vAlign w:val="bottom"/>
          </w:tcPr>
          <w:p>
            <w:pPr>
              <w:jc w:val="right"/>
              <w:ind w:right="335"/>
              <w:spacing w:after="0"/>
              <w:rPr>
                <w:sz w:val="20"/>
                <w:szCs w:val="20"/>
                <w:color w:val="auto"/>
              </w:rPr>
            </w:pPr>
            <w:r>
              <w:rPr>
                <w:rFonts w:ascii="Arial" w:cs="Arial" w:eastAsia="Arial" w:hAnsi="Arial"/>
                <w:sz w:val="18"/>
                <w:szCs w:val="18"/>
                <w:color w:val="auto"/>
                <w:w w:val="87"/>
              </w:rPr>
              <w:t>2,223,454</w:t>
            </w:r>
          </w:p>
        </w:tc>
        <w:tc>
          <w:tcPr>
            <w:tcW w:w="120" w:type="dxa"/>
            <w:vAlign w:val="bottom"/>
          </w:tcPr>
          <w:p>
            <w:pPr>
              <w:spacing w:after="0"/>
              <w:rPr>
                <w:sz w:val="18"/>
                <w:szCs w:val="18"/>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w w:val="87"/>
              </w:rPr>
              <w:t>2,380,585</w:t>
            </w:r>
          </w:p>
        </w:tc>
        <w:tc>
          <w:tcPr>
            <w:tcW w:w="3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3,160,363</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 declared per common share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8.50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bl>
    <w:p>
      <w:pPr>
        <w:spacing w:after="0" w:line="194" w:lineRule="exact"/>
        <w:rPr>
          <w:sz w:val="20"/>
          <w:szCs w:val="20"/>
          <w:color w:val="auto"/>
        </w:rPr>
      </w:pPr>
    </w:p>
    <w:p>
      <w:pPr>
        <w:ind w:left="460" w:right="200" w:hanging="452"/>
        <w:spacing w:after="0" w:line="252"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October 2009, Wynn Macau, Limited, our indirect wholly owned subsidiary and the developer, owner and operator of Wynn Macau, listed its ordinary shares of common stock on The Stock Exchange of Hong Kong Limited. Wynn Macau, Limited sold 1,437,500,000 shares (27.7%) of its common stock through an initial public offering. Net income attributable to noncontrolling interest represents the noncontrolling interests’ share of our net income of Wynn Macau, Limited.</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long-term debt, the required contract premium payments under our land concession contract at Wynn Macau, future charitable contributions and deferred income taxes.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February 2012, in connection with the redemption and cancellation of Aruze USA, Inc.’s 24,549,222 shares of Wynn Resorts common stock, stockholders’ equity was reduced by $1.94 billion, the face amount of the Redemption Note. Aruze USA has challenged the redemption and cancellation of the 24,549,222 shares and legal proceedings are ongoing. Please see Item 3—“Legal Proceedings”.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developer, owner and operator of destination casino resorts. In the Macau Special Administrative Region of the People’s Republic of China (“Macau”), we operate and own 72.3% of Wynn Macau, which opened on September 6, 2006. On April 21, 2010, we opened Encore at Wynn Macau, a further expansion of Wynn Macau. We refer to the fully integrated Wynn Macau and Encore at Wynn Macau resort as Wynn Macau | Encore or as our Macau Operations. In Las Vegas, Nevada, we own and operate Wynn Las Vegas | Encore, which we refer to as our Las Vegas Operations. We are developing Wynn Palace, a full-scale casino resort in the Cotai area of Macau.</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resorts as of February 14,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7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7"/>
              </w:rPr>
              <w:t>Hotel Rooms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7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w:t>
            </w:r>
          </w:p>
        </w:tc>
        <w:tc>
          <w:tcPr>
            <w:tcW w:w="1000" w:type="dxa"/>
            <w:vAlign w:val="bottom"/>
          </w:tcPr>
          <w:p>
            <w:pPr>
              <w:spacing w:after="0"/>
              <w:rPr>
                <w:sz w:val="12"/>
                <w:szCs w:val="12"/>
                <w:color w:val="auto"/>
              </w:rPr>
            </w:pPr>
          </w:p>
        </w:tc>
        <w:tc>
          <w:tcPr>
            <w:tcW w:w="220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Approximate Casino</w:t>
            </w:r>
          </w:p>
        </w:tc>
        <w:tc>
          <w:tcPr>
            <w:tcW w:w="23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9"/>
              </w:rPr>
              <w:t>Approximate Number</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Approximate Number</w:t>
            </w:r>
          </w:p>
        </w:tc>
      </w:tr>
      <w:tr>
        <w:trPr>
          <w:trHeight w:val="161"/>
        </w:trPr>
        <w:tc>
          <w:tcPr>
            <w:tcW w:w="3760" w:type="dxa"/>
            <w:vAlign w:val="bottom"/>
          </w:tcPr>
          <w:p>
            <w:pPr>
              <w:spacing w:after="0"/>
              <w:rPr>
                <w:sz w:val="14"/>
                <w:szCs w:val="14"/>
                <w:color w:val="auto"/>
              </w:rPr>
            </w:pPr>
          </w:p>
        </w:tc>
        <w:tc>
          <w:tcPr>
            <w:tcW w:w="17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0"/>
              </w:rPr>
              <w:t>Suites</w:t>
            </w:r>
          </w:p>
        </w:tc>
        <w:tc>
          <w:tcPr>
            <w:tcW w:w="220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5"/>
              </w:rPr>
              <w:t>Square Footage</w:t>
            </w:r>
          </w:p>
        </w:tc>
        <w:tc>
          <w:tcPr>
            <w:tcW w:w="23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6"/>
              </w:rPr>
              <w:t>of Table Games</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of Slots</w:t>
            </w: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Macau Operations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2"/>
              </w:rPr>
              <w:t>280,000</w:t>
            </w:r>
          </w:p>
        </w:tc>
        <w:tc>
          <w:tcPr>
            <w:tcW w:w="10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79"/>
              </w:rPr>
              <w:t>493</w:t>
            </w:r>
          </w:p>
        </w:tc>
        <w:tc>
          <w:tcPr>
            <w:tcW w:w="10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Las Vegas Operations</w:t>
            </w: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color w:val="auto"/>
              </w:rPr>
              <w:t>4,748</w:t>
            </w:r>
          </w:p>
        </w:tc>
        <w:tc>
          <w:tcPr>
            <w:tcW w:w="2200" w:type="dxa"/>
            <w:vAlign w:val="bottom"/>
            <w:gridSpan w:val="2"/>
          </w:tcPr>
          <w:p>
            <w:pPr>
              <w:ind w:left="640"/>
              <w:spacing w:after="0"/>
              <w:rPr>
                <w:sz w:val="20"/>
                <w:szCs w:val="20"/>
                <w:color w:val="auto"/>
              </w:rPr>
            </w:pPr>
            <w:r>
              <w:rPr>
                <w:rFonts w:ascii="Arial" w:cs="Arial" w:eastAsia="Arial" w:hAnsi="Arial"/>
                <w:sz w:val="18"/>
                <w:szCs w:val="18"/>
                <w:color w:val="auto"/>
              </w:rPr>
              <w:t>186,000</w:t>
            </w:r>
          </w:p>
        </w:tc>
        <w:tc>
          <w:tcPr>
            <w:tcW w:w="2300" w:type="dxa"/>
            <w:vAlign w:val="bottom"/>
            <w:gridSpan w:val="2"/>
          </w:tcPr>
          <w:p>
            <w:pPr>
              <w:ind w:left="1020"/>
              <w:spacing w:after="0"/>
              <w:rPr>
                <w:sz w:val="20"/>
                <w:szCs w:val="20"/>
                <w:color w:val="auto"/>
              </w:rPr>
            </w:pPr>
            <w:r>
              <w:rPr>
                <w:rFonts w:ascii="Arial" w:cs="Arial" w:eastAsia="Arial" w:hAnsi="Arial"/>
                <w:sz w:val="18"/>
                <w:szCs w:val="18"/>
                <w:color w:val="auto"/>
              </w:rPr>
              <w:t>230</w:t>
            </w:r>
          </w:p>
        </w:tc>
        <w:tc>
          <w:tcPr>
            <w:tcW w:w="128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 Encore under a 20-year casino concession agreement granted by the Macau government in June 2002.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Macau resort complex features:</w:t>
      </w:r>
    </w:p>
    <w:p>
      <w:pPr>
        <w:spacing w:after="0" w:line="90" w:lineRule="exact"/>
        <w:rPr>
          <w:sz w:val="20"/>
          <w:szCs w:val="20"/>
          <w:color w:val="auto"/>
        </w:rPr>
      </w:pPr>
    </w:p>
    <w:p>
      <w:pPr>
        <w:ind w:left="900" w:right="4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Approximately 280,000 square feet of casino space, offering 24-hour gaming and a full range of games, including private gaming salons, sky casinos and a poker pit;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guest rooms and suites;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9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Approximately 57,000 square feet of high-end, brand-name retail shopping, including stores and boutiques by Bvlgari, Cartier, Chanel, Dior, Dunhill, Ferrari, Giorgio Armani, Graff, Gucci, Hermes, Hugo Boss, Jaegar-LeCoultre, Loro Piana, Louis Vuitton, Miu Miu, Piaget, Prada, Roger Dubuis, Rolex, Tiffany, Tudor, Vacheron Constantin, Van Cleef &amp; Arpels, Versace, Vertu, Ermenegildo Zegna and others;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and spas, a salon, a pool;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During 2013, we made renovations to our spa, VIP gaming area and various other areas on our property. In response to our evaluation of our Macau Operations and the reactions of our guests, we have made and expect to continue to make enhancements and refinements to this resort complex.</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Wynn Las Vegas | Encore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5 acres adjacent to the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900" w:right="4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guest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34 food and beverage outlets featuring signature chefs;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96,000 square feet of high-end, brand-name retail shopping, including stores and boutiques by Alexander McQueen, Brioni, Cartier, Chanel, Chloé, Chopard, Dior, Graff, Hermes, IWC Schaffhausen, Jaeger-LeCoultre, Loro Piana, Louis Vuitton, Manolo Blahnik, Nicholas Kirkwood, Oscar de la Renta, Piaget, Rolex, Vertu and others;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2013, we remodeled our villas and two of our restaurants. In response to our evaluation of our Las Vegas Operations and the reactions of our guests, we have and expect to continue to make enhancements and refinements to this resort complex.</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currently constructing Wynn Palace in the Cotai area of Macau, a full-scale integrated resort containing a 1,700-room hotel, performance lake, meeting space, casino, spa, retail offerings and food and beverage outlets. The total project budget, including construction costs, capitalized interest, pre-opening expenses, land costs and financing fees, is $4 billion. As of December 31, 2013, we have invested $703.7 million in the project. We continue to remain on schedule for an opening in the first half of 2016.</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July 29, 2013, Wynn Macau and Palo finalized and executed a GMP contract with Leighton Contractors (Asia) Limited, acting as the general contractor. Under the GMP contract, the general contractor is responsible for both the construction and design of the Wynn Palace project. The general contractor is obligated to substantially complete the project in the first half of 2016 for a guaranteed maximum price of HK$20 billion (approximately $2.57 billion). An early completion bonus for achievement of substantial completion on or before January 25, 2016 will be paid to the general contractor if certain conditions are satisfied under the GMP contract. Both the contract time and guaranteed maximum price are subject to further adjustment under certain specified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continually seek out new opportunities for additional gaming or related businesses, in the United States, and worldwide. On November 11, 2013, we announced that our Board had elected to withdraw the previously filed application for a gaming license in Pennsylvania. We have made an application for a gaming license in Massachusetts. The process is competitive and we expect to know the outcome by the end of the first half of 2014. Proceeding with this project will require significant expenditure of Company funds. In addition, we are exploring various international jurisdictions for expansion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2013</w:t>
            </w:r>
          </w:p>
        </w:tc>
        <w:tc>
          <w:tcPr>
            <w:tcW w:w="144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Macau Operations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$ 4,040,526</w:t>
            </w:r>
          </w:p>
        </w:tc>
        <w:tc>
          <w:tcPr>
            <w:tcW w:w="1900" w:type="dxa"/>
            <w:vAlign w:val="bottom"/>
            <w:gridSpan w:val="3"/>
          </w:tcPr>
          <w:p>
            <w:pPr>
              <w:jc w:val="right"/>
              <w:ind w:right="460"/>
              <w:spacing w:after="0"/>
              <w:rPr>
                <w:sz w:val="20"/>
                <w:szCs w:val="20"/>
                <w:color w:val="auto"/>
              </w:rPr>
            </w:pPr>
            <w:r>
              <w:rPr>
                <w:rFonts w:ascii="Arial" w:cs="Arial" w:eastAsia="Arial" w:hAnsi="Arial"/>
                <w:sz w:val="18"/>
                <w:szCs w:val="18"/>
                <w:color w:val="auto"/>
              </w:rPr>
              <w:t>$ 3,667,454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3,789,073</w:t>
            </w: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 Operations</w:t>
            </w: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1,580,410</w:t>
            </w:r>
          </w:p>
        </w:tc>
        <w:tc>
          <w:tcPr>
            <w:tcW w:w="5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1,486,830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1,480,719</w:t>
            </w:r>
          </w:p>
        </w:tc>
        <w:tc>
          <w:tcPr>
            <w:tcW w:w="100" w:type="dxa"/>
            <w:vAlign w:val="bottom"/>
            <w:shd w:val="clear" w:color="auto" w:fill="CCEEFF"/>
          </w:tcPr>
          <w:p>
            <w:pPr>
              <w:spacing w:after="0"/>
              <w:rPr>
                <w:sz w:val="18"/>
                <w:szCs w:val="18"/>
                <w:color w:val="auto"/>
              </w:rPr>
            </w:pPr>
          </w:p>
        </w:tc>
      </w:tr>
      <w:tr>
        <w:trPr>
          <w:trHeight w:val="222"/>
        </w:trPr>
        <w:tc>
          <w:tcPr>
            <w:tcW w:w="57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$ 5,620,936</w:t>
            </w:r>
          </w:p>
        </w:tc>
        <w:tc>
          <w:tcPr>
            <w:tcW w:w="1900" w:type="dxa"/>
            <w:vAlign w:val="bottom"/>
            <w:gridSpan w:val="3"/>
          </w:tcPr>
          <w:p>
            <w:pPr>
              <w:jc w:val="right"/>
              <w:ind w:right="460"/>
              <w:spacing w:after="0"/>
              <w:rPr>
                <w:sz w:val="20"/>
                <w:szCs w:val="20"/>
                <w:color w:val="auto"/>
              </w:rPr>
            </w:pPr>
            <w:r>
              <w:rPr>
                <w:rFonts w:ascii="Arial" w:cs="Arial" w:eastAsia="Arial" w:hAnsi="Arial"/>
                <w:sz w:val="18"/>
                <w:szCs w:val="18"/>
                <w:color w:val="auto"/>
              </w:rPr>
              <w:t>$ 5,154,284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5,269,792</w:t>
            </w: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Reliance on only two resort complexes (in two geographic regions) for our operating cash flow exposes us to certain risks that competitors, whose operations are more geographically diversified, may be better able to control. In addition to the concentration of operations in two resort complexes, many of our customers are premium gaming customers who wager on credit, thus exposing us to increased credit risk. High-end gaming also increases the potential for variability in our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is presented. Below are definitions of these key operating statistics discussed:</w:t>
      </w:r>
    </w:p>
    <w:p>
      <w:pPr>
        <w:spacing w:after="0" w:line="84"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Operations’ VIP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turnover for purposes of calculating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the retail value of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the retail value of promotional allowances (less service charges, if any) by total rooms available.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discussion of the methodologies used to calculate win percentage at our resorts.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our VIP casino in Macau, customers primarily purchase non-negotiable chips, commonly referred to as rolling chips, from the casino cage and there is no deposit into a gaming table drop box from chips purchased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from the cage. Non-negotiable chips can only be used to make wagers. Winning wagers are paid in cash chips. The loss of the non-negotiable chips in the VIP casino is recorded as turnover and provides a base for calculating VIP casino win percentage. It is customary in Macau to measure VIP casino play using this rolling chip method. We expect our win as a percentage of turnover to be within the range of 2.7% to 3.0%.</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measurement base used in the general casino is not the same as what is used in the VIP casino. In our general casino in Macau, customers may purchase cash chips at either the gaming tables or at the casino cage. The cash used to purchase the cash chips at the gaming tables is deposited in the gaming table’s drop box. This is the base of measurement that we use for calculating win percentage in our general casino. We do not report an expected range for the win percentage in our general casino as chips purchased at the casino cage are excluded from table games drop and distort our expected win percentage. With increased purchases at the casino cage, we believe the relevant indicator of volumes in the mass market segment should be table games win.</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measurements in our VIP casino and the general casino are not comparable as the general casino tracks the initial purchase of chips at the table while the measurement method in our VIP casino tracks the sum of all losing wagers. Accordingly, the base measurement in the VIP casino is much larger than the base measurement in the general casino. As a result, the expected win percentage with the same amount of gaming win is smaller in the VIP casino when compared to the general casino.</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2013 compared to the year ended December 31,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Net revenues for the year ended December 31, 2013 are comprised of $4,490.6 million in casino revenues (79.9% of total net revenues) and $1,130.3 million of net non-casino revenues (20.1% of total net revenues). Net revenues for the year ended December 31, 2012 are comprised of $4,034.8 million in casino revenues (78.3% of total net revenues) and $1,119.5 million of net non-casino revenues (21.7% of total net revenues).</w:t>
      </w:r>
    </w:p>
    <w:p>
      <w:pPr>
        <w:spacing w:after="0" w:line="10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Casino revenues are primarily comprised of the net win from our table games and slot machine operations. Casino revenues for the year ended December 31, 2013 of $4,490.6 million represents a $455.9 million (11.3%) increase from casino revenues of $4,034.8 million for the year ended December 31, 2012. Our Macau Operations experienced a $365.4 million (10.6%) increase in casino revenues to $3,807.8 million for the year ended December 31, 2013, compared to the prior year casino revenues of $3,442.5 million due primarily to stronger table game volumes in our general casino and VIP casino. Our Las Vegas Operations experienced a $90.5 million (15.3%) increase in casino revenues to $682.8 million, compared to the prior year casino revenues of $592.3 million due to a significant increase in our table games win percentage (before discounts).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gaming statistics related to our Macau and Las Vegas operations.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Years Ended December 31,</w:t>
            </w:r>
          </w:p>
        </w:tc>
        <w:tc>
          <w:tcPr>
            <w:tcW w:w="10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jc w:val="right"/>
              <w:ind w:right="354"/>
              <w:spacing w:after="0" w:line="129" w:lineRule="exact"/>
              <w:rPr>
                <w:sz w:val="20"/>
                <w:szCs w:val="20"/>
                <w:color w:val="auto"/>
              </w:rPr>
            </w:pPr>
            <w:r>
              <w:rPr>
                <w:rFonts w:ascii="Arial" w:cs="Arial" w:eastAsia="Arial" w:hAnsi="Arial"/>
                <w:sz w:val="14"/>
                <w:szCs w:val="14"/>
                <w:b w:val="1"/>
                <w:bCs w:val="1"/>
                <w:color w:val="auto"/>
                <w:w w:val="88"/>
              </w:rPr>
              <w:t>Increase/</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1180" w:type="dxa"/>
            <w:vAlign w:val="bottom"/>
          </w:tcPr>
          <w:p>
            <w:pPr>
              <w:jc w:val="right"/>
              <w:ind w:right="574"/>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1000" w:type="dxa"/>
            <w:vAlign w:val="bottom"/>
          </w:tcPr>
          <w:p>
            <w:pPr>
              <w:jc w:val="right"/>
              <w:ind w:right="314"/>
              <w:spacing w:after="0"/>
              <w:rPr>
                <w:sz w:val="20"/>
                <w:szCs w:val="20"/>
                <w:color w:val="auto"/>
              </w:rPr>
            </w:pPr>
            <w:r>
              <w:rPr>
                <w:rFonts w:ascii="Arial" w:cs="Arial" w:eastAsia="Arial" w:hAnsi="Arial"/>
                <w:sz w:val="14"/>
                <w:szCs w:val="14"/>
                <w:b w:val="1"/>
                <w:bCs w:val="1"/>
                <w:color w:val="auto"/>
                <w:w w:val="80"/>
              </w:rPr>
              <w:t>(Decrease)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gridSpan w:val="5"/>
          </w:tcPr>
          <w:p>
            <w:pPr>
              <w:jc w:val="right"/>
              <w:ind w:right="174"/>
              <w:spacing w:after="0" w:line="142" w:lineRule="exact"/>
              <w:rPr>
                <w:sz w:val="20"/>
                <w:szCs w:val="20"/>
                <w:color w:val="auto"/>
              </w:rPr>
            </w:pPr>
            <w:r>
              <w:rPr>
                <w:rFonts w:ascii="Arial" w:cs="Arial" w:eastAsia="Arial" w:hAnsi="Arial"/>
                <w:sz w:val="14"/>
                <w:szCs w:val="14"/>
                <w:color w:val="auto"/>
              </w:rPr>
              <w:t>(amounts in thousands, except for win per day amounts)</w:t>
            </w: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Macau Operations: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b w:val="1"/>
                <w:bCs w:val="1"/>
                <w:color w:val="auto"/>
              </w:rPr>
              <w:t>VIP Casino</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VIP turnover</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5"/>
              </w:rPr>
              <w:t>122,991,763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5"/>
              </w:rPr>
              <w:t>119,251,854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4"/>
              </w:rPr>
              <w:t>3,739,909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VIP win as a % of turnover</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3.01%</w:t>
            </w:r>
          </w:p>
        </w:tc>
        <w:tc>
          <w:tcPr>
            <w:tcW w:w="400" w:type="dxa"/>
            <w:vAlign w:val="bottom"/>
          </w:tcPr>
          <w:p>
            <w:pPr>
              <w:spacing w:after="0"/>
              <w:rPr>
                <w:sz w:val="18"/>
                <w:szCs w:val="18"/>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2.84%</w:t>
            </w:r>
          </w:p>
        </w:tc>
        <w:tc>
          <w:tcPr>
            <w:tcW w:w="38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0.17 pts</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General Casino</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Drop(1)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2,633,870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2,764,664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w w:val="95"/>
              </w:rPr>
              <w:t>(130,794)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Table games win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992,872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843,001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149,871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Table games win %(1)</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37.7%</w:t>
            </w:r>
          </w:p>
        </w:tc>
        <w:tc>
          <w:tcPr>
            <w:tcW w:w="400" w:type="dxa"/>
            <w:vAlign w:val="bottom"/>
          </w:tcPr>
          <w:p>
            <w:pPr>
              <w:spacing w:after="0"/>
              <w:rPr>
                <w:sz w:val="18"/>
                <w:szCs w:val="18"/>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7.2 pts</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Table games win per unit per day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13,098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11,549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1,549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Slot machine handle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4,846,938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4,697,463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149,475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Slot machine win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245,578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247,020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(1,442)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Slot machine win per unit per day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777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718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59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Las Vegas Operations: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Drop</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2,617,634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2,591,833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25,801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Table games win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657,927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567,014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90,913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Table games win %</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25.1%</w:t>
            </w:r>
          </w:p>
        </w:tc>
        <w:tc>
          <w:tcPr>
            <w:tcW w:w="400" w:type="dxa"/>
            <w:vAlign w:val="bottom"/>
          </w:tcPr>
          <w:p>
            <w:pPr>
              <w:spacing w:after="0"/>
              <w:rPr>
                <w:sz w:val="18"/>
                <w:szCs w:val="18"/>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21.9%</w:t>
            </w:r>
          </w:p>
        </w:tc>
        <w:tc>
          <w:tcPr>
            <w:tcW w:w="38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3.2 pts</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Table games win per unit per day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7,729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7,031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698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Slot machine handle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2,874,646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2,908,678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(34,032)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Slot machine win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177,452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177,420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Slot machine win per unit per day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239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206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33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Customers purchase general casino gaming chips at either the gaming tables or the casino cage. Chips purchased at the casino cage are excluded from table games drop and will increase the expected win percentage. With the increased purchases at the casino cage in our Macau general casino, we believe the relevant indicator of volumes in the general casino should be table games win.</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year ended December 31, 2013, room revenues were $492.2 million, an increase of $12.2 million (2.6%) compared to prior year room revenue of $480 million. Room revenue at our Macau Operations decreased $3 million (2.6%) to $114.6 million compared to the prior year period of $117.7 million. During 2013, we renovated approximately 600 guestrooms in the original Wynn Macau tower, contributing to an approximate 4.8% reduction in the number of available room-nights during the year. Room revenue at our Las Vegas Operations increased $15.3 million (4.2%) to $377.6 million compared to the prior year room revenue of $362.3 million. In Las Vegas, during 2013, we experienced an increase in occupancy and an increase in room rates compared to 2012.</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9"/>
              </w:rPr>
              <w:t>Years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Macau</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$ 313</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$ 315</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2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9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95.5%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93.0%</w:t>
            </w: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960" w:type="dxa"/>
            <w:vAlign w:val="bottom"/>
            <w:gridSpan w:val="3"/>
          </w:tcPr>
          <w:p>
            <w:pPr>
              <w:jc w:val="right"/>
              <w:ind w:right="612"/>
              <w:spacing w:after="0"/>
              <w:rPr>
                <w:sz w:val="20"/>
                <w:szCs w:val="20"/>
                <w:color w:val="auto"/>
              </w:rPr>
            </w:pPr>
            <w:r>
              <w:rPr>
                <w:rFonts w:ascii="Arial" w:cs="Arial" w:eastAsia="Arial" w:hAnsi="Arial"/>
                <w:sz w:val="18"/>
                <w:szCs w:val="18"/>
                <w:color w:val="auto"/>
              </w:rPr>
              <w:t>84.6%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82.9%</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Macau</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$ 299</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$ 293</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Other non-casino revenues for the year ended December 31, 2013, included food and beverage revenues of $586.7 million, retail revenues of $278.9 million, entertainment revenues of $65.4 million, and other revenues from outlets such as the spa and salon, of $74.4 million. Other non-casino revenues for the year ended December 31, 2012, included food and beverage revenues of $588.4 million, retail revenues of $261.6 million, entertainment revenues of $81.8 million, and other revenues from outlets, including the spa and salon, of $73.8 million. Food and beverage revenues were relatively flat year-over-year at our Macau Operations and Las Vegas Operations. Retail revenues at our Macau Operations increased $10.5 million (5.9%) due to stronger business in our leased stores. Retail revenues at our Las Vegas Operations increased $6.7 million (8.0%) as we completed the reconfiguration to certain stores in our retail area during the first half of 2013. Entertainment revenues decreased $16.4 million (20%) due to a Las Vegas show that ended its run in November 2012.</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the year ended December 31, 2013, departmental expenses included casino expenses of $2.8 billion, room expenses of $133.5 million, food and beverage expenses of $323.6 million, and entertainment, retail and other expenses of $175.3 million. Also included are general and administrative expenses of approximately $448.8 million and $11.9 million charged as a provision for doubtful accounts receivable. For the year ended December 31, 2012, departmental expenses included casino expenses of $2.6 billion, room expenses of $126.5 million, food and beverage expenses of $308.4 million, and entertainment, retail and other expenses of $189.8 million. Also included are general and administrative expenses of approximately $441.7 million and approximately $18.1 million charged as a provision for doubtful accounts receivable. Casino expenses have increased during the year ended December 31, 2013 due primarily to higher gaming taxes commensurate with the increase in casino revenue at our Las Vegas Operations and Macau Operations (where we incur a gaming tax and other levies at a rate totaling 39% in accordance with the concession agreement). Food and beverage expenses increased over the prior year period primarily due to additional nightclub promotional costs at our Las Vegas Operations. The decrease in entertainment, retail and other expenses was due primarily to a Las Vegas show that ended its run in November 2012. General and administrative expense increased primarily due to higher stock-based compensation expense related to the accelerated vesting of a restricted stock award that was previously granted to our former chief operating officer and increased development costs partially offset by higher expenses related to the share redemption and litigation with a former shareholder that were incurred during the prior year period. During the years ended 2013 and 2012, we recorded adjustments of $14.9 million and $30.9 million, respectively, to our reserve estimates for casino accounts receivable based on the results of historical collection patterns and current collection trends.</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2013, we incurred $3.2 million of pre-opening costs as compared to $0.5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 We began to incur pre-opening costs during October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related to the design and planning for Wynn Palace. We expect our pre-opening costs to increase in the future as construction and development of Wynn Palace continues toward the expected completion in the first half of 2016.</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year ended December 31, 2013, was $371.1 million compared to $373.2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construction of our resorts, costs incurred in the construction of the buildings, improvements to land and the purchases of assets for use in operations were capitalized. Once these resorts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Property charges and other for the year ended December 31, 2013, was $17.1 million compared to $40 million for the year ended December 31, 2012. For the year ended December 31, 2013, property charges and other related primarily to miscellaneous renovations and abandonments at our resorts, a contract termination fee and entertainment development costs. For the year ended December 31, 2012, property charges and other related primarily to a remodel of a Las Vegas restaurant, charges related to the cancellation of a Las Vegas show which ended its run in November 2012, and miscellaneous renovations and abandonments.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resorts and the reactions of our guests, we continue to remodel and make enhancements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Interest income was $15.7 million and $12.5 million for the years ended December 31, 2013 and 2012, respectively. This increase is mainly due to higher cash balances during 2013. During 2013 and 2012, our short-term investment strategy was to preserve capital while retaining sufficient liquidity. The majority of our short-term investments were primarily in money market accounts, time deposits and fixed deposits with a maturity of three months or less.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expense was $299 million, net of capitalized interest of $10.5 million for the year ended December 31, 2013, compared to $288.8 million, net of capitalized interest of $2 million, for the year ended December 31, 2012. Our interest expense increased compared to the prior year period primarily due to the issuance of the Wynn Las Vegas $500 million 4 1/4% Senior Notes in May 2013 and a full period of expense for the $1.94 billion Redemption Note and the Wynn Las Vegas $900 million 5 3/8% first mortgage notes, which were issued in 2012. Capitalized interest increased due to the construction costs of Wynn Palace. Capitalized interest will continue to increase with the ongoing borrowings and construction costs of Wynn Palace.</w:t>
      </w:r>
    </w:p>
    <w:p>
      <w:pPr>
        <w:spacing w:after="0" w:line="116"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We recorded a gain of $14.2 million and $1 million for the years ended December 31, 2013 and December 31, 2012, respectively, resulting from the changes in the fair value of our interest rate swaps during those years. For further information on our interest rate swaps, see Item 7A—“Quantitative and Qualitative Disclosures about Market Risk.”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During the year ended December 31, 2013, we recognized $40.4 million in loss from extinguishment of debt. On May 22, 2013, Wynn Las Vegas completed the purchase of $274.7 million of the 7 7/8% First Mortgage Notes due 2017 (the “2017 Notes”) pursuant to a tender offer for any and all of the 2017 Notes. In connection with this tender offer, Wynn Las Vegas paid $19.6 million in consideration to holders who tendered their notes. Additionally, Wynn Las Vegas expensed $6.7 million of unamortized financing costs and original issue discount related to the 2017 Notes and incurred other fees of approximately $0.3 million related to the tender offer. On November 1, 2013, Wynn Las Vegas redeemed the untendered 2017 Notes plus accrued and unpaid interest. As a result of the redemption, we incurred redemption fees of $8.9 million and expensed $4.9 million of unamortized financing costs and original issue discount.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year ended December 31, 2012, we recognized $25.2 million in loss from extinguishment of debt primarily attributable to the amendment of our credit agreements. In March 2012, Wynn Las Vegas entered into an eighth amendment to its Amended and Restated Credit Agreement (the “Wynn Las Vegas Credit Agreement”). In connection with this amendment, Wynn Las Vegas prepaid all term loans under the Wynn Las Vegas Credit Agreement, terminated all of its revolving credit commitments that were due to expire in 2013, and terminated all but $100 million of its revolving credit commitments expiring in 2015. In connection with this transaction, we expensed deferred financing fees of $4.8 million. Additionally, as described in Item 8—“Financial Statements and Supplementary Data”, Note 8 “Long-Term Debt” to our Consolidated Financial Statements, we amended our Wynn Macau credit facilities in July 2012. In connection with amending the Wynn Macau credit facilities, we expensed $17.7 million of deferred financing costs and third party fees.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For the year ended December 31, 2013, we recorded a tax benefit of $17.6 million. Our income tax benefit is primarily related to a decrease in our deferred tax liabilities reduced by foreign taxes assessable on the dividends of Wynn Macau. Since June 30, 2010, we have no longer considered our portion of the tax earnings and profits of Wynn Macau, Limited to be permanently reinvested. No additional U.S. tax provision has been made with respect to amounts not considered permanently reinvested as we anticipate that U.S. foreign tax credits should be sufficient to eliminate any U.S. tax provision relating to such repatriation. We have not provided deferred U.S. income taxes or foreign withholding taxes on temporary differences which are considered indefinitely reinvested. On November 30, 2010, Wynn Macau received a second 5-year exemption from Macau’s 12% Complementary Tax on casino gaming profits, thereby exempting the casino gaming profits of Wynn Macau through December 31, 2015. Accordingly, we were exempted from the payment of approximately $107.3 million and $87.1 million in such taxes for the years ended December 31, 2013 and 2012, respectively. Our non-gaming profits remain subject to the Macau Complementary Tax and casino winnings remain subject to the Macau Special Gaming tax and other levies at a rate totaling 39% in accordance with our concession agreement.</w:t>
      </w:r>
    </w:p>
    <w:p>
      <w:pPr>
        <w:spacing w:after="0" w:line="12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April 2012, the Company reached an agreement with the Appellate division of the Internal Revenue Service (“IRS”) regarding issues raised during the examination of the 2006 through 2009 U.S. income tax returns. The settlement with the Appellate division did not impact the Company’s unrecognized tax benefits. The settlement of the 2006 through 2009 examination issues resulted in a cash tax payment of $1.3 million and the utilization of $3.1 million and $0.9 million in foreign tax credit and general business credit carryforwards, respectively.</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December 2012, the IRS completed an examination of the Company’s 2010 U.S. income tax return and had no changes. In May 2013, the Company received notification that the IRS completed its examination of the Company’s 2011 U.S. income tax return and had no changes.</w:t>
      </w:r>
    </w:p>
    <w:p>
      <w:pPr>
        <w:spacing w:after="0" w:line="8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For tax year 2012, the Company is participating in the IRS Compliance Assurance Program (“CAP”), which accelerates IRS examination of key transactions with the goal of resolving any issues before the taxpayer files its return. The Company believes the IRS will complete their examination of the 2012 tax year in the next 12 months. In March 2013, the Company received notification that it had been selected for the Compliance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Maintenance phase of CAP for the 2013 tax year. In the Compliance Maintenance phase, the IRS, at its discretion, may reduce the level of review of the taxpayer’s tax positions based on the complexity and number of issues, and the taxpayer’s history of compliance, cooperation and transparency in the CAP. The Company does not expect a change in its unrecognized tax benefits as a result of the completion of these examinations.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July 2012, the Macau Financial Services Bureau commenced an examination of the 2008 Macau income tax return of Wynn Macau. In November 2012, the Company received the results of the examination. While no additional tax was due, adjustments were made to the Company’s foreign net operating loss carryforwards.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January 2013, the Macau Financial Services Bureau examined the 2009 and 2010 Macau income tax returns of Palo, which is a co-holder of the land concession for Wynn Palace. The exam resulted in no change to the tax returns.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March 2013, the Macau Financial Services Bureau commenced an examination of the 2009, 2010, and 2011 Macau income tax returns of Wynn Macau. Since the examination is in its initial stages, the Company is unable to determine if it will conclude within the next 12 months. The Company believes that its liability for uncertain tax positions is adequate with respect to these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October 2009, Wynn Macau, Limited, an indirect wholly owned subsidiary, listed its ordinary shares of common stock on The Stock Exchange of Hong Kong Limited. Wynn Macau, Limited sold 1,437,500,000 shares (27.7%) of its common stock through an initial public offering. We recorded net income attributable to noncontrolling interests of $275.5 million for the year ended December 31, 2013, compared to $226.7 million for the year ended December 31, 2012. This represents the noncontrolling interests’ share of net income from Wynn Macau, Limited for each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2012 compared to the year ended December 31,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2012 are comprised of $4,034.8 million in casino revenues (78.3% of total net revenues) and $1,119.5 million of net non-casino revenues (21.7% of total net revenues). Net revenues for the year ended December 31, 2011 are comprised of $4,190.5 million in casino revenues (79.5% of total net revenues) and $1,079.3 million of net non-casino revenues (20.5% of total net revenues).</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Casino revenues are primarily comprised of the net win from our table games and slot machine operations. Casino revenues for the year ended December 31, 2012 of $4,034.8 million represents a $155.7 million (3.7%) decrease from casino revenues of $4,190.5 million for the year ended December 31, 2011. Our Las Vegas Operations experienced a $32.9 million (5.3%) decrease in casino revenues to $592.3 million, compared to the prior year casino revenues of $625.2 million due to a decrease in our table games win percentage (before discounts). Our Macau Operations experienced a $122.8 million (3.4%) decrease in casino revenues to $3,442.5 million for the year ended December 31, 2012, compared to the prior year due to lower turnover and hold percentage in our VIP casino.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gaming statistics related to our Macau and Las Vegas operations.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w w:val="95"/>
              </w:rPr>
              <w:t>Years Ended December 31,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jc w:val="right"/>
              <w:ind w:right="454"/>
              <w:spacing w:after="0" w:line="129" w:lineRule="exact"/>
              <w:rPr>
                <w:sz w:val="20"/>
                <w:szCs w:val="20"/>
                <w:color w:val="auto"/>
              </w:rPr>
            </w:pPr>
            <w:r>
              <w:rPr>
                <w:rFonts w:ascii="Arial" w:cs="Arial" w:eastAsia="Arial" w:hAnsi="Arial"/>
                <w:sz w:val="14"/>
                <w:szCs w:val="14"/>
                <w:b w:val="1"/>
                <w:bCs w:val="1"/>
                <w:color w:val="auto"/>
                <w:w w:val="95"/>
              </w:rPr>
              <w:t>Increase/</w:t>
            </w: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4"/>
                <w:szCs w:val="14"/>
                <w:color w:val="auto"/>
              </w:rPr>
            </w:pPr>
          </w:p>
        </w:tc>
        <w:tc>
          <w:tcPr>
            <w:tcW w:w="1220" w:type="dxa"/>
            <w:vAlign w:val="bottom"/>
          </w:tcPr>
          <w:p>
            <w:pPr>
              <w:jc w:val="right"/>
              <w:ind w:right="594"/>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w w:val="86"/>
              </w:rPr>
              <w:t>(Decrease)</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400" w:type="dxa"/>
            <w:vAlign w:val="bottom"/>
            <w:tcBorders>
              <w:top w:val="single" w:sz="8" w:color="auto"/>
            </w:tcBorders>
            <w:gridSpan w:val="4"/>
          </w:tcPr>
          <w:p>
            <w:pPr>
              <w:jc w:val="right"/>
              <w:ind w:right="234"/>
              <w:spacing w:after="0" w:line="142" w:lineRule="exact"/>
              <w:rPr>
                <w:sz w:val="20"/>
                <w:szCs w:val="20"/>
                <w:color w:val="auto"/>
              </w:rPr>
            </w:pPr>
            <w:r>
              <w:rPr>
                <w:rFonts w:ascii="Arial" w:cs="Arial" w:eastAsia="Arial" w:hAnsi="Arial"/>
                <w:sz w:val="14"/>
                <w:szCs w:val="14"/>
                <w:color w:val="auto"/>
                <w:w w:val="87"/>
              </w:rPr>
              <w:t>(amounts in thousands, except for win per day amounts)</w:t>
            </w: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Macau Operations: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b w:val="1"/>
                <w:bCs w:val="1"/>
                <w:color w:val="auto"/>
              </w:rPr>
              <w:t>VIP Casino</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VIP turnover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119,251,854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9"/>
              </w:rPr>
              <w:t>123,099,838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1"/>
              </w:rPr>
              <w:t>(3,847,984)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VIP win as a % of turnover</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w:t>
            </w:r>
          </w:p>
        </w:tc>
        <w:tc>
          <w:tcPr>
            <w:tcW w:w="600" w:type="dxa"/>
            <w:vAlign w:val="bottom"/>
          </w:tcPr>
          <w:p>
            <w:pPr>
              <w:spacing w:after="0"/>
              <w:rPr>
                <w:sz w:val="18"/>
                <w:szCs w:val="18"/>
                <w:color w:val="auto"/>
              </w:rPr>
            </w:pP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2.93%</w:t>
            </w:r>
          </w:p>
        </w:tc>
        <w:tc>
          <w:tcPr>
            <w:tcW w:w="44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(0.09) pts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General Casino</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Drop(1)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2,764,664</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2,769,284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(4,620)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Table games win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843,001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787,678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55,323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Table games win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w:t>
            </w:r>
          </w:p>
        </w:tc>
        <w:tc>
          <w:tcPr>
            <w:tcW w:w="600" w:type="dxa"/>
            <w:vAlign w:val="bottom"/>
          </w:tcPr>
          <w:p>
            <w:pPr>
              <w:spacing w:after="0"/>
              <w:rPr>
                <w:sz w:val="18"/>
                <w:szCs w:val="18"/>
                <w:color w:val="auto"/>
              </w:rPr>
            </w:pP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28.4%</w:t>
            </w:r>
          </w:p>
        </w:tc>
        <w:tc>
          <w:tcPr>
            <w:tcW w:w="44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2.1 pts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Table games win per unit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10,045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1,504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Slot machine handle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4,697,463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5,400,697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(703,234)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Slot machine win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277,124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(30,104)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Slot machine win per unit per day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760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(42)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Las Vegas Operations: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Drop</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2,591,833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2,366,711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225,122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Table games win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567,014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589,093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(22,079)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Table games win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w:t>
            </w:r>
          </w:p>
        </w:tc>
        <w:tc>
          <w:tcPr>
            <w:tcW w:w="600" w:type="dxa"/>
            <w:vAlign w:val="bottom"/>
          </w:tcPr>
          <w:p>
            <w:pPr>
              <w:spacing w:after="0"/>
              <w:rPr>
                <w:sz w:val="18"/>
                <w:szCs w:val="18"/>
                <w:color w:val="auto"/>
              </w:rPr>
            </w:pP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24.9%</w:t>
            </w:r>
          </w:p>
        </w:tc>
        <w:tc>
          <w:tcPr>
            <w:tcW w:w="44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(3.0) pts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Table games win per unit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7,188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(157)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Slot machine handle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2,908,678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2,738,261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170,417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Slot machine win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170,027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7,393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Slot machine win per unit per day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184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22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Customers purchase general casino gaming chips at either the gaming tables or the casino cage. Chips purchased at the casino cage are excluded from table games drop and will increase the expected win percentage. With the increased purchases at the casino cage in our Macau general casino, we believe the relevant indicator of volumes in the general casino should be table games win.</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For the year ended December 31, 2012, room revenues were $480 million, an increase of $7.9 million (1.7%) compared to prior year room revenue of $472.1 million. Room revenue at our Las Vegas Operations increased $8.3 million (2.3%) to $362.3 million compared to the prior year room revenue of $354 million. In Las Vegas, we experienced an increase in room rates during the year ended December 31, 2012, however our occupancy rate decreased 3.2 percentage points, both compared to the prior year. We were able to achieve an increase in ADR as we adjusted rates to attract a higher quality customer who would take advantage of all aspects of our resort. Room revenue at our Macau Operations did not change significantly during the year ended December 31, 2012.</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9"/>
              </w:rPr>
              <w:t>Years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Macau</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$ 315</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$ 315</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2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9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93.0%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w:t>
            </w: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960" w:type="dxa"/>
            <w:vAlign w:val="bottom"/>
            <w:gridSpan w:val="3"/>
          </w:tcPr>
          <w:p>
            <w:pPr>
              <w:jc w:val="right"/>
              <w:ind w:right="612"/>
              <w:spacing w:after="0"/>
              <w:rPr>
                <w:sz w:val="20"/>
                <w:szCs w:val="20"/>
                <w:color w:val="auto"/>
              </w:rPr>
            </w:pPr>
            <w:r>
              <w:rPr>
                <w:rFonts w:ascii="Arial" w:cs="Arial" w:eastAsia="Arial" w:hAnsi="Arial"/>
                <w:sz w:val="18"/>
                <w:szCs w:val="18"/>
                <w:color w:val="auto"/>
              </w:rPr>
              <w:t>82.9%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86.1%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Macau</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$ 293</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$ 289</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Other non-casino revenues for the year ended December 31, 2012, included food and beverage revenues of $588.4 million, retail revenues of $261.6 million, entertainment revenues of $81.8 million, and other revenues from outlets such as the spa and salon, of $73.8 million. Other non-casino revenues for the year ended December 31, 2011, included food and beverage revenues of $547.7 million, retail revenues of $260.8 million, entertainment revenues of $82.2 million, and other revenues from outlets, including the spa and salon, of $71.8 million. Food and beverage revenues at our Las Vegas Operations increased $36.3 million (8%), while our Macau Operations increased $4.4 million (4.8%), as compared to the prior year. The increase in Las Vegas is due primarily to strong business in our beach club and nightclubs. Retail revenues at our Macau Operations increased $2.6 million (1.5%), while retail at our Las Vegas Operations decreased by $1.8 million (2.1%). The increase at Wynn Macau is due primarily to strong same-store sales growth combined with new stores from the first half of 2012. Retail revenues at our Las Vegas Operations decreased as we reconfigured the Encore retail area and rebranded several retail outlets. Entertainment revenues decreased $0.4 million (0.5%) from the prior year primarily due to a Las Vegas show that ended its run in November 2012 and another Las Vegas show that ended in April 2011.</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the year ended December 31, 2012, departmental expenses included casino expenses of $2,626.8 million, room expenses of $126.5 million, food and beverage expenses of $308.4 million, and entertainment, retail and other expenses of $189.8 million. Also included are general and administrative expenses of approximately $441.7 million and $18.1 million charged as a provision for doubtful accounts receivable. For the year ended December 31, 2011, departmental expenses included casino expenses of $2,686.4 million, room expenses of $125.3 million, food and beverage expenses of $283.9 million, and entertainment, retail and other expenses of $214.4 million. Also included are general and administrative expenses of approximately $389.1 million and approximately $33.8 million charged as a provision for doubtful accounts receivable. Casino expenses have decreased during the year ended December 31, 2012 due to lower volume which caused lower junket commission expense and lower gaming taxes at our Macau Operations (where we incur a gaming tax and other levies at a rate totaling 39% in accordance with the concession agreement). Although our room revenues increased $7.9 million (1.7%), room expenses increased only $1.2 million (1%) as the revenue increase was driven primarily by increased ADR. Food and beverage expenses increased over the prior year primarily due to additional nightclub promotional costs in Las Vegas. The decrease in entertainment, retail and other expenses was driven by the conversion of certain owned retail stores to leased outlets in Macau resulting in lower cost of sales. General and administrative expense increased primarily due to legal and other costs incurred related to the share redemption and litigation with a former stockholder, higher advertising costs, development and other activities. The provision for doubtful accounts decreased during the year ended December 31, 2012 as we recorded an adjustment of $30.9 million that benefitted our reserve estimates for casino accounts receivable based on the results of historical collection patterns and current collection trends.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began to incur pre-opening costs during October 2012 related to the design and planning for our Wynn Palace Resort. We expect our pre-opening costs to increase in the future as construction and development of Wynn Palace continues toward the expected completion in the first half of 2016. There were no pre-opening expenses incurred during the year ended December 31,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2012, was $373.2 million compared to $398 million for the year ended December 31, 2011. Depreciation expense decreased due to assets with a 5-year life being fully depreciated as of September 2011 at our Macau Operations and assets with a three and six year life becoming fully depreciated throughout 2011 at our Las Vegas Operations.</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construction of our resorts, costs incurred in the construction of the buildings, improvements to land and the purchases of assets for use in operations were capitalized. Once these resorts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Property charges and other for the year ended December 31, 2012, were $40 million compared to $130.6 million for the year ended December 31, 2011. Property charges and other for the year ended December 31, 2012 include the remodel of a Las Vegas restaurant, charges associated with the termination of a Las Vegas show that ended its run in November 2012, charges associated with the reconfiguration of Las Vegas retail areas and miscellaneous renovations and abandonments at our resorts.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Property charges and other for the year ended December 31, 2011 include a charge of $109.6 million reflecting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 2022 inclusive, for a total of $135 million. The amount reflected in the accompanying Consolidated Statements of Income has been discounted using our then estimated borrowing rate over the time period of the remaining committed payments. Also included are the write off of certain off-site golf memberships by Wynn Las Vegas, miscellaneous renovations and abandonments at our resorts, including modifications of the Encore at Wynn Las Vegas and Wynn Macau retail esplanades, closure of the Blush nightclub and the write off of certain costs related to a show that ended its run in Las Vegas in April 2011.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Interest income was $12.5 million and $7.7 million for the years ended December 31, 2012 and 2011, respectively. This increase in mainly due to higher cash balances during 2012. During 2012 and 2011, our short-term investment strategy was to preserve capital while retaining sufficient liquidity. Beginning in April 2011, we have invested in certain corporate bond securities and commercial paper, in addition to holding money-market accounts, U.S. Treasury Bills and bank time deposits with a maturity of three months or less, which has contributed to the increase in interest income.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Interest expense was $288.8 million, net of capitalized interest of $2 million for the year ended December 31, 2012, compared to $229.9 million, net of capitalized interest of $0, for the year ended December 31, 2011. Our interest expense increased compared to the prior year primarily due to the issuance of the $1.94 billion Redemption Note by Wynn Resorts, the issuance of the Wynn Las Vegas $900 million 5 3/8% first mortgage notes in March 2012, and the increase in the Wynn Macau term loan offset by the reduction of $370.9 million in Wynn Las Vegas term loan borrowings, all as described in Item 8—“Financial Statements and Supplementary Data”, Note 8—“Long-Term Debt”.</w:t>
      </w:r>
    </w:p>
    <w:p>
      <w:pPr>
        <w:spacing w:after="0" w:line="143" w:lineRule="exact"/>
        <w:rPr>
          <w:sz w:val="20"/>
          <w:szCs w:val="20"/>
          <w:color w:val="auto"/>
        </w:rPr>
      </w:pPr>
    </w:p>
    <w:p>
      <w:pPr>
        <w:ind w:right="400" w:firstLine="456"/>
        <w:spacing w:after="0" w:line="323" w:lineRule="auto"/>
        <w:rPr>
          <w:sz w:val="20"/>
          <w:szCs w:val="20"/>
          <w:color w:val="auto"/>
        </w:rPr>
      </w:pPr>
      <w:r>
        <w:rPr>
          <w:rFonts w:ascii="Arial" w:cs="Arial" w:eastAsia="Arial" w:hAnsi="Arial"/>
          <w:sz w:val="15"/>
          <w:szCs w:val="15"/>
          <w:color w:val="auto"/>
        </w:rPr>
        <w:t>Changes in the fair value of our interest rate swaps are recorded as an increase (decrease) in swap fair value in each period. We recorded a gain of $1 million for the year ended December 31, 2012, resulting from the changes in the fair value of our interest rate swaps during the year. For the year ended December 31, 2011, we recorded a gain of $14.2 million resulting from the increase in the fair value of interest rate swaps between December 31, 2010 and December 31, 2011. For further information on our interest rate swaps, see Item 7A—“Quantitative and Qualitative Disclosures about Market Risk.”</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year ended December 31, 2012, we recorded a tax expense of $4.3 million. Our income tax expense is primarily related to the timing of the payment of dividends from Macau, stock option exercises and capital expenditures. Since June 30, 2010, we have no longer considered our portion of the tax earnings and profits of Wynn Macau, Limited to be permanently reinvested. No additional U.S. tax provision has been made with respect to amounts not considered permanently reinvested as we anticipate that U.S. foreign tax credits should be sufficient to eliminate any U.S. tax provision relating to such repatriation. We have not provided deferred U.S. income taxes or foreign withholding taxes on temporary differences which are considered indefinitely reinvested. On November 30, 2010, Wynn Macau received a second 5-year exemption from Macau’s 12% Complementary Tax on casino gaming profits, thereby exempting the casino gaming profits of Wynn Macau through December 31, 2015. Accordingly, we were exempted from the payment of approximately $87.1 million and $82.7 million in such taxes for the years ended December 31, 2012 and 2011, respectively. Our non-casino profits remain subject to the Macau Complementary Tax and casino winnings remain subject to the Macau Special Gaming tax and other levies at a rate totaling 39% in accordance with our concession agreement.</w:t>
      </w:r>
    </w:p>
    <w:p>
      <w:pPr>
        <w:spacing w:after="0" w:line="12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April 2012, the Company reached an agreement with the Appellate division of the IRS regarding issues raised during the examination of the 2006 through 2009 U.S. income tax returns. The settlement with the Appellate division did not impact the Company’s unrecognized tax benefits. The settlement of the 2006 through 2009 examination issues resulted in a cash tax payment of $1.3 million and the utilization of $3.1 million and $0.9 million in foreign tax credit and general business credit carryforwards,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recorded net income attributable to noncontrolling interests of $226.7 million for the year ended December 31, 2012, compared to $211.7 million for the year ended December 31, 2011. The increase is attributable to the noncontrolling interests’ share of net income from Wynn Macau, Limited for each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(amounts in thousands) summarizes adjusted property EBITDA for our Macau and Las Vegas Operations as reviewed by management and summarized in Item 8—“Financial Statements and Supplementary Data”, Note 17 “Segment Information.” That footnote also presents a reconciliation of adjusted property EBITDA to net income.</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4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2013</w:t>
            </w:r>
          </w:p>
        </w:tc>
        <w:tc>
          <w:tcPr>
            <w:tcW w:w="144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Macau Operations</w:t>
            </w:r>
          </w:p>
        </w:tc>
        <w:tc>
          <w:tcPr>
            <w:tcW w:w="16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$ 1,324,119</w:t>
            </w:r>
          </w:p>
        </w:tc>
        <w:tc>
          <w:tcPr>
            <w:tcW w:w="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$ 1,167,340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1,196,232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Las Vegas Operations</w:t>
            </w:r>
          </w:p>
        </w:tc>
        <w:tc>
          <w:tcPr>
            <w:tcW w:w="16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486,682</w:t>
            </w:r>
          </w:p>
        </w:tc>
        <w:tc>
          <w:tcPr>
            <w:tcW w:w="5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408,472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439,036</w:t>
            </w:r>
          </w:p>
        </w:tc>
        <w:tc>
          <w:tcPr>
            <w:tcW w:w="100" w:type="dxa"/>
            <w:vAlign w:val="bottom"/>
          </w:tcPr>
          <w:p>
            <w:pPr>
              <w:spacing w:after="0"/>
              <w:rPr>
                <w:sz w:val="19"/>
                <w:szCs w:val="19"/>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Property EBITDA</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$ 1,810,801</w:t>
            </w:r>
          </w:p>
        </w:tc>
        <w:tc>
          <w:tcPr>
            <w:tcW w:w="19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$ 1,575,812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1,635,268</w:t>
            </w:r>
          </w:p>
        </w:tc>
      </w:tr>
      <w:tr>
        <w:trPr>
          <w:trHeight w:val="20"/>
        </w:trPr>
        <w:tc>
          <w:tcPr>
            <w:tcW w:w="4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For the year ended December 31, 2013, the adjusted property EBITDA at both our Macau and Las Vegas Operations benefitted from stronger operating results primarily in the casino department due to an increase in table games volume and win percentage. Refer to the discussions above regarding the specific details of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Macau and Las Vegas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Net cash provided from operations for the year ended December 31, 2013 was $1.7 billion compared to $1.2 billion provided by operations for the year ended December 31, 2012. Cash flow from operations improved due to significant changes in ordinary working capital accounts such as accounts payables and accrued expenses. Also benefitting operating cash flow was increased operating income that was driven primarily by stronger operating results in the casino department.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During the year ended December 31, 2012, our operating activities provided $1.2 billion compared to $1.5 billion during the year ended December 31, 2011. This decrease is primarily due to lower casino department profitability and changes in ordinary working capital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Net cash used in investing activities for the year ended December 31, 2013 was $677.6 million compared to $344.9 million for the year ended December 31, 2012. Net cash used in investing activities was primarily driven by capital expenditures, net of construction payables and retention of $506.8 million and $241 million for the years ended December 31, 2013 and 2012, respectively. During the year ended December 31, 2013, capital expenditures included $381.1 million in site preparation costs and piling work for Wynn Palace, along with capital expenditures for various other renovations at our resorts. Capital expenditures during the year ended December 31, 2012 primarily related to various renovations at our resorts, a one-time payment of $50 million in consideration of an unrelated third party’s relinquishment of certain rights in and to any future development on the Cotai land that we are using for constructing Wynn Palace, as well as site preparation costs for Wynn Palace.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year ended December 31, 2011, our net cash used in investing activities was $459.1 million. Our primary use of cash was for the investment of $215.5 million in corporate debt securities and commercial paper, net of maturities, and $184.1 million in capital expenditures primarily for room and suite remodel at Wynn Las Vegas and various other renovations at our resorts.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Net cash flows used in financing activities were $291.1 million for the year ended December 31, 2013, which was primarily attributable to payment of dividends of $1,035 million and the redemption of first mortgage notes of $500 million, offset by proceeds from the issuance of senior notes of $1,100 million and the increase in our senior term loan facility of $200 million.</w:t>
      </w:r>
    </w:p>
    <w:p>
      <w:pPr>
        <w:spacing w:after="0" w:line="140"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Net cash flows used in financing activities were $382.5 million for the year ended December 31, 2012, which was primarily attributable to principal payments of $1,022.8 million on term loan facilities and payment of dividends of $955.5 million, partially offset by proceeds of $1,648.6 million from the issuance of first mortgage notes of $900 million and proceeds of $748.6 million from the fully funded senior term loan facility.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2011, we used cash flows in financing activities of $1,057.6 million primarily attributable to payment of dividends.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October 16, 2013, Wynn Macau, Limited (“WML”), an indirect subsidiary of Wynn Resorts, Limited, entered into an Indenture, dated as of October 16, 2013 (the “WML Indenture”), between WML and Deutsche Bank Trust Company Americas, as trustee, pursuant to which WML issued $600 million aggregate principal amount of 5 1/4% Senior Notes due 2021 (the “2021 Notes”). WML received net proceeds of approximately $591.5 million from the offering of the 2021 Notes after deducting commissions and estimated expenses of the offering and will use the net proceeds for working capital requirements and general corporate purposes.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WML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Indenture contain customary events of default, including, but not limited to: default for 30 days in the payment when due of interest on the 2021 Notes; default in the payment when due of the principal of, or premium, if any, on the 2021 Notes; failure to comply with any payment obligations relating to the repurchase by WML of the 2021 Notes upon a change of control; failure to comply with certain covenants in the WML Indenture; certain defaults on certain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indebtedness; failure to pay judgments against WML or certain subsidiaries that, in the aggregate, exceed $50 million; and certain events of bankruptcy or insolvency. In the case of an event of default arising from certain events of bankruptcy or insolvency, all 2021 Notes then outstanding will become due and payable immediately without further action or notice.</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year ended December 31, 2012, Wynn Macau repaid $150.4 million of borrowings under the Wynn Macau Senior Revolving Credit Facility. On June 27, 2012, the Wynn Macau Senior Revolving Credit Facility matured with an outstanding balance of $0.</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July 31, 2012, Wynn Macau amended and restated its credit facilities, dated September 14, 2004 (as so amended and restated, the “Amended Wynn Macau Credit Facilities”), and appointed Bank of China Limited, Macau Branch as intercreditor agent, facilities agent and security agent. The Amended Wynn Macau Credit Facilities took effect on July 31, 2012 and expand availability under Wynn Macau’s senior secured bank facility to $2.3 billion equivalent, consisting of a $750 million equivalent fully funded senior secured term loan facility and a $1.55 billion equivalent senior secured revolving credit facility. Borrowings under the Amended Wynn Macau Credit Facilities, which consist of both Hong Kong Dollar and United States Dollar tranches, were used to refinance Wynn Macau’s existing indebtedness, and will be used to fund the design, development, construction and pre-opening expenses of Wynn Palace, and for general corporate purposes.</w:t>
      </w:r>
    </w:p>
    <w:p>
      <w:pPr>
        <w:spacing w:after="0" w:line="14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On July 30, 2013, Wynn Macau exercised its option to increase the senior term loan facility by $200 million equivalent pursuant to the terms and provisions of the Amended Wynn Macau Credit Facilities. The $200 million equivalent was fully funded as of July 31, 2013 and is required to be used for the payment of certain Wynn Palace related construction and development costs.</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term loan facility matures in July 2018, and the revolving credit facility matures in July 2017. The principal amount of the term loan is required to be repaid in two equal installments in July 2017 and July 2018. The senior secured facilities will bear interest for the first six months after closing at LIBOR or HIBOR plus a margin of 2.50% and thereafter will be subject to LIBOR or HIBOR plus a margin of between 1.75% to 2.50% based on Wynn Macau’s leverage ratio.</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Borrowings under the Amended Wynn Macau Credit Facilities are guaranteed by Palo Real Estate Company Limited (“Palo”), a subsidiary of Wynn Macau, and by certain subsidiaries of the Company that own equity interests in Wynn Macau, and are secured by substantially all of the assets of Wynn Macau, the equity interests in Wynn Macau and substantially all of the assets of Palo.</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connection with amending the Wynn Macau credit facilities, we expensed $17.7 million and capitalized $33.2 million of financing costs in the year ended December 31, 2012.</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Amended Wynn Macau Credit Facilities contain a requirement that the Company must make mandatory repayments of indebtedness from specified percentages of excess cash flow. If the Wynn Macau subsidiary has a Consolidated Leverage Ratio, as defined in the Amended Wynn Macau Credit Facilities, of greater than 4.0 to 1, such repayment is defined as 50% of Excess Cash Flow, as defined in the Amended Wynn Macau Credit Facilities. If the Consolidated Leverage Ratio is equal or less than 4.0 to 1, then no excess cash flow prepayment is required. Based on current estimates the Company does not believe that the Wynn Macau Consolidated Leverage Ratio during the year ending December 31, 2014 will exceed 4.0 to 1. Accordingly, the Company does not expect to make any mandatory repayments pursuant to this requirement during 2014.</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Amended Wynn Macau Credit Facilities contain customary covenants restricting certain activities including, but not limited to: the incurrence of additional indebtedness, the incurrence or creation of liens on any of its property, sales and leaseback transactions, the ability to dispose of assets, and make loans or other investments. In addition, Wynn Macau was required by the financial covenants to maintain a Leverage Ratio, as defined in the Amended Wynn Macau Credit Facilities, of not greater than 4.0 to 1 as of December 31, 2013,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 Interest Coverage Ratio, as defined, of not less than 2.00 to 1. Management believes that Wynn Macau was in compliance with all covenants at December 31, 2013.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On May 15, 2013, Wynn Las Vegas, LLC commenced the tender offer for any and all of the outstanding $500 million aggregate principal amount of the 2017 Notes of Wynn Las Vegas and Wynn Las Vegas Capital Corp., an indirect wholly owned subsidiary of Wynn Resorts, Limited (together with Wynn Las Vegas, the “Issuers”), and a solicitation of consents to certain proposed amendments to the indenture (the “2017 Indenture”) governing the 2017 Notes.</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tender offer expired on May 21, 2013 and at the time of expiration, Wynn Las Vegas had received valid tenders with respect to approximately $274.7 million of the $500 million aggregate principal amount of the 2017 Notes outstanding. On May 22, 2013, note holders who validly tendered their 2017 Notes received the total consideration of $1,071.5 for each $1,000 principal amount of 2017 Notes, the premium portion of which totaled approximately $19.6 million. In accordance with accounting standards, the tender offer premium was expensed and is included in loss on extinguishment of debt in the accompanying Consolidated Statements of Income. In addition, upon the tender offer completion, the Issuers entered into a supplemental indenture, which eliminated substantially all of the restrictive covenants and certain events of default from the 2017 Indenture.</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Also in connection with this transaction, unamortized financing costs and original issue discount related to the 2017 Notes totaling $6.7 million were expensed and are included in loss on extinguishment of debt in the accompanying Consolidated Statements of Income.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 2013, the Company redeemed the untendered 2017 Notes principal amount of $225.3 million. The redemption price was equal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103.938% of the aggregate principal amount of the 2017 Notes plus accrued and unpaid interest on November 1, 2013. The total redemption fees paid were $8.9</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million and we expensed $4.9 million of unamortized financing costs and original issue discount.</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Separately, on May 22, 2013, the Issuers completed the issuance of $500 million aggregate principal amount of 4 1/4% Senior Notes due 2023 (the “2023 Notes”) pursuant to an indenture, dated as of May 22, 2013 (the “2023 Indenture”), among the Issuers, all of the Issuers’ subsidiaries, other than Wynn Las Vegas Capital Corp. which was a co-issuer, and U.S. Bank National Association, as trustee. The 2023 Notes were issued at par. The Issuers used the net proceeds from the 2023 Notes to cover the cost of purchasing the 2017 Notes tendered in the tender offer. In addition, the Issuers satisfied and discharged the 2017 Indenture and, in November 2013, used the remaining net proceeds to redeem any and all of the 2017 Notes not previously tendered. In connection with the issuance of the 2023 Notes, the Company capitalized approximately $4.1 million of financing costs.</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2023 Notes will mature on May 30, 2023 and bear interest at the rate of 5 1/4% per annum. The Issuers may redeem all or a portion of the 2023 Notes at any time, which redemption price includes a make-whole premium if redeemed before February 28, 2023. The 2023 Notes are also subject to mandatory redemption requirements imposed by gaming laws and regulations of gaming authorities in Nevada.</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2023 Indenture contains covenants limiting the Issuers’ and the Issuers’ restricted subsidiaries’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2023 Notes are the Issuers’ senior unsecured obligations and rank pari passu in right of payment with the Issuers’ outstanding 7 7/8% First Mortgage Notes due 2020 (“7 7/8% 2020 Notes”), 7 3/4% First Mortgage Notes due 2020 (the “7 3/4% 2020 Notes”) and 5 3/8% First Mortgage Notes Due 2022 (the “2022 Notes” and, together with the 7 7/8% 2020 Notes and 7 3/4% Notes, the “Existing Notes”). The 2023 Notes are secured by a first priority pledge of the Company’s equity interests, the effectiveness of which is subject to the prior approval of the Nevada gaming authorities. The equity interests of the Company also secure the Existing Notes. If Wynn Resorts, Limited receives an investment grade rating from one or more ratings agencies, the first priority pledge securing the 2023 Notes will be released.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12, 2012, the Issuers issued, in a private offering, $900 million aggregate principal amount of 2022 Notes pursuant to an Indenture, dated as of March 12, 2012 (the “2022 Indenture”). A portion of the proceeds were used to repay all amounts outstanding under the Wynn Las Vegas term loan facilities. In October 2012, the Issuers commenced an offer to exchange all of the 2022 Notes for notes registered under the Securities Act of 1933, as amended. The exchange offer closed on November 6, 2012.</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2022 Notes will mature on March 15, 2022 and bear interest at the rate of 5 3/8%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The 2022 Notes are also subject to mandatory redemption requirements imposed by gaming laws and regulations of gaming authorities in Nevada.</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Concurrently with the issuance of the 2022 Notes, Wynn Las Vegas, LLC entered into an eighth amendment (“Amendment No. 8”) to its Amended and Restated Credit Agreement (the “Wynn Las Vegas Credit Agreement”). Amendment No. 8 amended the Wynn Las Vegas Credit Agreement to, among other things, permit the issuance of the 2022 Notes. With the issuance of the 2022 Notes, Wynn Las Vegas prepaid all term loans under the Wynn Las Vegas Credit Agreement, terminated all of its revolving credit commitments that were due to expire in 2013, and terminated all but $100 million of its revolving credit commitments expiring in 2015. In connection with this transaction, Wynn Las Vegas expensed deferred financing costs of $4.8 million.</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17, 2012, Wynn Las Vegas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LLC did not incur any early termination penalties in connection with the termination.</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connection with the termination, the Company expensed $2.6 million of previously deferred financing costs and third party fees related to the Wynn Las Vegas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more information on our outstanding first mortgage notes, see Item 8—“Financial Statements and Supplementary Data”, Note 8 “Long-Term Debt.”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December 31, 2013, we had approximately $2,435 million of cash and cash equivalents and $254.4 million of available-for-sale investments in foreign and domestic debt securities with maturities of up to 2 years. Our cash is available for operations, debt service and retirement, development activities, general corporate purposes and enhancements to our resorts. In addition, we had $199.9 million of restricted cash for Wynn Palace related construction and development costs. Of these amounts, Wynn Macau, Limited and its subsidiaries held $1,822.3 million and $4.9 million in cash and available-for-sale investments, respectively, of which we own 72.3%. If our portion of this cash was repatriated to the U.S. on December 31, 2013, approximately two-thirds of this amount would be subject to U.S. tax in the year of repatriation. Wynn Resorts, Limited, which is not 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guarantor of the debt of its subsidiaries, held $381.6 million (including cash of its subsidiaries other than those of Wynn Las Vegas and Wynn Macau) and $249.5 million of cash and available-for-sale investments, respectively. Wynn Las Vegas LLC held cash balances of $231.2 million.</w:t>
      </w:r>
    </w:p>
    <w:p>
      <w:pPr>
        <w:spacing w:after="0" w:line="8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July 30, 2013, Wynn Macau exercised its option to increase the senior term loan facility by $200 million equivalent pursuant to the terms and provisions of the Amended Wynn Macau Credit Facilities. The $200 million equivalent was fully funded as of July 31, 2013 and is required to be used for the payment of certain Wynn Palace related construction and development costs.</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believe that cash flow from operations, availability under our Wynn Macau credit facility and our existing cash balances will be adequate to satisfy our anticipated uses of capital during 2014. If any additional financing becomes necessary, we cannot provide assurance that future borrowings will be available.</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Cash and cash equivalents include cash in bank and fixed deposits, investments in money market funds, domestic and foreign bank time deposits and commercial paper, all with maturities of less than 90 days.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Based on the Board of Directors’ finding of “unsuitability,” on February 18, 2012, we redeemed and cancelled Aruze USA, Inc.’s 24,549,222 shares of Wynn Resorts’ common stock. Following a finding of “unsuitability,” our articles of incorporation authorize redemption at “fair value” of the shares held by unsuitable persons. We engaged an independent financial advisor to assist in the fair value calculation and concluded that a discount to the then current trading price was appropriate because of, among other things, restrictions on most of the shares which are subject to the terms of an existing stockholder agreement. Pursuant to our articles of incorporation, we issued the Redemption Price Promissory Note (the “Redemption Note”) to Aruze USA, Inc., a former stockholder and related party, in redemption of the shares. The Redemption Note has a principal amount of approximately $1.94 billion, matures on February 18, 2022 and bears interest at the rate of 2% per annum, payable annually in arrears on each anniversary of the date of the Redemption Note. We may, in our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of its affiliates in respect of indebtedness for borrowed money of any kind or nature. Aruze USA, Inc., Universal Entertainment Corporation and Kazuo Okada have challenged the redemption of Aruze USA, Inc.’s shares and we are currently involved in litigation with those parties as well as related shareholder derivative litigation. The outcome of these various proceedings cannot be predicted. If any of these proceedings were to be determined adversely to us or a settlement involving a payment of a material sum of money were to occur, there could be a material adverse effect on our financial condition and results of operations. See Item 1A—“Risk Factors”, Item 3—“Legal Proceedings” and Item 8—“Financial Statements and Supplementary Data”, Note 16 “Commitments and Contingencies”.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Limited</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During the years ended December 31, 2013, 2012 and 2011, we paid cash dividends totaling $7.00 per share, $9.50 per share and $6.50 per share, respectively.</w:t>
      </w:r>
    </w:p>
    <w:p>
      <w:pPr>
        <w:spacing w:after="0" w:line="132"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Our Board of Directors has authorized an equity repurchase program of up to $1.7 billion. The repurchase program may include repurchases from time to time through open market purchases, in privately negotiated transactions, and under plans complying with Rules 10b5-1 and 10b-18 under the Exchange Act. As of December 31, 2013, we had purchased a cumulative total of 12,978,085 shares of our common stock for a net cost of $1.1 billion under the program, with no purchases made under this program during the years ended December 31, 2013, 2012, and 2011.</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2013 and 2012, the Company repurchased a total of 114,355 (8,796 shares were purchased during the fourth quarter 2013) and 7,640 shares, respectively, in satisfaction of tax withholding obligations on vested restricted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2013, we had unsecured outstanding letters of credit totaling $16.7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2013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518"/>
              <w:spacing w:after="0"/>
              <w:rPr>
                <w:sz w:val="20"/>
                <w:szCs w:val="20"/>
                <w:color w:val="auto"/>
              </w:rPr>
            </w:pPr>
            <w:r>
              <w:rPr>
                <w:rFonts w:ascii="Arial" w:cs="Arial" w:eastAsia="Arial" w:hAnsi="Arial"/>
                <w:sz w:val="14"/>
                <w:szCs w:val="14"/>
                <w:b w:val="1"/>
                <w:bCs w:val="1"/>
                <w:color w:val="auto"/>
                <w:w w:val="89"/>
              </w:rPr>
              <w:t>Payments Due By Period</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Less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Than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8"/>
              </w:rPr>
              <w:t>1 to 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98"/>
              </w:rPr>
              <w:t>4 to 5</w:t>
            </w:r>
          </w:p>
        </w:tc>
        <w:tc>
          <w:tcPr>
            <w:tcW w:w="440" w:type="dxa"/>
            <w:vAlign w:val="bottom"/>
          </w:tcPr>
          <w:p>
            <w:pPr>
              <w:spacing w:after="0"/>
              <w:rPr>
                <w:sz w:val="12"/>
                <w:szCs w:val="12"/>
                <w:color w:val="auto"/>
              </w:rPr>
            </w:pPr>
          </w:p>
        </w:tc>
        <w:tc>
          <w:tcPr>
            <w:tcW w:w="62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After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1 Year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Arial" w:cs="Arial" w:eastAsia="Arial" w:hAnsi="Arial"/>
                <w:sz w:val="14"/>
                <w:szCs w:val="14"/>
                <w:b w:val="1"/>
                <w:bCs w:val="1"/>
                <w:color w:val="auto"/>
                <w:w w:val="94"/>
              </w:rPr>
              <w:t>Years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w w:val="94"/>
              </w:rPr>
              <w:t>Years</w:t>
            </w:r>
          </w:p>
        </w:tc>
        <w:tc>
          <w:tcPr>
            <w:tcW w:w="44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14"/>
                <w:szCs w:val="14"/>
                <w:b w:val="1"/>
                <w:bCs w:val="1"/>
                <w:color w:val="auto"/>
              </w:rPr>
              <w:t>5 Years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 obligations</w:t>
            </w:r>
          </w:p>
        </w:tc>
        <w:tc>
          <w:tcPr>
            <w:tcW w:w="1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981.5</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$5,608.5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6,593.9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Fixed interest payments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539.7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539.7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2,010.8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leases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2,297.8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Leasehold interest in land</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Other[2]</w:t>
            </w: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4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commitments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1,436.1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2,106.2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1,612.3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6,383.2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11,537.8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or HIBOR rates at December 31, 2013. Such rates continue at historical lows as of December 31, 2013. Actual rates will vary.</w:t>
      </w:r>
    </w:p>
    <w:p>
      <w:pPr>
        <w:ind w:left="460" w:right="12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includes open purchase orders, future charitable contributions, fixed gaming tax payments in Macau and other contracts. As further discussed in Item 8—“Financial Statements and Supplementary Data”, Note 15 “Income Taxes”, of this report, we had $89.5 million of unrecognized tax benefits as of December 31, 2013. Due to the inherent uncertainty of the underlying tax positions, it is not practicable to assign this liability to any particular year and therefore it is not included in the table above as of December 31, 2013.</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Wynn Resorts is a holding company and, as a result, our ability to pay dividends is highly dependent on our ability to obtain funds and our subsidiaries’ ability to provide funds to us. Restrictions imposed by our Wynn Macau and Wynn Las Vegas debt instruments significantly restrict our ability to pay dividends. Specifically, Wynn Las Vegas, LLC and certain of its subsidiaries are restricted under the indentures governing its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While the Amended Wynn Macau Credit Facilities contain similar restrictions, Wynn Macau is currently in compliance with all requirements, namely satisfaction of its leverage ratio, which must be met in order to pay dividends and is presently able to pay dividends in accordance with the Amended Wynn Macau Credit Facilities.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Macau’s debt service obligations with existing cash, operating cash flow and availability under the Amended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 Certain legal matters may also impact our liquidity. As described in our Notes to Consolidated Financial Statements, Note 16—“Commitments and Contingencies”, Elaine Wynn has submitted a cross claim against Steve Wynn and Kazuo Okada. The Indentures for Wynn Las Vegas provide that if Stephen A. Wynn, together with certain related parties, in the aggregate beneficially owns a lesser percentage of the outstanding common stock of the Company than are beneficially owned by any other person, a change of control will have occurred. If Elaine Wynn prevails in her cross claim, Stephen A. Wynn would not beneficially own or control Elaine Wynn’s shares and a change in control may result under the Wynn Las Vegas debt documents.</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 Any repurchases might be made using a variety of methods, which may include open market purchases, privately negotiated transactions, or by any combination of those methods, in compliance with applicable securities laws and regulations.</w:t>
      </w:r>
    </w:p>
    <w:p>
      <w:pPr>
        <w:spacing w:after="0" w:line="11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the Company.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February 18, 2012, the Board of Directors of Wynn Resorts determined that Aruze USA, Inc., Universal Entertainment Corporation and Mr. Kazuo Okada are “unsuitable” under our articles of incorporation and redeemed and cancelled all of Aruze USA, Inc.’s, 24,549,222 shares of Wynn Resorts’ common stock. Pursuant to our articles of incorporation, we issued the Redemption Note to Aruze USA, Inc. in redemption of the shares. For additional information on the redemption and the Redemption Note, see Notes to Consolidated Financial Statements, Note 16—“Commitments and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A summary of our significant accounting policies are presented in Note 2 to the Consolidated Financial Statements. Certain of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our resorts, significant start-up costs are incurred and charged to pre-opening costs through their respective openings. Once our resorts open, expenses associated with the opening of the resorts are no longer charged as pre-opening costs.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construction and development stage, direct costs such as those incurred for the design and construction of our resorts,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resorts, we began recognizing depreciation expense on the resort’s fixed assets. The remaining estimated useful lives of assets are periodically reviewed.</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leasehold interest in land in Macau under the land concession contracts entered into in August 2004 and May 2012 are being amortized over 25 years, to the initial term of the concession contract, which currently terminate in August 2029 and May 2037. Depreciation on a majority of the assets comprising Wynn Macau commenced in September of 2006, when Wynn Macau opened. The maximum useful life of assets at Wynn Macau is deemed to be the remaining life of the land concession which currently expires in August 2029, or the gaming concession which currently expires in June 2022. Consequently, depreciation related to Wynn Macau will generally be charged over shorter periods when compared to Wynn Las Vegas.</w:t>
      </w:r>
    </w:p>
    <w:p>
      <w:pPr>
        <w:spacing w:after="0" w:line="1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w:t>
      </w:r>
    </w:p>
    <w:p>
      <w:pPr>
        <w:spacing w:after="0" w:line="85"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We also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Price Promissory Note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connection with the redemption of the shares previously held by Aruze USA, Inc., we recorded the fair value of the Redemption Note of approximately $1.94 billion in accordance with applicable accounting guidance. We utilized an independent third party valuation to assist in the determination of this fair value. In determining this fair value, we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83" w:lineRule="auto"/>
        <w:rPr>
          <w:sz w:val="20"/>
          <w:szCs w:val="20"/>
          <w:color w:val="auto"/>
        </w:rPr>
      </w:pPr>
      <w:r>
        <w:rPr>
          <w:rFonts w:ascii="Arial" w:cs="Arial" w:eastAsia="Arial" w:hAnsi="Arial"/>
          <w:sz w:val="16"/>
          <w:szCs w:val="16"/>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the Aruze USA, Inc. (at the time a stockholder of Wynn Resorts), Universal Entertainment Corporation (Aruze USA, Inc.’s parent company), and Kazuo Okada (the majority shareholder of Universal Entertainment Corporation and former director of the Company and certain of its subsidiaries and affiliates) (collectively, the “Okada Parties”) (see Note 16—“Commitments and Contingencies”); the outcome of on-going investigations of Aruze USA, Inc. by the United States Attorney’s Office, the U.S. Department of Justice and the Nevada Gaming Control Board; and other potential legal and regulatory actions. In addition, in the furtherance of various future business objectives, we considered our ability, at our sole option, to prepay the Redemption Note at any time in accordance with its terms without</w:t>
      </w:r>
    </w:p>
    <w:p>
      <w:pPr>
        <w:spacing w:after="0"/>
        <w:rPr>
          <w:sz w:val="20"/>
          <w:szCs w:val="20"/>
          <w:color w:val="auto"/>
        </w:rPr>
      </w:pPr>
      <w:r>
        <w:rPr>
          <w:rFonts w:ascii="Arial" w:cs="Arial" w:eastAsia="Arial" w:hAnsi="Arial"/>
          <w:sz w:val="16"/>
          <w:szCs w:val="16"/>
          <w:color w:val="auto"/>
        </w:rPr>
        <w:t>penalty. Accordingly, we reasonably determined that the estimated life of the Redemption Note could be less than the contractual life of the Redemption Note.</w:t>
      </w:r>
    </w:p>
    <w:p>
      <w:pPr>
        <w:spacing w:after="0" w:line="1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determination of the appropriate discount rate to be used in the estimated present value, the Redemption Note’s subordinated position relative to all other debt in our capital structure and credit ratings associated our traded debt were considered. Observable inputs for the risk free rate based on Federal Reserve rates for U.S. Treasury securities and credit risk spread based on a yield curve index of similarly rated debt were used. As a result of this analysis, we concluded the Redemption Notes’ stated rate of 2% approximated a market rate.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Investments and Fair Value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made investments in domestic and foreign corporate debt securities and commercial paper. Our investment policy requires investments to be investment grade and limits the amount of exposure to any one issuer with the objective of minimizing the potential risk of principal loss. We determine the appropriate classification (held-to-maturity/available-for-sale) of our investments at the time of purchase and reevaluate such designation as of each balance sheet date. Our investments are reported at fair value, with unrealized gains and losses, net of tax, reported in other comprehensive income (loss).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measure certain of our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obtain pricing information in determining the fair value of our available-for-sale securities from independent pricing vendors. Based on our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We have not made adjustments to such prices. Each quarter, we validate the fair value pricing methodology to determine the fair value consistent with applicable accounting guidance and to confirm that the securities are classified properly in the fair value hierarchy. We also compare the pricing received from our vendors to independent sources for the same or similar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substantial portion of our outstanding receivables relates to casino credit play. Credit play, through the issuance of markers, represents a significant portion of the table games volume at our Las Vegas Operations. While offered, the issuance of credit at our Macau Operations is less significant when compared to Las Vegas.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are generally legally enforceable instruments in the United States, and United States assets of foreign customers may be used to satisfy judgments entered in the United States.</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4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As of December 31, 2013 and 2012, approximately 86% and 84% of our casino accounts receivable were owed by customers from foreign countries, primarily in Asia. In addition to enforceability issues, the collectability of markers given by foreign customers is affected by a number of factors including changes in currency exchange rates and economic conditions in the customers’ home countries.</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regularly evaluate our reserve for bad debts based on a specific review of customer accounts as well as management’s prior experience with collection trends in the casino industry and current economic and business conditions. In determining our allowance for estimated doubtful accounts receivable, we apply loss factors based on historical marker collection history to aged account balances and we specifically analyze the collectability of each account with a balance over a specified dollar amount, based upon the age, the customer’s financial condition, collection history and any other known information.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key statistics related to our casino accounts receivable (amounts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3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 accounts receivable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252,998</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275,302</w:t>
            </w:r>
          </w:p>
        </w:tc>
        <w:tc>
          <w:tcPr>
            <w:tcW w:w="2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73,561</w:t>
            </w:r>
          </w:p>
        </w:tc>
        <w:tc>
          <w:tcPr>
            <w:tcW w:w="5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101,548</w:t>
            </w:r>
          </w:p>
        </w:tc>
        <w:tc>
          <w:tcPr>
            <w:tcW w:w="2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w w:val="96"/>
              </w:rPr>
              <w:t>Percentage of casino accounts receivable outstanding over 180 days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30.3%</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r>
    </w:tbl>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reserve for doubtful casino accounts receivable is based on our estimates of amounts collectible and depends on the risk assessments and judgments by management regarding realizability, the state of the economy and our credit policy. In June 2013, the Company recorded an adjustment to its reserve estimates for casino accounts receivable based on the results of historical collection patterns and current collection trends. For the year ended December 31, 2013, this adjustment benefitted operating income by $14.9 million and net income attributable to Wynn Resorts, Limited by $12 million (or $0.12 per share on a fully diluted basis). For the year ended December 31, 2012, this adjustment benefitted operating income by $30.9 million and net income attributable to Wynn Resorts, Limited by $23.3 million (or $0.22 per share on a fully diluted basis). Our reserve methodology is applied similarly to credit extended at each of our resorts. As of December 31, 2013 and 2012, approximately 24.8% and 30.8%, respectively, of our outstanding casino account receivable balance originated at our Macau Operations.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At December 31, 2013, a 100 basis-point change in the allowance for doubtful accounts as a percentage of casino accounts receivable would change the provision for doubtful accounts by approximately $2.5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expense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As of December 31, 2013, changes in our interest rate swap fair values are being recorded in our Consolidated Statements of Income, as the swaps do not qualify for hedge accounting.</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measure the fair value of our interest rate swaps on a recurring basis. We categorize our interest rate swap contracts as Level 2 in the hierarchy as described above.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stock-based payments establish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reasonable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For example, a 10% change in the volatility assumption for the 77,800 options granted in 2013 would have resulted in an approximate $0.01 million change in fair value. Expected term represents the estimated average time between the option’s grant date and its exercise date. A 10% change in the expected term assumption for the 77,800 options granted in 2013 would have resulted in an approximate $0.3 million change in fair value. These assumed changes in fair value would have been recognized over the vesting schedule of such awards.</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December 31, 2013, we have a foreign tax credit carryover of $2,615 million and we have recorded a valuation allowance of $2,543 million against this asset based on our estimate of future realization. The foreign tax credits are attributable to the Macau special gaming tax which is 35% of gross gaming revenue in Macau. The U.S. taxing regime only allows a credit for 35% of “net” foreign source income. Due to our current operating history of U.S. losses, we currently do not rely on forecasted taxable income in order to support the utilization of the foreign tax credits. As we become more profitable, each year we reevaluate our methodology in determining the need for valuation allowances. The estimated future foreign tax credit realization was based upon the estimated future taxable income from the reversal of “net” U.S. taxable temporary differences that we expect will reverse during the 10-year foreign tax credit carryover period. The amount of the valuation allowance is subject to change based upon the actual reversal of temporary differences and future taxable income exclusive of reversing temporary differences.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Uncertain tax position accounting standards apply to all tax positions related to income taxes. These accounting standards utilize a two-step approach for evaluating tax positions. Recognition (Step I) occurs when the Company concludes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Use of the term “more likely than not” is consistent with how that term is used in accounting for income taxes (i.e., likelihood of occurrence is greater than 50%).</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Tax positions failing to qualify for initial recognition are recognized in the first subsequent interim period that they meet the “more likely than not” standard. If it is subsequently determined that a previously recognized tax position no longer meets the “more likely than not” standard, it is required that the tax position is derecognized. Accounting standards for uncertain tax positions specifically prohibit the use of a valuation allowance as a substitute for derecognition of tax positions. As applicable, we recognize accrued penalties and interest related to unrecognized tax benefits in the provision for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July 2013, the Financial Accounting Standards Board (“FASB”) issued an accounting standards update that amends the presentation requirements of an unrecognized tax benefit when a loss or other carryforward exists. The update would require the netting of unrecognized tax benefits against a deferred tax asset for a loss or other carryforward that would apply in settlement of the uncertain tax positions. The effective date for this update is for the annual and interim periods beginning after December 15, 2013. The Company is currently evaluating the impact, if any, of adopting this statement on its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February 2013, the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This update is effective prospectively for reporting periods beginning after December 15, 2012. The Company has adopted this update; Item 8—“Financial Statements and Supplementary Data”, Note 3—“Accumulated Other Comprehensive Income.”</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years and interim impairment tests performed for years beginning after September 15, 2012. The adoption of this guidance did not have a material effect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See Item 7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believed by us to be appropriate. We cannot assure you that these risk management strategies have had the desired effect, and interest rate fluctuations could have a negative impact on our results of operations.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2013 of our expected long-term indebtedness and related weighted average interest rates by expected maturity dates. However, we cannot predict the LIBOR or HIBOR rates that will be in effect in the future. As of December 31, 2013, such rates remain at historic lows. Actual rates will vary. The one-month LIBOR and HIBOR rates at December 31, 2013 of 0.1677% and 0.2100%, respectively were used for all variable rate calculations in the table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is presented in U.S. dollar equivalents as applicable</w:t>
      </w:r>
    </w:p>
    <w:p>
      <w:pPr>
        <w:spacing w:after="0" w:line="207"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77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4"/>
          <w:szCs w:val="14"/>
          <w:b w:val="1"/>
          <w:bCs w:val="1"/>
          <w:color w:val="auto"/>
        </w:rPr>
        <w:t>Expected Maturity Date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2014</w:t>
            </w:r>
          </w:p>
        </w:tc>
        <w:tc>
          <w:tcPr>
            <w:tcW w:w="7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2015</w:t>
            </w:r>
          </w:p>
        </w:tc>
        <w:tc>
          <w:tcPr>
            <w:tcW w:w="7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b w:val="1"/>
                <w:bCs w:val="1"/>
                <w:color w:val="auto"/>
                <w:w w:val="83"/>
              </w:rPr>
              <w:t>(in millions)</w:t>
            </w:r>
          </w:p>
        </w:tc>
        <w:tc>
          <w:tcPr>
            <w:tcW w:w="3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9"/>
              </w:rPr>
              <w:t>2016</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b w:val="1"/>
                <w:bCs w:val="1"/>
                <w:color w:val="auto"/>
              </w:rPr>
              <w:t>Thereafter</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3" w:lineRule="exact"/>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continue"/>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Long-term debt:</w:t>
            </w:r>
          </w:p>
        </w:tc>
        <w:tc>
          <w:tcPr>
            <w:tcW w:w="25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Fixed rate</w:t>
            </w:r>
          </w:p>
        </w:tc>
        <w:tc>
          <w:tcPr>
            <w:tcW w:w="1100" w:type="dxa"/>
            <w:vAlign w:val="bottom"/>
            <w:gridSpan w:val="2"/>
          </w:tcPr>
          <w:p>
            <w:pPr>
              <w:jc w:val="right"/>
              <w:ind w:right="820"/>
              <w:spacing w:after="0"/>
              <w:rPr>
                <w:sz w:val="20"/>
                <w:szCs w:val="20"/>
                <w:color w:val="auto"/>
              </w:rPr>
            </w:pPr>
            <w:r>
              <w:rPr>
                <w:rFonts w:ascii="Arial" w:cs="Arial" w:eastAsia="Arial" w:hAnsi="Arial"/>
                <w:sz w:val="18"/>
                <w:szCs w:val="18"/>
                <w:color w:val="auto"/>
                <w:w w:val="92"/>
              </w:rPr>
              <w:t>$—</w:t>
            </w:r>
          </w:p>
        </w:tc>
        <w:tc>
          <w:tcPr>
            <w:tcW w:w="1120" w:type="dxa"/>
            <w:vAlign w:val="bottom"/>
            <w:gridSpan w:val="2"/>
          </w:tcPr>
          <w:p>
            <w:pPr>
              <w:jc w:val="right"/>
              <w:ind w:right="772"/>
              <w:spacing w:after="0"/>
              <w:rPr>
                <w:sz w:val="20"/>
                <w:szCs w:val="20"/>
                <w:color w:val="auto"/>
              </w:rPr>
            </w:pPr>
            <w:r>
              <w:rPr>
                <w:rFonts w:ascii="Arial" w:cs="Arial" w:eastAsia="Arial" w:hAnsi="Arial"/>
                <w:sz w:val="18"/>
                <w:szCs w:val="18"/>
                <w:color w:val="auto"/>
                <w:w w:val="92"/>
              </w:rPr>
              <w:t>$—</w:t>
            </w: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w w:val="85"/>
              </w:rPr>
              <w:t>$—</w:t>
            </w: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5,608</w:t>
            </w:r>
          </w:p>
        </w:tc>
        <w:tc>
          <w:tcPr>
            <w:tcW w:w="4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5,608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Variable rate</w:t>
            </w: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w w:val="84"/>
              </w:rPr>
              <w:t>$ 1.1</w:t>
            </w:r>
          </w:p>
        </w:tc>
        <w:tc>
          <w:tcPr>
            <w:tcW w:w="1120" w:type="dxa"/>
            <w:vAlign w:val="bottom"/>
            <w:gridSpan w:val="2"/>
          </w:tcPr>
          <w:p>
            <w:pPr>
              <w:jc w:val="right"/>
              <w:ind w:right="692"/>
              <w:spacing w:after="0"/>
              <w:rPr>
                <w:sz w:val="20"/>
                <w:szCs w:val="20"/>
                <w:color w:val="auto"/>
              </w:rPr>
            </w:pPr>
            <w:r>
              <w:rPr>
                <w:rFonts w:ascii="Arial" w:cs="Arial" w:eastAsia="Arial" w:hAnsi="Arial"/>
                <w:sz w:val="18"/>
                <w:szCs w:val="18"/>
                <w:color w:val="auto"/>
                <w:w w:val="84"/>
              </w:rPr>
              <w:t>$ 1.4</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$ 1.4</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4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44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1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recorded are, and will continue to be, recognized as an increase (decrease) in swap fair value in our Consolidated Statements of Income, as the swaps do not qualify for hedge accounting.</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Effective, September 28, 2012, we entered into two interest rate swap agreements intended to hedge a portion of the underlying interest rate risk on borrowings under the Amended Wynn Macau Credit Facilities. Under the two swap agreements, the Company pays a fixed interest rate (excluding the applicable interest margin) of 0.73% on notional amounts corresponding to borrowings of HK$3.95 billion (approximately $509.4 million) incurred under the Amended Wynn Macau Credit Facilities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Effective October 31, 2012, we entered into a third interest rate swap agreement intended to hedge a portion of the underlying interest rate risk on borrowings under the Amended Wynn Macau Credit Facilities. Under this swap agreement, the Company pays a fixed interest rate (excluding the applicable interest margin) of 0.6763% on notional amounts corresponding to borrowings of $243.8 million incurred under the Amended Wynn Macau Credit Facilities in exchange for receipts on the same amount at a variable rate based on the applicable LIBOR at the time of payment. This interest rate swap fixes the all-in interest rate on such amounts at 2.4263% to 3.1763%. This interest rate swap agreement matures in July 2017.</w:t>
      </w:r>
    </w:p>
    <w:p>
      <w:pPr>
        <w:spacing w:after="0" w:line="116"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As of December 31, 2013, the interest rate swaps were recorded as an asset of $10.3 million and included in deposits and other assets. As of December 31, 2012, the interest rate swaps were recorded as a liability of $3.9 million and included in other long-term liabilities.</w:t>
      </w:r>
    </w:p>
    <w:p>
      <w:pPr>
        <w:spacing w:after="0" w:line="132"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fair value approximates the amount we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June 2012, we terminated our only Wynn Las Vegas swap for a payment of $2.4 million.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2013 and using estimated future LIBOR and HIBOR rates based upon implied forward rates in the yield curve. The information is presented in U.S. dollar equivalents, which is our reporting currency: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40" w:type="dxa"/>
            <w:vAlign w:val="bottom"/>
            <w:gridSpan w:val="3"/>
          </w:tcPr>
          <w:p>
            <w:pPr>
              <w:jc w:val="center"/>
              <w:ind w:left="340"/>
              <w:spacing w:after="0"/>
              <w:rPr>
                <w:sz w:val="20"/>
                <w:szCs w:val="20"/>
                <w:color w:val="auto"/>
              </w:rPr>
            </w:pPr>
            <w:r>
              <w:rPr>
                <w:rFonts w:ascii="Arial" w:cs="Arial" w:eastAsia="Arial" w:hAnsi="Arial"/>
                <w:sz w:val="14"/>
                <w:szCs w:val="14"/>
                <w:b w:val="1"/>
                <w:bCs w:val="1"/>
                <w:color w:val="auto"/>
                <w:w w:val="85"/>
              </w:rPr>
              <w:t>Years Ending December 31,</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37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gridSpan w:val="2"/>
          </w:tcPr>
          <w:p>
            <w:pPr>
              <w:jc w:val="center"/>
              <w:ind w:right="97"/>
              <w:spacing w:after="0" w:line="149" w:lineRule="exact"/>
              <w:rPr>
                <w:sz w:val="20"/>
                <w:szCs w:val="20"/>
                <w:color w:val="auto"/>
              </w:rPr>
            </w:pPr>
            <w:r>
              <w:rPr>
                <w:rFonts w:ascii="Arial" w:cs="Arial" w:eastAsia="Arial" w:hAnsi="Arial"/>
                <w:sz w:val="14"/>
                <w:szCs w:val="14"/>
                <w:b w:val="1"/>
                <w:bCs w:val="1"/>
                <w:color w:val="auto"/>
                <w:w w:val="89"/>
              </w:rPr>
              <w:t>Expected Maturity Date</w:t>
            </w: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3700" w:type="dxa"/>
            <w:vAlign w:val="bottom"/>
          </w:tcPr>
          <w:p>
            <w:pPr>
              <w:spacing w:after="0"/>
              <w:rPr>
                <w:sz w:val="14"/>
                <w:szCs w:val="14"/>
                <w:color w:val="auto"/>
              </w:rPr>
            </w:pPr>
          </w:p>
        </w:tc>
        <w:tc>
          <w:tcPr>
            <w:tcW w:w="30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jc w:val="right"/>
              <w:ind w:right="197"/>
              <w:spacing w:after="0"/>
              <w:rPr>
                <w:sz w:val="20"/>
                <w:szCs w:val="20"/>
                <w:color w:val="auto"/>
              </w:rPr>
            </w:pPr>
            <w:r>
              <w:rPr>
                <w:rFonts w:ascii="Arial" w:cs="Arial" w:eastAsia="Arial" w:hAnsi="Arial"/>
                <w:sz w:val="14"/>
                <w:szCs w:val="14"/>
                <w:b w:val="1"/>
                <w:bCs w:val="1"/>
                <w:color w:val="auto"/>
                <w:w w:val="83"/>
              </w:rPr>
              <w:t>2018</w:t>
            </w: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Thereafter</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42"/>
        </w:trPr>
        <w:tc>
          <w:tcPr>
            <w:tcW w:w="37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left="302"/>
              <w:spacing w:after="0" w:line="142" w:lineRule="exact"/>
              <w:rPr>
                <w:sz w:val="20"/>
                <w:szCs w:val="20"/>
                <w:color w:val="auto"/>
              </w:rPr>
            </w:pPr>
            <w:r>
              <w:rPr>
                <w:rFonts w:ascii="Arial" w:cs="Arial" w:eastAsia="Arial" w:hAnsi="Arial"/>
                <w:sz w:val="14"/>
                <w:szCs w:val="14"/>
                <w:b w:val="1"/>
                <w:bCs w:val="1"/>
                <w:color w:val="auto"/>
                <w:w w:val="89"/>
              </w:rPr>
              <w:t>(in millions)</w:t>
            </w:r>
          </w:p>
        </w:tc>
        <w:tc>
          <w:tcPr>
            <w:tcW w:w="5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30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$753.0</w:t>
            </w:r>
          </w:p>
        </w:tc>
        <w:tc>
          <w:tcPr>
            <w:tcW w:w="5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92"/>
              </w:rPr>
              <w:t>$—</w:t>
            </w:r>
          </w:p>
        </w:tc>
        <w:tc>
          <w:tcPr>
            <w:tcW w:w="10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Average pay rate</w:t>
            </w:r>
          </w:p>
        </w:tc>
        <w:tc>
          <w:tcPr>
            <w:tcW w:w="246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2"/>
              <w:spacing w:after="0"/>
              <w:rPr>
                <w:sz w:val="20"/>
                <w:szCs w:val="20"/>
                <w:color w:val="auto"/>
              </w:rPr>
            </w:pPr>
            <w:r>
              <w:rPr>
                <w:rFonts w:ascii="Arial" w:cs="Arial" w:eastAsia="Arial" w:hAnsi="Arial"/>
                <w:sz w:val="18"/>
                <w:szCs w:val="18"/>
                <w:color w:val="auto"/>
              </w:rPr>
              <w:t>0.71%</w:t>
            </w:r>
          </w:p>
        </w:tc>
        <w:tc>
          <w:tcPr>
            <w:tcW w:w="5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000" w:type="dxa"/>
            <w:vAlign w:val="bottom"/>
          </w:tcPr>
          <w:p>
            <w:pPr>
              <w:ind w:lef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0.71%</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24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0.60%</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w:t>
            </w:r>
          </w:p>
        </w:tc>
      </w:tr>
      <w:tr>
        <w:trPr>
          <w:trHeight w:val="363"/>
        </w:trPr>
        <w:tc>
          <w:tcPr>
            <w:tcW w:w="3700" w:type="dxa"/>
            <w:vAlign w:val="bottom"/>
          </w:tcPr>
          <w:p>
            <w:pPr>
              <w:spacing w:after="0"/>
              <w:rPr>
                <w:sz w:val="24"/>
                <w:szCs w:val="24"/>
                <w:color w:val="auto"/>
              </w:rPr>
            </w:pPr>
          </w:p>
        </w:tc>
        <w:tc>
          <w:tcPr>
            <w:tcW w:w="2460" w:type="dxa"/>
            <w:vAlign w:val="bottom"/>
          </w:tcPr>
          <w:p>
            <w:pPr>
              <w:jc w:val="right"/>
              <w:ind w:right="279"/>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As of December 31, 2013, approximately 96% all of our debt was based on fixed rates, including the notional amounts related to interest rate swaps. Based on our borrowings as of December 31, 2013, an assumed 1% change in the variable rates would cause our annual interest cost to change by $2.3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 Approximately 53% of our cash balances are denominated in foreign currencies, primarily the Hong Kong Dollar. Based on our balances at December 31, 2013, an assumed 1% change in the US dollar/Hong Kong dollar exchange rate would cause a foreign currency transaction gain/loss of approximately $12.3 million.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9"/>
            <w:vMerge w:val="restart"/>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Report of Independent Registered Public Accounting</w:t>
              </w:r>
            </w:hyperlink>
          </w:p>
        </w:tc>
        <w:tc>
          <w:tcPr>
            <w:tcW w:w="940" w:type="dxa"/>
            <w:vAlign w:val="bottom"/>
            <w:vMerge w:val="restart"/>
          </w:tcPr>
          <w:p>
            <w:pPr>
              <w:spacing w:after="0"/>
              <w:rPr>
                <w:sz w:val="14"/>
                <w:szCs w:val="14"/>
                <w:color w:val="auto"/>
              </w:rPr>
            </w:pPr>
          </w:p>
        </w:tc>
        <w:tc>
          <w:tcPr>
            <w:tcW w:w="63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3740" w:type="dxa"/>
            <w:vAlign w:val="bottom"/>
            <w:tcBorders>
              <w:bottom w:val="single" w:sz="8" w:color="0000EE"/>
            </w:tcBorders>
            <w:gridSpan w:val="9"/>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6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7"/>
          </w:tcPr>
          <w:p>
            <w:pPr>
              <w:spacing w:after="0" w:line="182"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Firm on Internal Control over Financial Reporting</w:t>
              </w:r>
            </w:hyperlink>
          </w:p>
        </w:tc>
        <w:tc>
          <w:tcPr>
            <w:tcW w:w="1140" w:type="dxa"/>
            <w:vAlign w:val="bottom"/>
            <w:gridSpan w:val="3"/>
          </w:tcPr>
          <w:p>
            <w:pPr>
              <w:spacing w:after="0"/>
              <w:rPr>
                <w:sz w:val="17"/>
                <w:szCs w:val="17"/>
                <w:color w:val="auto"/>
              </w:rPr>
            </w:pPr>
          </w:p>
        </w:tc>
        <w:tc>
          <w:tcPr>
            <w:tcW w:w="66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Report of Independent Registered Public Accounting</w:t>
              </w:r>
            </w:hyperlink>
          </w:p>
        </w:tc>
        <w:tc>
          <w:tcPr>
            <w:tcW w:w="9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80" w:type="dxa"/>
            <w:vAlign w:val="bottom"/>
            <w:gridSpan w:val="10"/>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Firm on the Consolidated Financial Statements</w:t>
              </w:r>
            </w:hyperlink>
          </w:p>
        </w:tc>
        <w:tc>
          <w:tcPr>
            <w:tcW w:w="66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3300" w:type="dxa"/>
            <w:vAlign w:val="bottom"/>
            <w:tcBorders>
              <w:top w:val="single" w:sz="8" w:color="0000EE"/>
            </w:tcBorders>
            <w:gridSpan w:val="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Balance Sheets</w:t>
              </w:r>
            </w:hyperlink>
          </w:p>
        </w:tc>
        <w:tc>
          <w:tcPr>
            <w:tcW w:w="1380" w:type="dxa"/>
            <w:vAlign w:val="bottom"/>
            <w:gridSpan w:val="5"/>
          </w:tcPr>
          <w:p>
            <w:pPr>
              <w:spacing w:after="0"/>
              <w:rPr>
                <w:sz w:val="18"/>
                <w:szCs w:val="18"/>
                <w:color w:val="auto"/>
              </w:rPr>
            </w:pP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1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Income</w:t>
              </w:r>
            </w:hyperlink>
          </w:p>
        </w:tc>
        <w:tc>
          <w:tcPr>
            <w:tcW w:w="6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Consolidated Statements of Comprehensive Income</w:t>
              </w:r>
            </w:hyperlink>
          </w:p>
        </w:tc>
        <w:tc>
          <w:tcPr>
            <w:tcW w:w="1020" w:type="dxa"/>
            <w:vAlign w:val="bottom"/>
            <w:gridSpan w:val="2"/>
          </w:tcPr>
          <w:p>
            <w:pPr>
              <w:spacing w:after="0"/>
              <w:rPr>
                <w:sz w:val="17"/>
                <w:szCs w:val="17"/>
                <w:color w:val="auto"/>
              </w:rPr>
            </w:pPr>
          </w:p>
        </w:tc>
        <w:tc>
          <w:tcPr>
            <w:tcW w:w="6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Consolidated Statements of Stockholders’ Equity</w:t>
              </w:r>
            </w:hyperlink>
          </w:p>
        </w:tc>
        <w:tc>
          <w:tcPr>
            <w:tcW w:w="1200" w:type="dxa"/>
            <w:vAlign w:val="bottom"/>
            <w:gridSpan w:val="4"/>
          </w:tcPr>
          <w:p>
            <w:pPr>
              <w:spacing w:after="0"/>
              <w:rPr>
                <w:sz w:val="17"/>
                <w:szCs w:val="17"/>
                <w:color w:val="auto"/>
              </w:rPr>
            </w:pPr>
          </w:p>
        </w:tc>
        <w:tc>
          <w:tcPr>
            <w:tcW w:w="6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4680" w:type="dxa"/>
            <w:vAlign w:val="bottom"/>
            <w:gridSpan w:val="1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Cash Flows</w:t>
              </w:r>
            </w:hyperlink>
          </w:p>
        </w:tc>
        <w:tc>
          <w:tcPr>
            <w:tcW w:w="6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1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Notes to Consolidated Financial Statements</w:t>
              </w:r>
            </w:hyperlink>
          </w:p>
        </w:tc>
        <w:tc>
          <w:tcPr>
            <w:tcW w:w="6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360" w:type="dxa"/>
            <w:vAlign w:val="bottom"/>
          </w:tcPr>
          <w:p>
            <w:pPr>
              <w:jc w:val="right"/>
              <w:ind w:right="5152"/>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Wynn Resorts, Limited and subsidiaries: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audited Wynn Resorts, Limited and subsidiaries’ (the “Company”) internal control over financial reporting as of December 31, 2013, based on criteria established in Internal Control—Integrated Framework issued by the Committee of Sponsoring Organizations of the Treadway Commission (1992 framework) (the “COSO criteria”).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included in Item 9A.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2013, based on the COSO criteria.</w:t>
      </w:r>
    </w:p>
    <w:p>
      <w:pPr>
        <w:spacing w:after="0" w:line="132"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2013 consolidated financial statements of Wynn Resorts, Limited and subsidiaries and our report dated February 28, 2014 expressed an unqualified opinion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Wynn Resorts, Limited and subsidiaries: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Wynn Resorts, Limited and subsidiaries (the “Company”) as of December 31, 2013 and 2012, and the related consolidated statements of income, comprehensive income, stockholders’ equity and cash flows for each of the three years in the period ended December 31, 2013. Our audits also included the financial statement schedules listed in the Index at item 15(a)2. These financial statements and schedules are the responsibility of the Company’s management. Our responsibility is to express an opinion on these financial statements and schedules based on our audits.</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Wynn Resorts, Limited and subsidiaries at December 31, 2013 and 2012, and the consolidated results of their operations and their cash flows for each of the three years in the period ended December 31, 2013, in conformity with U.S. generally accepted accounting principles. Also, in our opinion, the related financial statement schedules referred to above, when considered in relation to the basic financial statements taken as a whole, present fairly in all material respects the information set forth therein.</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2013, based on criteria established in Internal Control—Integrated Framework issued by the Committee of Sponsoring Organizations of the Treadway Commission (1992 framework) and our report dated February 28, 2014 expressed an unqualified opinion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20" w:type="dxa"/>
            <w:vAlign w:val="bottom"/>
            <w:shd w:val="clear" w:color="auto" w:fill="CCEEFF"/>
          </w:tcPr>
          <w:p>
            <w:pPr>
              <w:ind w:left="39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2,435,041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1,725,219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174,399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74,739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2,968,814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2,202,378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4,934,449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4,727,899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Restricted cash and investment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279,925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67,926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8,377,030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7,276,594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Accounts and construction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272,861</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29,341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205,260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101,442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3,578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1,455,534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1,131,377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6,586,518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5,781,770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Land concession obligation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141,465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137,830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8,244,679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7,172,662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7"/>
              </w:rPr>
              <w:t>Common stock, par value $0.01; 400,000,000 shares authorized; 114,170,493 and 113,730,442 shares issued;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101,192,408 and 100,866,712 shares 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12,978,085 and 12,863,730 shares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(1,143,419)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(1,127,947)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888,727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818,821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Wynn Resorts, Limited stockholders’ deficit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(184,507)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316,858</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132,351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8,377,030</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7,276,594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Years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Casino</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4,490,637</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4,034,759</w:t>
            </w:r>
          </w:p>
        </w:tc>
        <w:tc>
          <w:tcPr>
            <w:tcW w:w="4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4,190,507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479,983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586,672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588,437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547,735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418,705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417,209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5,988,244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5,520,388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5,625,102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(367,308)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(366,104)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(355,310)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5,620,936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5,154,284</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5,269,792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Casino</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2,846,489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2,626,822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2,686,372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323,573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308,394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283,940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175,257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448,788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441,699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373,199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4,330,845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4,125,008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4,261,552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1,290,091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1,029,276</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1,008,240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12,543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(299,022)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(288,759)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(229,918)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(303,568)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(296,278)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(202,673)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732,998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1280"/>
              <w:spacing w:after="0"/>
              <w:rPr>
                <w:sz w:val="20"/>
                <w:szCs w:val="20"/>
                <w:color w:val="auto"/>
              </w:rPr>
            </w:pPr>
            <w:r>
              <w:rPr>
                <w:rFonts w:ascii="Arial" w:cs="Arial" w:eastAsia="Arial" w:hAnsi="Arial"/>
                <w:sz w:val="18"/>
                <w:szCs w:val="18"/>
                <w:color w:val="auto"/>
              </w:rPr>
              <w:t>Benefit (provision) for income taxes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(4,299)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1,004,157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728,699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Less: Net income attributable to noncontrolling interest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(275,505)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(226,663)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(211,742)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728,652</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502,036</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per common share:</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Wynn Resorts, Limited: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Basic</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4.87</w:t>
            </w:r>
          </w:p>
        </w:tc>
        <w:tc>
          <w:tcPr>
            <w:tcW w:w="4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Diluted</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101,641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104,249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125,667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5"/>
              </w:rPr>
              <w:t>Years Ended December 31,</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118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2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1,004,157</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$ 728,699</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$ 825,113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4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Unrealized gain (loss) on available-for-sale securities, net of tax</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1,002,370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733,228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(274,982)</w:t>
            </w: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(227,855)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(211,823)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Wynn Resorts, Limited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727,388</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$ 505,373</w:t>
            </w:r>
          </w:p>
        </w:tc>
        <w:tc>
          <w:tcPr>
            <w:tcW w:w="4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$ 613,322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Wynn Resorts,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Par</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paid-in</w:t>
            </w:r>
          </w:p>
        </w:tc>
        <w:tc>
          <w:tcPr>
            <w:tcW w:w="10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stockholders’</w:t>
            </w:r>
          </w:p>
        </w:tc>
        <w:tc>
          <w:tcPr>
            <w:tcW w:w="1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4"/>
              </w:rPr>
              <w:t>outstanding</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value</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equity (deficit)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January 1, 2011</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124,599,508</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$1,374</w:t>
            </w: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 (1,119,407)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3,346,050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ind w:left="520"/>
              <w:spacing w:after="0" w:line="142" w:lineRule="exact"/>
              <w:rPr>
                <w:sz w:val="20"/>
                <w:szCs w:val="20"/>
                <w:color w:val="auto"/>
              </w:rPr>
            </w:pPr>
            <w:r>
              <w:rPr>
                <w:rFonts w:ascii="Arial" w:cs="Arial" w:eastAsia="Arial" w:hAnsi="Arial"/>
                <w:sz w:val="14"/>
                <w:szCs w:val="14"/>
                <w:b w:val="1"/>
                <w:bCs w:val="1"/>
                <w:color w:val="auto"/>
                <w:w w:val="76"/>
              </w:rPr>
              <w:t>889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9,042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2,237,948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142,637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2,380,585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613,371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613,371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211,742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825,113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Currency translation adjustment</w:t>
            </w:r>
          </w:p>
        </w:tc>
        <w:tc>
          <w:tcPr>
            <w:tcW w:w="9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Net unrealized loss on investments</w:t>
            </w:r>
          </w:p>
        </w:tc>
        <w:tc>
          <w:tcPr>
            <w:tcW w:w="9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Exercise of stock options</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431,126</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23,836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23,840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23,859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line="136" w:lineRule="exact"/>
              <w:rPr>
                <w:sz w:val="20"/>
                <w:szCs w:val="20"/>
                <w:color w:val="auto"/>
              </w:rPr>
            </w:pPr>
            <w:r>
              <w:rPr>
                <w:rFonts w:ascii="Arial" w:cs="Arial" w:eastAsia="Arial" w:hAnsi="Arial"/>
                <w:sz w:val="14"/>
                <w:szCs w:val="14"/>
                <w:b w:val="1"/>
                <w:bCs w:val="1"/>
                <w:color w:val="auto"/>
                <w:w w:val="92"/>
              </w:rPr>
              <w:t>Shares repurchased by the company and held as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ind w:left="200"/>
              <w:spacing w:after="0"/>
              <w:rPr>
                <w:sz w:val="20"/>
                <w:szCs w:val="20"/>
                <w:color w:val="auto"/>
              </w:rPr>
            </w:pPr>
            <w:r>
              <w:rPr>
                <w:rFonts w:ascii="Arial" w:cs="Arial" w:eastAsia="Arial" w:hAnsi="Arial"/>
                <w:sz w:val="14"/>
                <w:szCs w:val="14"/>
                <w:b w:val="1"/>
                <w:bCs w:val="1"/>
                <w:color w:val="auto"/>
              </w:rPr>
              <w:t>treasury shares</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(51,136)</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(7,629)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(7,629)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(7,629)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Issuance of restricted stock</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101,500</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Cash dividends declared</w:t>
            </w:r>
          </w:p>
        </w:tc>
        <w:tc>
          <w:tcPr>
            <w:tcW w:w="9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(226,755)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3"/>
              </w:rPr>
              <w:t>(586,045)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(812,800)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(221,649)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(1,034,449)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Excess tax benefits from stock-based</w:t>
            </w: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compensation</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11,176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Stock-based compensation</w:t>
            </w:r>
          </w:p>
        </w:tc>
        <w:tc>
          <w:tcPr>
            <w:tcW w:w="7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23,165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23,165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1,602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24,767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December 31, 2011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125,080,998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1,379</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(1,127,036)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3,177,471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840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36,368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2,089,022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134,432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2,223,454</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redemption</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60" w:type="dxa"/>
            <w:vAlign w:val="bottom"/>
            <w:gridSpan w:val="2"/>
            <w:vMerge w:val="continue"/>
          </w:tcPr>
          <w:p>
            <w:pPr>
              <w:spacing w:after="0"/>
              <w:rPr>
                <w:sz w:val="13"/>
                <w:szCs w:val="13"/>
                <w:color w:val="auto"/>
              </w:rPr>
            </w:pPr>
          </w:p>
        </w:tc>
        <w:tc>
          <w:tcPr>
            <w:tcW w:w="94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w w:val="93"/>
              </w:rPr>
              <w:t>(24,549,222)</w:t>
            </w:r>
          </w:p>
        </w:tc>
        <w:tc>
          <w:tcPr>
            <w:tcW w:w="6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(245)</w:t>
            </w:r>
          </w:p>
        </w:tc>
        <w:tc>
          <w:tcPr>
            <w:tcW w:w="8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6"/>
              </w:rPr>
              <w:t>(1,936,198)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5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(1,936,443)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4"/>
              </w:rPr>
              <w:t>(1,936,443)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502,036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502,036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226,663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728,699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Currency translation adjustment</w:t>
            </w:r>
          </w:p>
        </w:tc>
        <w:tc>
          <w:tcPr>
            <w:tcW w:w="9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unrealized gain on investments</w:t>
            </w:r>
          </w:p>
        </w:tc>
        <w:tc>
          <w:tcPr>
            <w:tcW w:w="9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Exercise of stock options</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332,576</w:t>
            </w:r>
          </w:p>
        </w:tc>
        <w:tc>
          <w:tcPr>
            <w:tcW w:w="2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15,580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15,583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Cancellation of restricted stock</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(31,500)</w:t>
            </w: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line="136" w:lineRule="exact"/>
              <w:rPr>
                <w:sz w:val="20"/>
                <w:szCs w:val="20"/>
                <w:color w:val="auto"/>
              </w:rPr>
            </w:pPr>
            <w:r>
              <w:rPr>
                <w:rFonts w:ascii="Arial" w:cs="Arial" w:eastAsia="Arial" w:hAnsi="Arial"/>
                <w:sz w:val="14"/>
                <w:szCs w:val="14"/>
                <w:b w:val="1"/>
                <w:bCs w:val="1"/>
                <w:color w:val="auto"/>
                <w:w w:val="92"/>
              </w:rPr>
              <w:t>Shares repurchased by the company and held as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ind w:left="200"/>
              <w:spacing w:after="0"/>
              <w:rPr>
                <w:sz w:val="20"/>
                <w:szCs w:val="20"/>
                <w:color w:val="auto"/>
              </w:rPr>
            </w:pPr>
            <w:r>
              <w:rPr>
                <w:rFonts w:ascii="Arial" w:cs="Arial" w:eastAsia="Arial" w:hAnsi="Arial"/>
                <w:sz w:val="14"/>
                <w:szCs w:val="14"/>
                <w:b w:val="1"/>
                <w:bCs w:val="1"/>
                <w:color w:val="auto"/>
              </w:rPr>
              <w:t>treasury shares</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(7,640)</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Issuance of restricted stock</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41,500</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Cash dividends declared</w:t>
            </w:r>
          </w:p>
        </w:tc>
        <w:tc>
          <w:tcPr>
            <w:tcW w:w="9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(462,730)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3"/>
              </w:rPr>
              <w:t>(493,629)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(956,359)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(956,359)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Excess tax benefits from stock-based</w:t>
            </w: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compensation</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Stock-based compensation</w:t>
            </w:r>
          </w:p>
        </w:tc>
        <w:tc>
          <w:tcPr>
            <w:tcW w:w="7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19,161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19,161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December 31, 2012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100,866,712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1,137</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(1,127,947)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818,821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4,177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44,775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(259,037)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362,969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103,932</w:t>
            </w:r>
          </w:p>
        </w:tc>
        <w:tc>
          <w:tcPr>
            <w:tcW w:w="0" w:type="dxa"/>
            <w:vAlign w:val="bottom"/>
          </w:tcPr>
          <w:p>
            <w:pPr>
              <w:spacing w:after="0"/>
              <w:rPr>
                <w:sz w:val="1"/>
                <w:szCs w:val="1"/>
                <w:color w:val="auto"/>
              </w:rPr>
            </w:pPr>
          </w:p>
        </w:tc>
      </w:tr>
      <w:tr>
        <w:trPr>
          <w:trHeight w:val="156"/>
        </w:trPr>
        <w:tc>
          <w:tcPr>
            <w:tcW w:w="3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income</w:t>
            </w:r>
          </w:p>
        </w:tc>
        <w:tc>
          <w:tcPr>
            <w:tcW w:w="72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6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5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728,652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728,652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275,505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1,004,157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Currency translation adjustment</w:t>
            </w:r>
          </w:p>
        </w:tc>
        <w:tc>
          <w:tcPr>
            <w:tcW w:w="9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Net unrealized gain on investments</w:t>
            </w:r>
          </w:p>
        </w:tc>
        <w:tc>
          <w:tcPr>
            <w:tcW w:w="9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258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Exercise of stock options</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383,151</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20,436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Cancellation of restricted stock</w:t>
            </w: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(78,500)</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2"/>
              </w:rPr>
              <w:t>Shares repurchased by the company and held as</w:t>
            </w: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treasury shares</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(114,355)</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(15,472)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Issuance of restricted stock</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135,400</w:t>
            </w:r>
          </w:p>
        </w:tc>
        <w:tc>
          <w:tcPr>
            <w:tcW w:w="2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dividends declared</w:t>
            </w:r>
          </w:p>
        </w:tc>
        <w:tc>
          <w:tcPr>
            <w:tcW w:w="9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3"/>
              </w:rPr>
              <w:t>(707,297)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(706,817)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(322,305)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(1,029,122)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line="136" w:lineRule="exact"/>
              <w:rPr>
                <w:sz w:val="20"/>
                <w:szCs w:val="20"/>
                <w:color w:val="auto"/>
              </w:rPr>
            </w:pPr>
            <w:r>
              <w:rPr>
                <w:rFonts w:ascii="Arial" w:cs="Arial" w:eastAsia="Arial" w:hAnsi="Arial"/>
                <w:sz w:val="14"/>
                <w:szCs w:val="14"/>
                <w:b w:val="1"/>
                <w:bCs w:val="1"/>
                <w:color w:val="auto"/>
              </w:rPr>
              <w:t>Excess tax benefits from stock-based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ind w:left="200"/>
              <w:spacing w:after="0"/>
              <w:rPr>
                <w:sz w:val="20"/>
                <w:szCs w:val="20"/>
                <w:color w:val="auto"/>
              </w:rPr>
            </w:pPr>
            <w:r>
              <w:rPr>
                <w:rFonts w:ascii="Arial" w:cs="Arial" w:eastAsia="Arial" w:hAnsi="Arial"/>
                <w:sz w:val="14"/>
                <w:szCs w:val="14"/>
                <w:b w:val="1"/>
                <w:bCs w:val="1"/>
                <w:color w:val="auto"/>
              </w:rPr>
              <w:t>compensation</w:t>
            </w:r>
          </w:p>
        </w:tc>
        <w:tc>
          <w:tcPr>
            <w:tcW w:w="94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10,474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10,474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10,474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Stock-based compensation</w:t>
            </w:r>
          </w:p>
        </w:tc>
        <w:tc>
          <w:tcPr>
            <w:tcW w:w="7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38,521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38,521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39,733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December 31, 2013</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w w:val="89"/>
              </w:rPr>
              <w:t>101,192,408</w:t>
            </w:r>
          </w:p>
        </w:tc>
        <w:tc>
          <w:tcPr>
            <w:tcW w:w="200" w:type="dxa"/>
            <w:vAlign w:val="bottom"/>
          </w:tcPr>
          <w:p>
            <w:pPr>
              <w:spacing w:after="0"/>
              <w:rPr>
                <w:sz w:val="13"/>
                <w:szCs w:val="13"/>
                <w:color w:val="auto"/>
              </w:rPr>
            </w:pPr>
          </w:p>
        </w:tc>
        <w:tc>
          <w:tcPr>
            <w:tcW w:w="62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1,142</w:t>
            </w:r>
          </w:p>
        </w:tc>
        <w:tc>
          <w:tcPr>
            <w:tcW w:w="8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(1,143,419)</w:t>
            </w: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888,727</w:t>
            </w:r>
          </w:p>
        </w:tc>
        <w:tc>
          <w:tcPr>
            <w:tcW w:w="140" w:type="dxa"/>
            <w:vAlign w:val="bottom"/>
          </w:tcPr>
          <w:p>
            <w:pPr>
              <w:spacing w:after="0"/>
              <w:rPr>
                <w:sz w:val="13"/>
                <w:szCs w:val="13"/>
                <w:color w:val="auto"/>
              </w:rPr>
            </w:pPr>
          </w:p>
        </w:tc>
        <w:tc>
          <w:tcPr>
            <w:tcW w:w="240" w:type="dxa"/>
            <w:vAlign w:val="bottom"/>
            <w:gridSpan w:val="2"/>
          </w:tcPr>
          <w:p>
            <w:pPr>
              <w:jc w:val="right"/>
              <w:ind w:right="18"/>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2,913</w:t>
            </w:r>
          </w:p>
        </w:tc>
        <w:tc>
          <w:tcPr>
            <w:tcW w:w="1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66,130</w:t>
            </w:r>
          </w:p>
        </w:tc>
        <w:tc>
          <w:tcPr>
            <w:tcW w:w="280" w:type="dxa"/>
            <w:vAlign w:val="bottom"/>
            <w:gridSpan w:val="2"/>
          </w:tcPr>
          <w:p>
            <w:pPr>
              <w:jc w:val="right"/>
              <w:ind w:right="57"/>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(184,507)</w:t>
            </w: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316,858</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132,351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7"/>
              </w:rPr>
              <w:t>Years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1,004,157</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728,699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825,113</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371,051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373,199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398,039</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(3,655)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(10,822)</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39,537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19,648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23,881</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(11,052)</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21,453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23,965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19,683</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11,877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18,091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33,778</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104,223</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Equity in income (loss) of unconsolidated affiliates, net of distributions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(14,151)</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(84,653)</w:t>
            </w: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(17,749)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11,168</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260,077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(12,581)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220,772</w:t>
            </w:r>
          </w:p>
        </w:tc>
      </w:tr>
      <w:tr>
        <w:trPr>
          <w:trHeight w:val="230"/>
        </w:trPr>
        <w:tc>
          <w:tcPr>
            <w:tcW w:w="20" w:type="dxa"/>
            <w:vAlign w:val="bottom"/>
          </w:tcPr>
          <w:p>
            <w:pPr>
              <w:spacing w:after="0"/>
              <w:rPr>
                <w:sz w:val="20"/>
                <w:szCs w:val="20"/>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1,676,642</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1,185,718</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1,515,835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(506,786)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(240,985)</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(184,146)</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corporate debt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(222,856)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(183,445)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(316,533)</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Proceeds from sale or maturity of corporate debt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146,112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216,051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101,017</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(99,163)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(13,961)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(38,042)</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(60,135)</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(677,580)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(344,854)</w:t>
            </w: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(459,100)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20,436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15,583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23,859</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11,052</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(1,034,986)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(955,493)</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(1,033,447)</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1,297,870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1,648,643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150,483</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(501,400)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(1,022,847)</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(201,901)</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(7,629)</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Interest rate swap settlement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(13,449)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Payment of financing costs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(42,006)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(56,890)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(291,143)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(382,479)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(1,057,641)</w:t>
            </w: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Effect of exchange rate on cash</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709,822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462,632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4,088</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1,725,219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1,262,587</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1,258,499</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2,435,041</w:t>
            </w:r>
          </w:p>
        </w:tc>
        <w:tc>
          <w:tcPr>
            <w:tcW w:w="14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1,725,219</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1,262,587</w:t>
            </w: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Increase in debt related to the redemption of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1,936,443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221,123</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Change in property and equipment included in accounts and construction payables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67,650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6,557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13,794</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2,088</w:t>
            </w:r>
          </w:p>
        </w:tc>
      </w:tr>
      <w:tr>
        <w:trPr>
          <w:trHeight w:val="222"/>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Increase in liability for dividends declared on nonvested stock</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459"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owns 72.3% of Wynn Macau, Limited which operates a casino hotel resort property in the Macau Special Administrative Region of the People’s Republic of China. The Company also owns and operates a casino hotel resort property in Las Vegas, Nevada.</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Our Macau resort is a resort destination casino with two luxury hotel towers (Wynn Macau and Encore) with a total of 1,008 spacious rooms and suites, approximately 280,000 square feet of casino space, casual and fine dining in eight restaurants, approximately 57,000 square feet of retail space, recreation and leisure facilities, including two health clubs and spas and a pool.</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Las Vegas operations (Wynn Las Vegas and Encore) feature two luxury hotel towers with a total of 4,748 spacious hotel rooms, suites and villas, approximately 186,000 square feet of casino space, 34 food and beverage outlets featuring signature chefs, an on-site 18-hole golf course, meeting space, a Ferrari and Maserati dealership, approximately 96,000 square feet of retail space as well as two showrooms, three nightclubs and a beach club.</w:t>
      </w:r>
    </w:p>
    <w:p>
      <w:pPr>
        <w:spacing w:after="0" w:line="10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October 2009, Wynn Macau, Limited, an indirect wholly owned subsidiary of the Company, listed its ordinary shares of common stock on The Stock Exchange of Hong Kong Limited. Through an initial public offering, including the over allotment, Wynn Macau, Limited sold 1,437,500,000 shares (27.7%) of this subsidiary’s common stock.</w:t>
      </w:r>
    </w:p>
    <w:p>
      <w:pPr>
        <w:spacing w:after="0" w:line="215" w:lineRule="exact"/>
        <w:rPr>
          <w:sz w:val="20"/>
          <w:szCs w:val="20"/>
          <w:color w:val="auto"/>
        </w:rPr>
      </w:pPr>
    </w:p>
    <w:p>
      <w:pPr>
        <w:ind w:right="7940" w:firstLine="8"/>
        <w:spacing w:after="0" w:line="347" w:lineRule="auto"/>
        <w:tabs>
          <w:tab w:leader="none" w:pos="17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 Certain amounts in the consolidated financial statements for the previous years have been reclassified to be consistent with the current year presentation. These reclassifications had no effect on the previously reported net income.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9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Company recorded the fair value of the Redemption Price Promissory Note (the “Redemption Note”) of approximately $1.94 billion in accordance with applicable accounting guidance. The Company utilized an independent third party valuation to assist in the determination of this fair value.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9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Considerations for the redemption assumptions included the stated maturity of the Redemption Note, uncertainty of the related cash flows as well as potential effects of the following: uncertainties surrounding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potential outcome and timing of pending litigation with Aruze USA, Inc., Universal Entertainment Corporation and Mr. Kazuo Okada (collectively, the “Okada Parties”) (see Note 16—“Commitments and Contingencies”); the outcome of on-going investigations of Aruze USA, Inc. by the United States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determination of the appropriate discount rate to be used in the estimated present value, the Redemption Note’s subordinated position relative to all other debt in the Company’s capital structure and credit ratings associated with the Company’s traded debt were considered. Observable inputs for the risk free rate based on Federal Reserve rates for U.S. Treasury securities and credit risk spread based on a yield curve index of similarly rated debt were used. As a result of this analysis, the Company concluded the Redemption Notes’ stated rate of 2% approximated a market 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and include both U.S. dollar-denominated and foreign currency-denominated securities. Cash equivalents are carried at cost, which approximates fair value. Cash equivalents of $1,349.6 million and $969.2 million at December 31, 2013 and 2012, respectively, were invested in bank time deposits, money market accounts, U.S. treasuries and commercial paper. In addition, the Company held bank deposits and cash on hand of approximately $1,085.4 million and $756 million as of December 31, 2013 and 2012,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Investment Securities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Restricted cash consists primarily of certain proceeds of the Company’s financing activities that are restricted by the agreements governing the Company’s debt instruments for the payment of certain Wynn Palace related construction and development costs. The Company’s long-term restricted cash balances consisted of approximately $199.9 million and $99.2 million at December 31, 2013 and 2012, respectively, substantially all of which were invested in time deposits. In November 2013, the Company used $243 million of current restricted cash for the purpose of redeeming the portion of the 7 7/8% First Mortgage Notes due 2017 of Wynn Las Vegas, LLC (“Wynn Las Vegas”) an indirect wholly owned subsidiary of Wynn Resorts, Limited, that were not tendered in May 2013 in the cash tender offer (the “tender offer”). For more information on the Wynn Las Vegas tender offer, see Note 8—“Long-Term Debt.”</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Investment securities consist of short-term and long-term investments in domestic and foreign corporate debt securities and commercial paper. The Company’s investment policy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The Company’s current investments are reported at fair value, with unrealized gains and losses, net of tax, reported in other comprehensive income.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2013 and 2012, approximately 86% and 84% of the Company’s markers were due from customers residing outside the United States, primarily in Asia. Business or economic conditions or other significant events in these countries could affect the collectability of such receivables.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 In June 2013, the Company recorded an adjustment to its reserve estimates for casino accounts receivable based on the results of historical collection patterns and current collection trends. This adjustment benefitted operating income by $14.9 million and net income attributable to Wynn Resorts, Limited by $12 million (or $0.12 per share on a fully diluted basis for the year ended December 31, 2013). In June 2012, the Company recorded a similar adjustment to its reserve estimates for casino accounts receivable based on the results of historical collection patterns and current collection trends. For the year ended December 31, 2012, this adjustment benefitted operating income by $30.9 million and net income attributable to Wynn Resorts, Limited by $23.3 million (or $0.22 per share on a fully diluted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Inventories consist of retail merchandise,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Buildings and improvements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Land improvements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Leasehold interest in land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Airplanes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Furniture, fixtures and equipment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10 to 45 years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10 to 45 years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18 to 20 years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3 to 20 years</w:t>
      </w:r>
    </w:p>
    <w:p>
      <w:pPr>
        <w:spacing w:after="0" w:line="188" w:lineRule="exact"/>
        <w:rPr>
          <w:sz w:val="20"/>
          <w:szCs w:val="20"/>
          <w:color w:val="auto"/>
        </w:rPr>
      </w:pPr>
    </w:p>
    <w:p>
      <w:pPr>
        <w:sectPr>
          <w:pgSz w:w="11900" w:h="16838" w:orient="portrait"/>
          <w:cols w:equalWidth="0" w:num="2">
            <w:col w:w="7400" w:space="720"/>
            <w:col w:w="3300"/>
          </w:cols>
          <w:pgMar w:left="240" w:top="459" w:right="239" w:bottom="1440" w:gutter="0" w:footer="0" w:header="0"/>
          <w:type w:val="continuous"/>
        </w:sectPr>
      </w:pPr>
    </w:p>
    <w:p>
      <w:pPr>
        <w:ind w:right="1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$10.5 million and $2 million was capitalized for the years ended December 31, 2013 and 2012, respectively. No interest was capitalized for the year ended December 31,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Company’s indefinite-lived intangible assets consist primarily of water rights acquired as part of the original purchase price of the property on which Wynn Las Vegas is located, and trademarks. Indefinite-lived intangible assets are not amortized, but are reviewed for impairment annually. The Company’s finite-lived intangible assets consist primarily of a Macau gaming concession. Finite-lived intangible assets are amortized over the shorter of their contractual terms or estimated useful lives.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Long-lived assets, which are to be held and used, including intangibles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long-term debt are capitalized and amortized to interest expense over the terms of the related debt agreements. Approximately $11.2 million, $11 million and $11.6 million were amortized to interest expense during the years ended December 31, 2013, 2012 and 2011, respectively. Debt discounts incurred in connection with the issuance of debt have been capitalized and are being amortized to interest expense using the effective interest method.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as the Company’s current interest rate swaps do not qualify for hedge accounting. Accordingly, changes in the fair value of the interest rate swaps are presented as an increase (decrease) in swap fair value in the accompanying Consolidated Statements of Income. The differentials paid or received on interest rate swap agreements are recognized as adjustments to interest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junkets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the Company’s casino revenues are reduced by discounts, commissions and points earned in the player’s club loyalty program.</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(amounts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8"/>
              </w:rPr>
              <w:t>Years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53,487</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52,019</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112,897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107,882</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104,413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17,522</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17,017</w:t>
            </w:r>
          </w:p>
        </w:tc>
        <w:tc>
          <w:tcPr>
            <w:tcW w:w="100" w:type="dxa"/>
            <w:vAlign w:val="bottom"/>
            <w:shd w:val="clear" w:color="auto" w:fill="CCEEFF"/>
          </w:tcPr>
          <w:p>
            <w:pPr>
              <w:spacing w:after="0"/>
              <w:rPr>
                <w:sz w:val="18"/>
                <w:szCs w:val="18"/>
                <w:color w:val="auto"/>
              </w:rPr>
            </w:pPr>
          </w:p>
        </w:tc>
      </w:tr>
      <w:tr>
        <w:trPr>
          <w:trHeight w:val="222"/>
        </w:trPr>
        <w:tc>
          <w:tcPr>
            <w:tcW w:w="6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180,141</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178,891</w:t>
            </w:r>
          </w:p>
        </w:tc>
        <w:tc>
          <w:tcPr>
            <w:tcW w:w="5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173,449</w:t>
            </w: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Loyalty Program</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offers a slot club program whereby customers may earn points based on their level of play that may be redeemed for free credit that must be replayed in the slot machine. The Company accrues a liability based on the points earned times the redemption value, less an estimate for breakage, and records a related reduction in casino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Slot Machine Jackpots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does not accrue a liability for base jackpots because it has the ability to avoid such payment as slot machines can legally be removed from the gaming floor without payment of the base amount. When the Company is unable to avoid payment of the jackpot (i.e., the incremental amount on a progressive slot machine) due to legal requirements, the jackpot is accrued as the obligation becomes unavoidable. This liability is accrued over the time period in which the incremental progressive jackpot amount is generated with a related reduction in casino revenue.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Income. These taxes totaled $2 billion, $1.8 billion and $1.9 billion for the years ended December 31, 2013, 2012 and 2011,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expenses advertising costs the first time the advertising takes place. Advertising costs incurred in development periods are included in pre-opening costs. Once a project is completed, advertising costs are primarily included in general and administrative expenses. Total advertising costs were $21.5 million, $23 million and $19.5 million for the years ended December 31, 2013, 2012 and 2011,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Pre-opening costs consist primarily of direct salaries and wages, legal and consulting fees, insurance, utilities and advertising, and are expensed as incurred. During the years ended December 31, 2013 and 2012, the Company incurred pre-opening costs in connection with the design and construction of Wynn Palace in the Cotai area of Macau. There were no pre-opening costs during the year ended December 31,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is subject to income taxes in the United States and other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Company’s income tax returns are subject to examination by the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Uncertain tax position accounting standards apply to all tax positions related to income taxes. These accounting standards utilize a two-step approach for evaluating tax positions. Recognition (Step I) occurs when the Company concludes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Use of the term “more likely than not” is consistent with how that term is used in accounting for income taxes (i.e., likelihood of occurrence is greater than 50%).</w:t>
      </w:r>
    </w:p>
    <w:p>
      <w:pPr>
        <w:spacing w:after="0" w:line="11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Tax positions failing to qualify for initial recognition are recognized in the first subsequent interim period that they meet the “more likely than not” standard. If it is subsequently determined that a previously recognized tax position no longer meets the “more likely than not” standard, it is required that the tax position is derecognized. Accounting standards for uncertain tax positions specifically prohibit the use of a valuation allowance as a substitute for derecognition of tax positions. As applicable, the Company will recognize accrued penalties and interest related to unrecognized tax benefits in the provision for income taxes.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Gains or losses from foreign currency remeasurements are included in other income (expense) in the accompanying Consolidated Statements of Income. The results of operations and the balance sheet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Wynn Macau, Limited and its subsidiaries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Comprehensive income includes net income and all other non-stockholder changes in equity, or other comprehensive income. Components of the Company’s comprehensive income are reported in the accompanying Consolidated Statements of Stockholders’ Equity and Consolidated Statements of Comprehensive Income. The cumulative balance of other comprehensive income consists solely of currency translation adjustments and unrealized gain (loss) on available-for-sale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assets and (liabilities) carried at fair value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86"/>
              </w:rPr>
              <w:t>Fair Value Measurements Using:</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0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Quoted</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82"/>
              </w:rPr>
              <w:t>Prices in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Active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Unobservable</w:t>
            </w:r>
          </w:p>
        </w:tc>
      </w:tr>
      <w:tr>
        <w:trPr>
          <w:trHeight w:val="149"/>
        </w:trPr>
        <w:tc>
          <w:tcPr>
            <w:tcW w:w="5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Carrying</w:t>
            </w:r>
          </w:p>
        </w:tc>
        <w:tc>
          <w:tcPr>
            <w:tcW w:w="80" w:type="dxa"/>
            <w:vAlign w:val="bottom"/>
          </w:tcPr>
          <w:p>
            <w:pPr>
              <w:spacing w:after="0"/>
              <w:rPr>
                <w:sz w:val="12"/>
                <w:szCs w:val="12"/>
                <w:color w:val="auto"/>
              </w:rPr>
            </w:pPr>
          </w:p>
        </w:tc>
        <w:tc>
          <w:tcPr>
            <w:tcW w:w="6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0"/>
              </w:rPr>
              <w:t>Markets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Inputs</w:t>
            </w:r>
          </w:p>
        </w:tc>
      </w:tr>
      <w:tr>
        <w:trPr>
          <w:trHeight w:val="161"/>
        </w:trPr>
        <w:tc>
          <w:tcPr>
            <w:tcW w:w="5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8"/>
              </w:rPr>
              <w:t>(Level 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(Level 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2013</w:t>
            </w: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Redemption Price Promissory Note</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(1,936,443)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(1,936,443)</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1,349,647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220,923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1,128,724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Interest rate swaps</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10,308</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10,308</w:t>
            </w:r>
          </w:p>
        </w:tc>
        <w:tc>
          <w:tcPr>
            <w:tcW w:w="26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available-for-sale securities</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454,324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454,324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spacing w:after="0"/>
              <w:rPr>
                <w:sz w:val="20"/>
                <w:szCs w:val="20"/>
                <w:color w:val="auto"/>
              </w:rPr>
            </w:pPr>
            <w:r>
              <w:rPr>
                <w:rFonts w:ascii="Arial" w:cs="Arial" w:eastAsia="Arial" w:hAnsi="Arial"/>
                <w:sz w:val="18"/>
                <w:szCs w:val="18"/>
                <w:b w:val="1"/>
                <w:bCs w:val="1"/>
                <w:color w:val="auto"/>
              </w:rPr>
              <w:t>As of December 31, 2012</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Redemption Price Promissory Note</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(1,936,443)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(1,936,443)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Cash equivalents</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969,166</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80,434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888,732</w:t>
            </w:r>
          </w:p>
        </w:tc>
        <w:tc>
          <w:tcPr>
            <w:tcW w:w="26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Restricted cash and available-for-sale securities</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279,221</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279,221</w:t>
            </w:r>
          </w:p>
        </w:tc>
        <w:tc>
          <w:tcPr>
            <w:tcW w:w="26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December 31, 2013 and 2012, approximately 91% and 77% of the Company’s cash equivalents categorized as level 2 were deposits held in foreign currencies,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Basic earnings per share (“EPS’) is computed by dividing net income attributable to Wynn Resorts, Ltd. by the weighted average number of shares outstanding during the year. Diluted EPS reflects the addition of potentially dilutive securities which for the Company include stock options and nonvested stock.</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number of common and common equivalent shares used in the calculation of basic and diluted EPS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2012 and 2011, consisted of the following (amounts in thousands):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Weighted average common shares outstanding (used in calculation of basic</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100,540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103,092</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124,039</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w w:val="96"/>
              </w:rPr>
              <w:t>Potential dilution from the assumed exercise of stock options and nonvested stock</w:t>
            </w:r>
          </w:p>
        </w:tc>
        <w:tc>
          <w:tcPr>
            <w:tcW w:w="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0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and common equivalent shares outstanding (used in</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calculation of diluted earnings per share)</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101,641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104,249</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125,667</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Anti-dilutive stock options excluded from the calculation of diluted earnings per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share</w:t>
            </w:r>
          </w:p>
        </w:tc>
        <w:tc>
          <w:tcPr>
            <w:tcW w:w="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Ltd.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728,652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502,036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613,371</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Net income attributable to Wynn Resorts, Ltd. per common share,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25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87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94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Ltd. per common share,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17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82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88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Accounting standards require the Company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information on the Company’s stock-based compensation arrangements is included in Note 14—“Benefit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July 2013, the Financial Accounting Standards Board (“FASB”) issued an accounting standards update that amends the presentation requirements of an unrecognized tax benefit when a loss or other carryforward exists. The update would require the netting of unrecognized tax benefits against a deferred tax asset for a loss or other carryforward that would apply in settlement of the uncertain tax positions. The effective date for this update is for the annual and interim periods beginning after December 15, 2013. The Company is currently evaluating the impact, if any, of adopting this statement on its consolidated financial statements.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February 2013, the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This update is effective prospectively for reporting periods beginning after December 15, 2012. The Company has adopted this update; see Note 3—“Accumulated Other Comprehensive Income.”</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years and interim impairment tests performed for years beginning after September 15, 2012. The adoption of this guidance did not have a material effect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Accumulated Other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changes by component, net of tax and noncontrolling interest, in accumulated other comprehensive income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(amounts in thousands):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1"/>
              </w:rPr>
              <w:t>Foreign</w:t>
            </w:r>
          </w:p>
        </w:tc>
        <w:tc>
          <w:tcPr>
            <w:tcW w:w="400" w:type="dxa"/>
            <w:vAlign w:val="bottom"/>
          </w:tcPr>
          <w:p>
            <w:pPr>
              <w:spacing w:after="0"/>
              <w:rPr>
                <w:sz w:val="12"/>
                <w:szCs w:val="12"/>
                <w:color w:val="auto"/>
              </w:rPr>
            </w:pPr>
          </w:p>
        </w:tc>
        <w:tc>
          <w:tcPr>
            <w:tcW w:w="12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Unrealized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1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currency</w:t>
            </w:r>
          </w:p>
        </w:tc>
        <w:tc>
          <w:tcPr>
            <w:tcW w:w="40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(loss) gain on</w:t>
            </w:r>
          </w:p>
        </w:tc>
        <w:tc>
          <w:tcPr>
            <w:tcW w:w="40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translation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2"/>
              </w:rPr>
              <w:t>securities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income</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Current period other comprehensive (loss) gain</w:t>
            </w:r>
          </w:p>
        </w:tc>
        <w:tc>
          <w:tcPr>
            <w:tcW w:w="1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(332)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266</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Net current-period other comprehensive (loss) gain .</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(1,522)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securities consisted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3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89"/>
              </w:rPr>
              <w:t>Available-for-sale securities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1"/>
        </w:trPr>
        <w:tc>
          <w:tcPr>
            <w:tcW w:w="3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59"/>
              <w:spacing w:after="0"/>
              <w:rPr>
                <w:sz w:val="20"/>
                <w:szCs w:val="20"/>
                <w:color w:val="auto"/>
              </w:rPr>
            </w:pPr>
            <w:r>
              <w:rPr>
                <w:rFonts w:ascii="Arial" w:cs="Arial" w:eastAsia="Arial" w:hAnsi="Arial"/>
                <w:sz w:val="14"/>
                <w:szCs w:val="14"/>
                <w:b w:val="1"/>
                <w:bCs w:val="1"/>
                <w:color w:val="auto"/>
                <w:w w:val="83"/>
              </w:rPr>
              <w:t>Gross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3"/>
              </w:rPr>
              <w:t>Gross</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Fair value</w:t>
            </w:r>
          </w:p>
        </w:tc>
      </w:tr>
      <w:tr>
        <w:trPr>
          <w:trHeight w:val="149"/>
        </w:trPr>
        <w:tc>
          <w:tcPr>
            <w:tcW w:w="3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Amortized</w:t>
            </w:r>
          </w:p>
        </w:tc>
        <w:tc>
          <w:tcPr>
            <w:tcW w:w="6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unrealized</w:t>
            </w:r>
          </w:p>
        </w:tc>
        <w:tc>
          <w:tcPr>
            <w:tcW w:w="6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(net carrying</w:t>
            </w:r>
          </w:p>
        </w:tc>
      </w:tr>
      <w:tr>
        <w:trPr>
          <w:trHeight w:val="161"/>
        </w:trPr>
        <w:tc>
          <w:tcPr>
            <w:tcW w:w="3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jc w:val="right"/>
              <w:ind w:right="139"/>
              <w:spacing w:after="0"/>
              <w:rPr>
                <w:sz w:val="20"/>
                <w:szCs w:val="20"/>
                <w:color w:val="auto"/>
              </w:rPr>
            </w:pPr>
            <w:r>
              <w:rPr>
                <w:rFonts w:ascii="Arial" w:cs="Arial" w:eastAsia="Arial" w:hAnsi="Arial"/>
                <w:sz w:val="14"/>
                <w:szCs w:val="14"/>
                <w:b w:val="1"/>
                <w:bCs w:val="1"/>
                <w:color w:val="auto"/>
              </w:rPr>
              <w:t>cost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9"/>
              <w:spacing w:after="0"/>
              <w:rPr>
                <w:sz w:val="20"/>
                <w:szCs w:val="20"/>
                <w:color w:val="auto"/>
              </w:rPr>
            </w:pPr>
            <w:r>
              <w:rPr>
                <w:rFonts w:ascii="Arial" w:cs="Arial" w:eastAsia="Arial" w:hAnsi="Arial"/>
                <w:sz w:val="14"/>
                <w:szCs w:val="14"/>
                <w:b w:val="1"/>
                <w:bCs w:val="1"/>
                <w:color w:val="auto"/>
                <w:w w:val="87"/>
              </w:rPr>
              <w:t>gains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amount)</w:t>
            </w: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2013</w:t>
            </w:r>
          </w:p>
        </w:tc>
        <w:tc>
          <w:tcPr>
            <w:tcW w:w="1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Domestic and foreign corporate bonds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$221,418</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221,434</w:t>
            </w: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32,954</w:t>
            </w:r>
          </w:p>
        </w:tc>
        <w:tc>
          <w:tcPr>
            <w:tcW w:w="100" w:type="dxa"/>
            <w:vAlign w:val="bottom"/>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254,359</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254,388</w:t>
            </w:r>
          </w:p>
        </w:tc>
        <w:tc>
          <w:tcPr>
            <w:tcW w:w="10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2012</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Domestic and foreign corporate bonds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$161,631</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161,356</w:t>
            </w: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18,703</w:t>
            </w:r>
          </w:p>
        </w:tc>
        <w:tc>
          <w:tcPr>
            <w:tcW w:w="100" w:type="dxa"/>
            <w:vAlign w:val="bottom"/>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180,335</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180,059</w:t>
            </w:r>
          </w:p>
        </w:tc>
        <w:tc>
          <w:tcPr>
            <w:tcW w:w="10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700" w:type="dxa"/>
            <w:vAlign w:val="bottom"/>
          </w:tcPr>
          <w:p>
            <w:pPr>
              <w:spacing w:after="0"/>
              <w:rPr>
                <w:sz w:val="24"/>
                <w:szCs w:val="24"/>
                <w:color w:val="auto"/>
              </w:rPr>
            </w:pPr>
          </w:p>
        </w:tc>
        <w:tc>
          <w:tcPr>
            <w:tcW w:w="1780" w:type="dxa"/>
            <w:vAlign w:val="bottom"/>
            <w:gridSpan w:val="2"/>
          </w:tcPr>
          <w:p>
            <w:pPr>
              <w:jc w:val="right"/>
              <w:ind w:right="519"/>
              <w:spacing w:after="0"/>
              <w:rPr>
                <w:sz w:val="20"/>
                <w:szCs w:val="20"/>
                <w:color w:val="auto"/>
              </w:rPr>
            </w:pPr>
            <w:r>
              <w:rPr>
                <w:rFonts w:ascii="Arial" w:cs="Arial" w:eastAsia="Arial" w:hAnsi="Arial"/>
                <w:sz w:val="18"/>
                <w:szCs w:val="18"/>
                <w:color w:val="auto"/>
              </w:rPr>
              <w:t>89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For investments with unrealized losses as of December 31, 2013, the Company has determined that (i) it does not have the intent to sell any of these investments, and (ii) it is not likely that the Company will be required to sell these investments prior to the recovery of the amortized cost. Accordingly, the Company has determined that no other-than-temporary impairments exist at the reporting date.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amortized cost and estimated fair value of these investment securities at December 31, 2013, by contractual maturity are shown below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Amortized</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Available-for-sale securities</w:t>
            </w:r>
          </w:p>
        </w:tc>
        <w:tc>
          <w:tcPr>
            <w:tcW w:w="2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3240" w:type="dxa"/>
            <w:vAlign w:val="bottom"/>
            <w:gridSpan w:val="4"/>
          </w:tcPr>
          <w:p>
            <w:pPr>
              <w:jc w:val="right"/>
              <w:ind w:right="20"/>
              <w:spacing w:after="0"/>
              <w:rPr>
                <w:sz w:val="20"/>
                <w:szCs w:val="20"/>
                <w:color w:val="auto"/>
              </w:rPr>
            </w:pPr>
            <w:r>
              <w:rPr>
                <w:rFonts w:ascii="Arial" w:cs="Arial" w:eastAsia="Arial" w:hAnsi="Arial"/>
                <w:sz w:val="18"/>
                <w:szCs w:val="18"/>
                <w:color w:val="auto"/>
              </w:rPr>
              <w:t>$ 174,439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$ 174,399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two years</w:t>
            </w:r>
          </w:p>
        </w:tc>
        <w:tc>
          <w:tcPr>
            <w:tcW w:w="2540" w:type="dxa"/>
            <w:vAlign w:val="bottom"/>
            <w:gridSpan w:val="2"/>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79,920</w:t>
            </w:r>
          </w:p>
        </w:tc>
        <w:tc>
          <w:tcPr>
            <w:tcW w:w="60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240" w:type="dxa"/>
            <w:vAlign w:val="bottom"/>
            <w:gridSpan w:val="4"/>
          </w:tcPr>
          <w:p>
            <w:pPr>
              <w:jc w:val="right"/>
              <w:ind w:right="20"/>
              <w:spacing w:after="0"/>
              <w:rPr>
                <w:sz w:val="20"/>
                <w:szCs w:val="20"/>
                <w:color w:val="auto"/>
              </w:rPr>
            </w:pPr>
            <w:r>
              <w:rPr>
                <w:rFonts w:ascii="Arial" w:cs="Arial" w:eastAsia="Arial" w:hAnsi="Arial"/>
                <w:sz w:val="18"/>
                <w:szCs w:val="18"/>
                <w:color w:val="auto"/>
              </w:rPr>
              <w:t>$ 254,359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$ 254,388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Receivables, net</w:t>
            </w: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20" w:type="dxa"/>
            <w:vAlign w:val="bottom"/>
            <w:gridSpan w:val="2"/>
            <w:vMerge w:val="continue"/>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20" w:type="dxa"/>
            <w:vAlign w:val="bottom"/>
            <w:gridSpan w:val="2"/>
          </w:tcPr>
          <w:p>
            <w:pPr>
              <w:ind w:left="460"/>
              <w:spacing w:after="0"/>
              <w:rPr>
                <w:sz w:val="20"/>
                <w:szCs w:val="20"/>
                <w:color w:val="auto"/>
              </w:rPr>
            </w:pPr>
            <w:r>
              <w:rPr>
                <w:rFonts w:ascii="Arial" w:cs="Arial" w:eastAsia="Arial" w:hAnsi="Arial"/>
                <w:sz w:val="18"/>
                <w:szCs w:val="18"/>
                <w:color w:val="auto"/>
                <w:w w:val="91"/>
              </w:rPr>
              <w:t>Receivables, net consisted of the following (amounts in thousands):</w:t>
            </w: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47"/>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2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$ 252,998</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$ 275,302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Hotel</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15,386</w:t>
            </w:r>
          </w:p>
        </w:tc>
        <w:tc>
          <w:tcPr>
            <w:tcW w:w="1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18,227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240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47,539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47,257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315,923</w:t>
            </w:r>
          </w:p>
        </w:tc>
        <w:tc>
          <w:tcPr>
            <w:tcW w:w="1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340,786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(73,991)</w:t>
            </w: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(102,213)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$ 241,932</w:t>
            </w:r>
          </w:p>
        </w:tc>
        <w:tc>
          <w:tcPr>
            <w:tcW w:w="1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$ 238,573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0" w:type="dxa"/>
            <w:vAlign w:val="bottom"/>
            <w:vMerge w:val="restart"/>
          </w:tcPr>
          <w:p>
            <w:pPr>
              <w:jc w:val="right"/>
              <w:ind w:right="1932"/>
              <w:spacing w:after="0"/>
              <w:rPr>
                <w:sz w:val="20"/>
                <w:szCs w:val="20"/>
                <w:color w:val="auto"/>
              </w:rPr>
            </w:pPr>
            <w:r>
              <w:rPr>
                <w:rFonts w:ascii="Arial" w:cs="Arial" w:eastAsia="Arial" w:hAnsi="Arial"/>
                <w:sz w:val="18"/>
                <w:szCs w:val="18"/>
                <w:color w:val="auto"/>
              </w:rPr>
              <w:t>90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26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733,233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732,209</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3,883,442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3,837,215</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135,040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135,392</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1,686,522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1,646,506</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316,550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316,658</w:t>
            </w:r>
          </w:p>
        </w:tc>
        <w:tc>
          <w:tcPr>
            <w:tcW w:w="120" w:type="dxa"/>
            <w:vAlign w:val="bottom"/>
            <w:shd w:val="clear" w:color="auto" w:fill="CCEEFF"/>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558,624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110,490</w:t>
            </w:r>
          </w:p>
        </w:tc>
        <w:tc>
          <w:tcPr>
            <w:tcW w:w="120" w:type="dxa"/>
            <w:vAlign w:val="bottom"/>
          </w:tcPr>
          <w:p>
            <w:pPr>
              <w:spacing w:after="0"/>
              <w:rPr>
                <w:sz w:val="19"/>
                <w:szCs w:val="19"/>
                <w:color w:val="auto"/>
              </w:rPr>
            </w:pPr>
          </w:p>
        </w:tc>
      </w:tr>
      <w:tr>
        <w:trPr>
          <w:trHeight w:val="216"/>
        </w:trPr>
        <w:tc>
          <w:tcPr>
            <w:tcW w:w="4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7,313,411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6,778,470</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(2,378,962)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(2,050,571)</w:t>
            </w:r>
          </w:p>
        </w:tc>
      </w:tr>
      <w:tr>
        <w:trPr>
          <w:trHeight w:val="27"/>
        </w:trPr>
        <w:tc>
          <w:tcPr>
            <w:tcW w:w="4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4,934,449</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4,727,899</w:t>
            </w:r>
          </w:p>
        </w:tc>
        <w:tc>
          <w:tcPr>
            <w:tcW w:w="120" w:type="dxa"/>
            <w:vAlign w:val="bottom"/>
            <w:shd w:val="clear" w:color="auto" w:fill="CCEEFF"/>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for the years ended December 31, 2013, 2012 and 2011, was $367.4 million, $367.1 million and $389.8 million,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Macau</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Show</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Gaming</w:t>
            </w:r>
          </w:p>
        </w:tc>
        <w:tc>
          <w:tcPr>
            <w:tcW w:w="1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Production</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78"/>
              </w:rPr>
              <w:t>Concession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7"/>
              </w:rPr>
              <w:t>Rights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Rights</w:t>
            </w:r>
          </w:p>
        </w:tc>
        <w:tc>
          <w:tcPr>
            <w:tcW w:w="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Trademarks</w:t>
            </w:r>
          </w:p>
        </w:tc>
        <w:tc>
          <w:tcPr>
            <w:tcW w:w="20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2012</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$ 25,018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$6,400</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(2,383)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(2,071)</w:t>
            </w: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2012</w:t>
            </w:r>
          </w:p>
        </w:tc>
        <w:tc>
          <w:tcPr>
            <w:tcW w:w="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4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2,716</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(863)</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2013</w:t>
            </w: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60" w:type="dxa"/>
            <w:vAlign w:val="bottom"/>
            <w:gridSpan w:val="2"/>
            <w:vMerge w:val="continue"/>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$ 20,252</w:t>
            </w:r>
          </w:p>
        </w:tc>
        <w:tc>
          <w:tcPr>
            <w:tcW w:w="22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6,400</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1,399</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2,716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Macau gaming concession intangible is being amortized over the 20-year life of the concession. The Company expects that amortization of the Macau gaming concession will be $2.4 million each year from 2014 through 2021, and $1.2 million in 2022.</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water rights and trademarks are indefinite-lived assets and, accordingly, not amortized. Water rights reflect the fair value allocation determined in the purchase of the property on which Wynn Las Vegas is located in April 2000. The value of the trademarks primarily represents the costs to acquire the “Le Rêve” name.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120" w:type="dxa"/>
            <w:vAlign w:val="bottom"/>
            <w:tcBorders>
              <w:bottom w:val="single" w:sz="8" w:color="CCEEFF"/>
            </w:tcBorders>
          </w:tcPr>
          <w:p>
            <w:pPr>
              <w:spacing w:after="0"/>
              <w:rPr>
                <w:sz w:val="12"/>
                <w:szCs w:val="12"/>
                <w:color w:val="auto"/>
              </w:rPr>
            </w:pPr>
          </w:p>
        </w:tc>
        <w:tc>
          <w:tcPr>
            <w:tcW w:w="9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188"/>
        </w:trPr>
        <w:tc>
          <w:tcPr>
            <w:tcW w:w="924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color w:val="auto"/>
                <w:w w:val="92"/>
              </w:rPr>
              <w:t>Wynn Macau Senior Term Loan Facilities (as amended July 2012), due July 31, 2017 and July 31, 2018; interest at LIBOR or</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120" w:type="dxa"/>
            <w:vAlign w:val="bottom"/>
            <w:shd w:val="clear" w:color="auto" w:fill="CCEEFF"/>
          </w:tcPr>
          <w:p>
            <w:pPr>
              <w:spacing w:after="0"/>
              <w:rPr>
                <w:sz w:val="18"/>
                <w:szCs w:val="18"/>
                <w:color w:val="auto"/>
              </w:rPr>
            </w:pPr>
          </w:p>
        </w:tc>
        <w:tc>
          <w:tcPr>
            <w:tcW w:w="91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HIBOR plus 1.75%—2.50%, net of original issue discount of $4,900 at December 31, 2013 and $3,737 at December 31,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120" w:type="dxa"/>
            <w:vAlign w:val="bottom"/>
            <w:shd w:val="clear" w:color="auto" w:fill="CCEEFF"/>
          </w:tcPr>
          <w:p>
            <w:pPr>
              <w:spacing w:after="0"/>
              <w:rPr>
                <w:sz w:val="19"/>
                <w:szCs w:val="19"/>
                <w:color w:val="auto"/>
              </w:rPr>
            </w:pPr>
          </w:p>
        </w:tc>
        <w:tc>
          <w:tcPr>
            <w:tcW w:w="9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948,028</w:t>
            </w:r>
          </w:p>
        </w:tc>
        <w:tc>
          <w:tcPr>
            <w:tcW w:w="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749,433</w:t>
            </w:r>
          </w:p>
        </w:tc>
        <w:tc>
          <w:tcPr>
            <w:tcW w:w="120" w:type="dxa"/>
            <w:vAlign w:val="bottom"/>
            <w:shd w:val="clear" w:color="auto" w:fill="CCEEFF"/>
          </w:tcPr>
          <w:p>
            <w:pPr>
              <w:spacing w:after="0"/>
              <w:rPr>
                <w:sz w:val="19"/>
                <w:szCs w:val="19"/>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5</w:t>
            </w:r>
          </w:p>
        </w:tc>
        <w:tc>
          <w:tcPr>
            <w:tcW w:w="9120" w:type="dxa"/>
            <w:vAlign w:val="bottom"/>
          </w:tcPr>
          <w:p>
            <w:pPr>
              <w:ind w:left="20"/>
              <w:spacing w:after="0"/>
              <w:rPr>
                <w:sz w:val="20"/>
                <w:szCs w:val="20"/>
                <w:color w:val="auto"/>
              </w:rPr>
            </w:pPr>
            <w:r>
              <w:rPr>
                <w:rFonts w:ascii="Arial" w:cs="Arial" w:eastAsia="Arial" w:hAnsi="Arial"/>
                <w:sz w:val="18"/>
                <w:szCs w:val="18"/>
                <w:color w:val="auto"/>
              </w:rPr>
              <w:t>1/4% Wynn Macau, Limited Senior Notes, due October 15, 2021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7</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7/8% Wynn Las Vegas First Mortgage Notes, net of original issue discount of $7,384 at December 31, 2012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492,616</w:t>
            </w:r>
          </w:p>
        </w:tc>
        <w:tc>
          <w:tcPr>
            <w:tcW w:w="120" w:type="dxa"/>
            <w:vAlign w:val="bottom"/>
            <w:shd w:val="clear" w:color="auto" w:fill="CCEEFF"/>
          </w:tcPr>
          <w:p>
            <w:pPr>
              <w:spacing w:after="0"/>
              <w:rPr>
                <w:sz w:val="18"/>
                <w:szCs w:val="18"/>
                <w:color w:val="auto"/>
              </w:rPr>
            </w:pPr>
          </w:p>
        </w:tc>
      </w:tr>
      <w:tr>
        <w:trPr>
          <w:trHeight w:val="208"/>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9120" w:type="dxa"/>
            <w:vAlign w:val="bottom"/>
          </w:tcPr>
          <w:p>
            <w:pPr>
              <w:ind w:left="20"/>
              <w:spacing w:after="0"/>
              <w:rPr>
                <w:sz w:val="20"/>
                <w:szCs w:val="20"/>
                <w:color w:val="auto"/>
              </w:rPr>
            </w:pPr>
            <w:r>
              <w:rPr>
                <w:rFonts w:ascii="Arial" w:cs="Arial" w:eastAsia="Arial" w:hAnsi="Arial"/>
                <w:sz w:val="18"/>
                <w:szCs w:val="18"/>
                <w:color w:val="auto"/>
                <w:w w:val="95"/>
              </w:rPr>
              <w:t>7/8% Wynn Las Vegas First Mortgage Notes, due May 1, 2020, net of original issue discount of $1,463 at December 31,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Arial" w:cs="Arial" w:eastAsia="Arial" w:hAnsi="Arial"/>
                <w:sz w:val="18"/>
                <w:szCs w:val="18"/>
                <w:color w:val="auto"/>
              </w:rPr>
              <w:t>2013 and $1,632 at December 31, 2012</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350,547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350,378</w:t>
            </w:r>
          </w:p>
        </w:tc>
        <w:tc>
          <w:tcPr>
            <w:tcW w:w="120" w:type="dxa"/>
            <w:vAlign w:val="bottom"/>
          </w:tcPr>
          <w:p>
            <w:pPr>
              <w:spacing w:after="0"/>
              <w:rPr>
                <w:sz w:val="19"/>
                <w:szCs w:val="19"/>
                <w:color w:val="auto"/>
              </w:rPr>
            </w:pPr>
          </w:p>
        </w:tc>
      </w:tr>
      <w:tr>
        <w:trPr>
          <w:trHeight w:val="218"/>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7</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Wynn Las Vegas First Mortgage Notes, due August 15, 2020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5</w:t>
            </w:r>
          </w:p>
        </w:tc>
        <w:tc>
          <w:tcPr>
            <w:tcW w:w="9120" w:type="dxa"/>
            <w:vAlign w:val="bottom"/>
          </w:tcPr>
          <w:p>
            <w:pPr>
              <w:ind w:left="20"/>
              <w:spacing w:after="0"/>
              <w:rPr>
                <w:sz w:val="20"/>
                <w:szCs w:val="20"/>
                <w:color w:val="auto"/>
              </w:rPr>
            </w:pPr>
            <w:r>
              <w:rPr>
                <w:rFonts w:ascii="Arial" w:cs="Arial" w:eastAsia="Arial" w:hAnsi="Arial"/>
                <w:sz w:val="18"/>
                <w:szCs w:val="18"/>
                <w:color w:val="auto"/>
              </w:rPr>
              <w:t>3/8% Wynn Las Vegas First Mortgage Notes, due March 15, 2022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4</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 Wynn Las Vegas Senior Notes, due May 30, 2023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w w:val="99"/>
              </w:rPr>
              <w:t>Redemption Price Promissory Note with former stockholder and related party, due February 18, 2022; interest at 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1,936,443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1,936,443</w:t>
            </w:r>
          </w:p>
        </w:tc>
        <w:tc>
          <w:tcPr>
            <w:tcW w:w="1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33,950</w:t>
            </w:r>
          </w:p>
        </w:tc>
        <w:tc>
          <w:tcPr>
            <w:tcW w:w="120" w:type="dxa"/>
            <w:vAlign w:val="bottom"/>
            <w:shd w:val="clear" w:color="auto" w:fill="CCEEFF"/>
          </w:tcPr>
          <w:p>
            <w:pPr>
              <w:spacing w:after="0"/>
              <w:rPr>
                <w:sz w:val="18"/>
                <w:szCs w:val="18"/>
                <w:color w:val="auto"/>
              </w:rPr>
            </w:pPr>
          </w:p>
        </w:tc>
      </w:tr>
      <w:tr>
        <w:trPr>
          <w:trHeight w:val="221"/>
        </w:trPr>
        <w:tc>
          <w:tcPr>
            <w:tcW w:w="1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6,587,568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5,782,820</w:t>
            </w:r>
          </w:p>
        </w:tc>
        <w:tc>
          <w:tcPr>
            <w:tcW w:w="120" w:type="dxa"/>
            <w:vAlign w:val="bottom"/>
          </w:tcPr>
          <w:p>
            <w:pPr>
              <w:spacing w:after="0"/>
              <w:rPr>
                <w:sz w:val="19"/>
                <w:szCs w:val="19"/>
                <w:color w:val="auto"/>
              </w:rPr>
            </w:pPr>
          </w:p>
        </w:tc>
      </w:tr>
      <w:tr>
        <w:trPr>
          <w:trHeight w:val="218"/>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r>
      <w:tr>
        <w:trPr>
          <w:trHeight w:val="222"/>
        </w:trPr>
        <w:tc>
          <w:tcPr>
            <w:tcW w:w="1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6,586,518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5,781,770</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Credit Facilities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July 31, 2012, Wynn Resorts (Macau) S.A. (“Wynn Macau”), amended and restated its credit facilities, dated September 14, 2004 (as so amended and restated, the “Amended Wynn Macau Credit Facilities”), and appointed Bank of China Limited, Macau Branch as intercreditor agent, facilities agent and security agent. The Amended Wynn Macau Credit Facilities and related agreements took effect on July 31, 2012 and expand availability under Wynn Macau’s senior secured bank facility to $2.3 billion equivalent, consisting of a $750 million equivalent fully funded senior secured term loan facility and a $1.55 billion equivalent senior secured revolving credit facility. Borrowings under the Amended Wynn Macau Credit Facilities, which consist of both Hong Kong Dollar and United States Dollar tranches, were used to refinance Wynn Macau’s existing indebtedness, and will be used to fund the design, development, construction and pre-opening expenses of Wynn Palace and for general corporate purposes.</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term loan facility matures in July 2018, and the revolving credit facility matures in July 2017. The principal amount of the term loan is required to be repaid in two equal installments in July 2017 and July 2018. The senior secured facilities bear interest for the first six months after closing at LIBOR or HIBOR plus a margin of 2.50% and thereafter will be subject to LIBOR or HIBOR plus a margin of between 1.75% to 2.50% based on Wynn Macau’s leverage ratio.</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Borrowings under the Amended Wynn Macau Credit Facilities are guaranteed by Palo Real Estate Company Limited (“Palo”), a subsidiary of Wynn Macau, and by certain subsidiaries of the Company that own equity interests in Wynn Macau, and are secured by substantially all of the assets of Wynn Macau, the equity interests in Wynn Macau and substantially all of the assets of Palo.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connection with amending the Wynn Macau credit facilities, the Company expensed $17.7 million and capitalized $33.2 million of financing costs in the year ended December 31, 2012.</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Amended Wynn Macau Credit Facilities contain a requirement that Wynn Macau must make mandatory repayments of indebtedness from specified percentages of excess cash flow. If Wynn Macau meets a Consolidated Leverage Ratio, as defined in the Amended Wynn Macau Credit Facilities, of greater than 4.0 to 1, such repayment is defined as 50% of Excess Cash Flow, as defined in the Amended Wynn Macau Credit Facilities. If the Consolidated Leverage Ratio is equal or less than 4.0 to 1, then no repayment is required. Based on current estimates the Company does not believe that the Wynn Macau Consolidated Leverage Ratio during the year ending December 31, 2014 will exceed 4.0 to 1. Accordingly, Wynn Macau does not expect to make any mandatory repayments pursuant to this requirement during 2014.</w:t>
      </w:r>
    </w:p>
    <w:p>
      <w:pPr>
        <w:spacing w:after="0" w:line="144" w:lineRule="exact"/>
        <w:rPr>
          <w:sz w:val="20"/>
          <w:szCs w:val="20"/>
          <w:color w:val="auto"/>
        </w:rPr>
      </w:pPr>
    </w:p>
    <w:p>
      <w:pPr>
        <w:jc w:val="both"/>
        <w:ind w:right="280" w:firstLine="456"/>
        <w:spacing w:after="0" w:line="318" w:lineRule="auto"/>
        <w:rPr>
          <w:sz w:val="20"/>
          <w:szCs w:val="20"/>
          <w:color w:val="auto"/>
        </w:rPr>
      </w:pPr>
      <w:r>
        <w:rPr>
          <w:rFonts w:ascii="Arial" w:cs="Arial" w:eastAsia="Arial" w:hAnsi="Arial"/>
          <w:sz w:val="15"/>
          <w:szCs w:val="15"/>
          <w:color w:val="auto"/>
        </w:rPr>
        <w:t>The Amended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was required by the financial covenants to maintain a Leverage Ratio, as defined in the Amended Wynn Macau Credit Facilities, of not greater than 4.0 to 1 as of December 31, 2013, and an Interest Coverage Ratio, as defined in the Amended Wynn Macau Credit Facilities, of not less than 2.00 to 1. Management believes that Wynn Macau was in compliance with all covenants at December 31, 2013.</w:t>
      </w:r>
    </w:p>
    <w:p>
      <w:pPr>
        <w:spacing w:after="0" w:line="10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connection with the initial financing of Wynn Macau, Wynn Macau entered into a Bank Guarantee Reimbursement Agreement with Banco Nacional Ultramarino, S.A. (“BNU”) for the benefit of the Macau government. This guarantee assures Wynn Macau’s performance under the casino concession agreement, including the payment of premiums, fines and indemnity for any material failure to perform under the terms of the concession agreement. As of December 31, 2013, the guarantee was in the amount of 300 million Macau patacas (approximately $37 million) and will remain at such amount until 180 days after the end of the term of the concession agreement (2022). BNU, as issuer of the guarantee, is currently secured by a second priority security interest in the senior lender collateral package. From and after repayment of all indebtedness under the Amended Wynn Macau Credit Facilities, Wynn Macau is obligated to promptly, upon demand by BNU, repay any claim made on the guarantee by the Macau government. BNU is paid an annual fee for the guarantee of approximately 5.2 million Macau patacas (approximately $0.7 million).</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July 30, 2013, Wynn Macau exercised its option to increase the senior term loan facility by $200 million equivalent pursuant to the terms and provisions of the Amended Wynn Macau Credit Facilities. The $200 million equivalent was fully funded as of July 31, 2013 and is required to be used for the payment of certain Wynn Palace related construction and development costs. The additional $200 million equivalent will mature on July 31, 2018 and will bear interest at HIBOR plus a margin between 1.75% to 2.50% based on Wynn Macau’s leverage ratio.</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December 31, 2013, there were no amounts outstanding under the Wynn Macau senior secured revolving credit facility. Accordingly, the Company has availability of $1.55 billion under the Amended Wynn Macau Credit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1/4% Wynn Macau, Limited Senior Notes due 2021</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16, 2013, Wynn Macau, Limited (“WML”), an indirect subsidiary of Wynn Resorts, Limited, entered into an Indenture, dated as of October 16, 2013 (the “WML Indenture”), between WML and Deutsche Bank Trust Company Americas, as trustee, pursuant to which WML issued $600 million aggregate principal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amount of 5 1/4% Senior Notes due 2021 (the “2021 Notes”). WML received net proceeds of approximately $591.5 million from the offering of the 2021 Notes after deducting commissions and estimated expenses of the offering and will use the net proceeds for working capital requirements and general corporate purposes.</w:t>
      </w:r>
    </w:p>
    <w:p>
      <w:pPr>
        <w:spacing w:after="0" w:line="140" w:lineRule="exact"/>
        <w:rPr>
          <w:sz w:val="20"/>
          <w:szCs w:val="20"/>
          <w:color w:val="auto"/>
        </w:rPr>
      </w:pPr>
    </w:p>
    <w:p>
      <w:pPr>
        <w:ind w:right="360" w:firstLine="456"/>
        <w:spacing w:after="0" w:line="286" w:lineRule="auto"/>
        <w:rPr>
          <w:sz w:val="20"/>
          <w:szCs w:val="20"/>
          <w:color w:val="auto"/>
        </w:rPr>
      </w:pPr>
      <w:r>
        <w:rPr>
          <w:rFonts w:ascii="Arial" w:cs="Arial" w:eastAsia="Arial" w:hAnsi="Arial"/>
          <w:sz w:val="16"/>
          <w:szCs w:val="16"/>
          <w:color w:val="auto"/>
        </w:rPr>
        <w:t>The 2021 Notes will bear interest at the rate of 5 1/4% per annum and will mature on October 15, 2021. Interest on the 2021 Notes is payable semi-annually in arrears on April 15 and October 15 of each year, beginning on April 15, 2014. At any time on or before October 14, 2016, WML may redeem the</w:t>
      </w:r>
    </w:p>
    <w:p>
      <w:pPr>
        <w:spacing w:after="0" w:line="287" w:lineRule="auto"/>
        <w:rPr>
          <w:sz w:val="20"/>
          <w:szCs w:val="20"/>
          <w:color w:val="auto"/>
        </w:rPr>
      </w:pPr>
      <w:r>
        <w:rPr>
          <w:rFonts w:ascii="Arial" w:cs="Arial" w:eastAsia="Arial" w:hAnsi="Arial"/>
          <w:sz w:val="16"/>
          <w:szCs w:val="16"/>
          <w:color w:val="auto"/>
        </w:rPr>
        <w:t>2021 Notes, in whole or in part, at a redemption price equal to the greater of (a) 100% of the aggregate principal amount of the 2021 Notes or (b) a “make-whole” amount as determined by an independent investment banker in accordance with the terms of the WML Indenture, in either case, plus accrued and unpaid interest. In addition, on or after October 15, 2016, WML may redeem the 2021 Notes, in whole or in part, at a premium decreasing annually from 103.938% of the principal amount to zero, plus accrued and unpaid interest. If WML undergoes a Change of Control (as defined in the WML Indenture), it must offer to repurchase the 2021 Notes at a price equal to 101% of the aggregate principal amount thereof, plus accrued and unpaid interest. In addition, the Company may redeem the 2021 Notes, in whole but not in part, at a redemption price equal to 100% of the principal amount, plus accrued and unpaid interest, in response to any change in or amendment to certain tax laws or tax positions. Further, if a holder or beneficial owner of the 2021 Notes fails to meet certain requirements imposed by any Gaming Authority (as defined in the WML Indenture), WML may require the holder or beneficial owner to dispose of or redeem its 2021 Notes.</w:t>
      </w:r>
    </w:p>
    <w:p>
      <w:pPr>
        <w:spacing w:after="0" w:line="12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2021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Wynn Macau’s existing credit facilities. The 2021 Notes are not registered under the Securities Act of 1933, as amended (the “Securities Act”), and the 2021 Notes are subject to restrictions on transferability and resale.</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WML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Indenture contain customary events of default, including, but not limited to: default for 30 days in the payment when due of interest on the 2021 Notes; default in the payment when due of the principal of, or premium, if any, on the 2021 Notes; failure to comply with any payment obligations relating to the repurchase by WML of the 2021 Notes upon a change of control; failure to comply with certain covenants in the WML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2021 Notes then outstanding will become due and payable immediately without further action or notice.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7/8% Wynn Las Vegas First Mortgage Notes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October 2009, Wynn Las Vegas, LLC (“Wynn Las Vegas”), an indirect wholly owned subsidiary of Wynn Resorts, Limited, and Wynn Las Vegas Capital Corp., an indirect wholly owned subsidiary of Wynn Resorts, Limited (together, the “Issuers”) issued, in a private offering, $500 million aggregate principal amount of 7 7/8% first mortgage notes due November 1, 2017 (the “2017 Notes”) at a price of 97.823% of the principal amount. Interest is due on the 2017 Notes on May 1st and November 1st of each year. Commencing November 1, 2013, the 2017 Notes are redeemable at the Issuers’ option at a price equal to 103.938% of the principal amount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redeemed and the premium over the principal amount declines ratably on November 1st of each year thereafter to zero on or after November 1, 2015. The 2017 Notes are senior obligations of the Issuers and are unsecured (except by the first priority pledge by Wynn Resorts Holdings, LLC of its equity interests in Wynn Las Vegas, LLC (the “Holdings pledge”)). The Issuers’ obligations under the 2017 Notes rank pari passu in right of payment with the 7 7/8% 2020 Notes (as defined below), the 7 3/4% 2020 Notes (as defined below) and the 2022 Notes (as defined below). The 2017 Notes are not guaranteed by any of the Company’s subsidiaries. If the Issuers undergo a change of control, they must offer to repurchase the 2017 Notes at 101% of the principal amount, plus accrued and unpaid interest. The indenture governing the 2017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May 15, 2013, Wynn Las Vegas commenced a cash tender offer (the “tender offer”) for any and all of the outstanding $500 million aggregate principal amount of the 2017 Notes of the Issuers, and a solicitation of consents to certain proposed amendments to the indenture (the “2017 Indenture”) governing the 2017 Notes.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tender offer expired on May 21, 2013 and at the time of expiration, Wynn Las Vegas had received valid tenders with respect to approximately $274.7 million of the $500 million aggregate principal amount of the 2017 Notes outstanding. On May 22, 2013, note holders who validly tendered their 2017 Notes received the total consideration of $1,071.45 for each $1,000 principal amount of 2017 Notes, the premium portion of which totaled approximately $19.6 million. In accordance with accounting standards, the tender offer premium was expensed and is included in loss on extinguishment of debt in the accompanying Consolidated Statements of Income. In addition, upon the tender offer completion, the Issuers entered into a supplemental indenture, which eliminated substantially all of the restrictive covenants and certain events of default from the 2017 Indenture.</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Also in connection with this transaction, the Company expensed $6.7 million of unamortized financing costs and original issue discount related to the 2017 Notes and incurred other fees of approximately $0.3 million that are included in loss on extinguishment of debt in the accompanying Consolidated Statements of Income.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November 1, 2013, Wynn Las Vegas redeemed the untendered 2017 Notes principal amount of $225.3 million. The redemption price was equal to 103.938% of the aggregate principal amount of the 2017 Notes plus accrued and unpaid interest on November 1, 2013. The total redemption fees paid were $8.9 million and we expensed $4.9 million of unamortized financing costs and original issue discount.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7/8% Wynn Las Vegas First Mortgage Notes due 2020</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April 2010, the Issuers issued, in a private offering, $352 million aggregate principal amount of 7 7/8% first mortgage notes due May 1, 2020 (the “7 7/8% 2020 Notes”). The 7 7/8% 2020 Notes were issued pursuant to an exchange offer for previously issued notes that were to mature in December 2014. Interest is due on the 7 7/8% 2020 Notes on May 1st and November 1st of each year. Commencing May 1, 2015, the 7 7/8% 2020 Notes are redeemable at the Issuers’ option at a price equal to 103.938% of the principal amount redeemed and the premium over the principal amount declines ratably on May 1st of each year thereafter to zero on or after May 1, 2018. The 7 7/8% 2020 Notes are senior obligations of the Issuers and are unsecured (except by the Holdings pledge). The Issuers’ obligations under the 7 7/8% 2020 Notes rank pari passu in right of payment with the 7 3/4% 2020 Notes (as defined below), the 2022 Notes (as defined below) and the 2023 Notes (as defined below). The 7 7/8% 2020 Notes are not guaranteed by any of the Company’s subsidiaries. If the Issuers undergo a change of control, they must offer to repurchase the 7 7/8% 2020 Notes at 101% of the principal amount, plus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accrued and unpaid interest. The indenture governing the 7 7/8% 2020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3/4% Wynn Las Vegas First Mortgage Notes due 2020</w:t>
      </w:r>
    </w:p>
    <w:p>
      <w:pPr>
        <w:spacing w:after="0" w:line="90"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In August 2010, the Issuers issued $1.32 billion aggregate principal amount of 7 3/4% first mortgage notes due August 15, 2020 (the “7 3/4% 2020 Notes”). The 7 3/4% 2020 Notes were issued at par. The 7 3/4% 2020 Notes refinanced a previous notes issue that was to mature in December 2014. Interest is due on the 7 3/4% 2020 Notes on February 15th and August 15th of each year. Commencing August 15, 2015, the 7 3/4% 2020 Notes are redeemable at the Issuers’ option at a price equal to 103.875% of the principal amount redeemed and the premium over the principal amount declines ratably on August 15th of each year thereafter to zero on or after August 15, 2018. The 7 3/4% 2020 Notes are senior obligations of the Issuers and are unsecured (except by the Holdings pledge). The Issuers’ obligations under the 7 3/4% 2020 Notes rank pari passu in right of payment with the 7 7/8% 2020 Notes, the 2022 Notes (as defined below) and the 2023 Notes (as defined below). The 7 3/4% 2020 Notes are not guaranteed by any of the Company’s subsidiaries. If the Issuers undergo a change of control, they must offer to repurchase the 7 3/4% 2020 Notes at 101% of the principal amount, plus accrued and unpaid interest. The indenture governing the</w:t>
      </w:r>
    </w:p>
    <w:p>
      <w:pPr>
        <w:spacing w:after="0" w:line="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7 3/4% 2020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3/8</w:t>
      </w:r>
      <w:r>
        <w:rPr>
          <w:rFonts w:ascii="Arial" w:cs="Arial" w:eastAsia="Arial" w:hAnsi="Arial"/>
          <w:sz w:val="18"/>
          <w:szCs w:val="18"/>
          <w:color w:val="auto"/>
        </w:rPr>
        <w:t>%</w:t>
      </w:r>
      <w:r>
        <w:rPr>
          <w:rFonts w:ascii="Arial" w:cs="Arial" w:eastAsia="Arial" w:hAnsi="Arial"/>
          <w:sz w:val="18"/>
          <w:szCs w:val="18"/>
          <w:i w:val="1"/>
          <w:iCs w:val="1"/>
          <w:color w:val="auto"/>
        </w:rPr>
        <w:t xml:space="preserve"> Wynn Las Vegas First Mortgage Notes due 2022</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In March 2012, the Issuers issued, in a private offering, $900 million aggregate principal amount of 5 3/8% First Mortgage Notes due 2022 (the “2022 Notes”). A portion of the proceeds were used to repay all amounts outstanding under the Wynn Las Vegas term loan facilities. In October 2012, the Issuers commenced an offer to exchange all of the 2022 Notes for notes registered under the Securities Act of 1933, as amended. The exchange offer closed on November 6, 2012. Interest is due on the 2022 Notes on March 15th and September 15th of each year. Commencing March 15, 2017, the 2022 Notes are redeemable at the Issuers’ option at a price equal to 102.688% of the principal amount redeemed and the premium over the principal amount declines ratably on March 15th of each year thereafter to zero on or after March 15, 2020. The 2022 Notes are senior obligations of the Issuers and are unsecured (except by the Holdings pledge). The Issuers’ obligations under the 2022 Notes rank pari passu in right of payment with the 7 7/8% 2020 Notes, the 7 3/4% 2020 Notes and the 2023 Notes (as defined below). The 2022 Notes are not guaranteed by any of the Company’s subsidiaries. If the Issuers undergo a change of control, they must offer to repurchase the 2022 Notes at 101% of the principal amount, plus accrued and unpaid interest. The indenture governing the 2022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1/4% Wynn Las Vegas Senior Notes due 2023</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May 2013, the Issuers completed the issuance of $500 million aggregate principal amount of 4 1/4% Senior Notes due 2023 (the “2023 Notes”) pursuant to an indenture, dated as of May 22, 2013 (the “2023 Indenture”), among the Issuers, the Guarantors (as defined below) and U.S. Bank National Association, as trustee. The 2023 Notes were issued at par. The Issuers used the net proceeds from the 2023 Notes to cover the cost of purchasing the 2017 Notes tendered in the tender offer. In addition, the Issuers satisfied and discharged the 2017 Indenture and, in November 2013, used the remaining net proceeds to redeem all of the 2017 Notes not previously tendered. In connection with the issuance of the 2023 Notes, the Company capitalized approximately $4.1 million of financing costs.</w:t>
      </w:r>
    </w:p>
    <w:p>
      <w:pPr>
        <w:spacing w:after="0" w:line="10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2023 Notes will mature on May 30, 2023 and bear interest at the rate of 4 1/4% per annum. The Issuers may, at their option, redeem the 2023 Notes, in whole or in part, at any time or from time to time prior to their stated maturity. The redemption price for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2023 Notes are the Issuers’ senior unsecured obligations and rank pari passu in right of payment with the Issuers’ outstanding 7 7/8% 2020 Notes, 7 3/4% 2020 Notes and the 2022 Notes and, together with the 7 7/8% 2020 Notes and 7 3/4% 2020 Notes, the (“Existing Notes”). The 2023 Notes are secured by a first priority pledge of the Company’s equity interests, the effectiveness of which is subject to the prior approval of the Nevada gaming authorities. The equity interests of the Company also secure the Existing Notes. If Wynn Resorts, Limited receives an investment grade rating from one or more ratings agencies, the first priority pledge securing the 2023 Notes will be released.</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2023 Notes are jointly and severally guaranteed by all of the Issuers’ subsidiaries, other than Wynn Las Vegas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Events of default under the 2023 Indenture include, among others, the following: default for 30 days in the payment when due of interest on the 2023 Notes; default in payment when due of the principal of,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2023 Notes were offered pursuant to an exemption under the Securities Act of 1933, as amended (the “Securities Act”). The 2023 Notes were offered only to qualified institutional buyers in reliance on Rule 144A under the Securities Act or outside the United States to certain persons in reliance on Regulation S under the Securities Act. The 2023 Notes have not been and will not be registered under the Securities Act of 1933 or under any state securities laws. Therefore, the 2023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Credit Facilities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March 2012, Wynn Las Vegas entered into an eighth amendment (“Amendment No. 8”) to its Amended and Restated Credit Agreement, dated as of August 15, 2006 (as amended, the “Wynn Las Vegas Credit Agreement”). Amendment No. 8 amended the Wynn Las Vegas Credit Agreement to, among other things, permit the issuance of the 2022 Notes. Concurrently with the issuance of the 2022 Notes, Wynn Las Vegas, LLC prepaid all term loans under the Wynn Las Vegas Credit Agreement, terminated all of its revolving credit commitments that were due to expire in 2013, and terminated all but $100 million of its revolving credit commitments expiring in 2015. In connection with this transaction, the Company expensed deferred financing fees of $4.8 million, all related to the Wynn Las Vegas term loan and revolving credit facilities.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September 2012, Wynn Las Vegas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did not incur any early termination penalties related to the termination.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connection with the termination, the Company expensed $2.6 million of previously deferred financing costs and third party fees related to the Wynn Las Vegas Credit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were subject to the terms of an existing stockholder agreement. Pursuant to its articles of incorporation, the Company issued the Redemption Note to Aruze USA, Inc., a former stockholder and related party,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the Company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12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recorded the fair value of the Redemption Note of approximately $1.94 billion in accordance with applicable accounting guidance. The Company utilized an independent third party valuation to assist in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determination of this fair value.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40"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the Okada Parties (see Note 16 —“Commitments and Contingencies”); the outcome of on-going investigations of Aruze USA, Inc. by the United States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w:t>
      </w:r>
    </w:p>
    <w:p>
      <w:pPr>
        <w:spacing w:after="0" w:line="2"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penalty. Accordingly, the Company reasonably determined that the estimated life of the Redemption Note could be less than the contractual life of the Redemption Note.</w:t>
      </w:r>
    </w:p>
    <w:p>
      <w:pPr>
        <w:spacing w:after="0" w:line="13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determination of the appropriate discount rate to be used in the estimated present value, the Redemption Note’s subordinated position relative to all other debt in the Company’s capital structure and credit ratings associated with the Company’s traded debt were considered. Observable inputs for the risk free rate based on Federal Reserve rates for U.S. Treasury securities and credit risk spread based on a yield curve index of similarly rated debt was used. As a result of this analysis, the Company concluded the Redemption Notes’s stated rate of 2% approximated a market rate.</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Okada Parties have challenged the redemption of Aruze USA, Inc.’s shares and the Company is currently involved in litigation with those parties as well as related shareholder derivative litigation. On February 13, 2013, the Okada Parties filed a motion in the Nevada state court asking the court to establish an escrow account (specifically, they asked the court to establish a “disputed ownership fund,” as defined in a federal tax regulation (“DOF”)) to hold the Redemption Note as well as the redeemed shares themselves (although those shares were previously cancelled in February 2012), until the resolution of the redemption action and counterclaim. The Okada Parties subsequently filed reply papers in further support of their motion, in which they narrowed the relief they were seeking, specifically by withdrawing their request that the redeemed shares be placed into the escrow account. On April 17, 2013, the court entered an order granting the Okada Parties’ motion in part as to the narrowed relief outlined in their reply papers. Among other things, the court’s order directed the Okada Parties to establish an escrow account with a third party (without making any ruling as to whether such an account would satisfy the requirements of a DOF) to hold interest payments tendered by the Company on the Redemption Note. The Company is to have no responsibility for fees or costs of the account, and will receive a full release and indemnity related to the account. On each of February 14, 2013 and February 13, 2014, the Company issued checks to Aruze USA, Inc. in the amount of $38.7 million, representing the interest payments due on the Redemption Note at those times. However, as of the date of this report, the checks remain uncashed. The parties engaged in discussions regarding the terms of the escrow agreement contemplated by the court’s order. However, the Okada Parties recently advised of their intent to deposit any checks for interest and principal, past and future, due under the terms of the Redemption Note to the Clerk of the Court for deposit into the Clerk’s Trust Account.</w:t>
      </w:r>
    </w:p>
    <w:p>
      <w:pPr>
        <w:spacing w:after="0" w:line="12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further discussed in Note 16—“Commitments and Contingencies”, on June 19, 2012, Elaine Wynn responded to the counterclaim and asserted a cross claim against Steve Wynn and Kazuo Okada. The indentures for the Issuers’ 7 7/8% 2020 Notes, 7 3/4% 2020 Notes (the “2020 Indentures”) and the indenture for the Issuers’ 2023 Notes (the “2023 Indenture,” and, together with the 2020 Indentures, the “Indentures”) provide that if Stephen A. Wynn, together with certain related parties, in the aggregate beneficially owns a lesser percentage of the outstanding common stock of the Company than are beneficially owned by any other person, a change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control will have occurred. If Elaine Wynn prevails in her cross claim, Stephen A. Wynn would not beneficially own or control Elaine Wynn’s shares and a change in control may result under the Wynn Las Vegas debt documents. Under the 2020 Indentures, the occurrence of a change of control requires that the Company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Under the 2023 Indenture, if a change of control occurs and within 60 days after that occurrence the 4 1/4% Senior Notes are rated below investment grade by both rating agencies that rate such notes, the Company is required to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outcome of these various proceedings cannot be predicted.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$42 Million Note Payable for Aircraft</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one of the Company’s aircraft. Principal payments of $350,000 plus interest are made quarterly with a balloon payment of $28 million due at maturity, April 1, 2017. Interest is calculated at 90-day LIBOR plus 125 basis points.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estimated fair value of the Company’s long-term debt, excluding the Redemption Note, as of December 31, 2013 and 2012, was approximately $4.8 billion and $4.2 billion, respectively compared to its carrying value of $4.7 billion and $3.9 billion, respectively. The estimated fair value of the Company’s long-term debt, excluding the Redemption Note, is based on recent trades, if available, and indicative pricing from market information (level 2 inputs). See Note 2 —“Summary of Significant Accounting Policies” for discussion on the estimated fair value of the Redemption Note.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including the accretion of debt discounts of $6.4 million, are as follows (amounts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2015</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2017</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405,196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5,608,453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6,593,931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120" w:type="dxa"/>
            <w:vAlign w:val="bottom"/>
            <w:vMerge w:val="restart"/>
          </w:tcPr>
          <w:p>
            <w:pPr>
              <w:jc w:val="right"/>
              <w:ind w:right="2732"/>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Interest Rate Swaps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Consolidated Statements of Income, as the interest rate swaps do not qualify for hedge accounting.</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utilized Level 2 inputs as described in Note 2—“Summary of Significant Accounting Policies” to determine fair value.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December 31, 2013, the interest rate swaps were recorded as an asset of $10.3 million and included in deposits and other assets. As of December 31, 2012, the interest rate swaps were recorded as a liability of $3.9 million and included in other long-term liabilities.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currently has three interest rate swap agreements intended to hedge a portion of the underlying interest rate risk on borrowings under the Amended Wynn Macau Credit Facilities. Under two of the swap agreements, the Company pays a fixed interest rate (excluding the applicable interest margin) of 0.73% on notional amounts corresponding to borrowings of HK$3.95 billion (approximately $509.4 million) incurred under the Amended Wynn Macau Credit Facilities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the third swap agreement, the Company pays a fixed interest rate (excluding the applicable interest margin) of 0.6763% on notional amounts corresponding to borrowings of $243.8 million incurred under the Amended Wynn Macau Credit Facilities in exchange for receipts on the same amount at a variable rate based on the applicable LIBOR at the time of payment. This interest rate swap fixes the all-in interest rate on such amounts at 2.4263% to 3.1763%. This interest rate swap agreement matures in July 2017.</w:t>
      </w:r>
    </w:p>
    <w:p>
      <w:pPr>
        <w:spacing w:after="0" w:line="218" w:lineRule="exact"/>
        <w:rPr>
          <w:sz w:val="20"/>
          <w:szCs w:val="20"/>
          <w:color w:val="auto"/>
        </w:rPr>
      </w:pPr>
    </w:p>
    <w:p>
      <w:pPr>
        <w:jc w:val="both"/>
        <w:ind w:right="9100" w:firstLine="8"/>
        <w:spacing w:after="0" w:line="417" w:lineRule="auto"/>
        <w:tabs>
          <w:tab w:leader="none" w:pos="263"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Related Party Share Redemption</w:t>
      </w:r>
    </w:p>
    <w:p>
      <w:pPr>
        <w:spacing w:after="0" w:line="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Based on the Board of Directors’ finding of “unsuitability,” on February 18, 2012, the Company redeemed and cancelled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were subject to the terms of an existing stockholder agreement. Pursuant to its articles of incorporation, the Company issued the Redemption Note to Aruze USA, Inc., a former stockholder and related party, in redemption of the shares. Aruze USA, Inc., Universal Entertainment Corporation and Kazuo Okada have challenged the redemption of Aruze USA, Inc.’s shares and we are currently involved in litigation with those parties as well as related shareholder derivative litigation. The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outcome of these various proceedings cannot be predicted.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Mr. Wynn and other officers and directors have deposits with the Company to prepay any such items, which are replenished on an ongoing basis as needed. As of December 31, 2013 and 2012, Mr. Wynn and the other officers and directors had a net deposit balance with the Company of $0.8 million and $1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Villa Lease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“Prior SW Lease”) for a villa to serve as Mr. Wynn’s personal residence. The Prior SW Lease amended and restated a previous lease. The Prior SW Lease was approved by the Audit Committee of the Board of Directors of the Company. The term of the Prior SW Lease commenced as of March 1, 2010 and ran concurrent with Mr. Wynn’s employment agreement with the Company; provided that either party could terminate on 90 days notice. Pursuant to the Prior SW Lease, the rental value of the villa was treated as imputed income to Mr. Wynn, and was equal to the fair market value of the accommodations provided. Effective March 1, 2010, and for the first two years of the term of the Prior SW Lease, the rental value was $503,831 per year. Effective March 1, 2012, the rental value was $440,000 per year.</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May 7, 2013, Wynn Las Vegas entered into a 2013 Amended and Restated Agreement of Lease (the “Existing SW Lease”), effective December 29, 2012, to include an expansion of the villa and to adjust the rental value accordingly to $525,000 per year based on the current fair market value as established by the Audit Committee of the Company with the assistance of an independent third-party appraisal.</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November 7, 2013, Mr. Wynn and Wynn Las Vegas entered into a 2013 Second Amended and Restated Agreement of Lease (the “New SW Lease”) amending and restating the Existing SW Lease, effective as of November 5, 2013. The New SW Lease was approved by the Audit Committee of the Board of Directors of Wynn Resorts. Pursuant to the New SW Lease, effective as of November 5, 2013 and ending on February 28, 2015, Mr. Wynn will pay Wynn Las Vegas annual rent for the villa of $525,000, which amount was determined to be the fair market value of the accommodations based on a third-party appraisal and which is consistent with the rental value under the Existing SW Lease. In addition, pursuant to the New SW Lease, the Company pays for all capital improvements to the villa and will reimburse Mr. Wynn for all amounts he previously paid the Company for capital improvements to the villa in 2012 and 2013. The rental value for the villa will be re-determined every two years during the term of the New SW Lease by the Audit Committee. Certain services for, and maintenance of, the villa are included in the rental.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Purchase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May 2010, the Company entered into an employment agreement with Linda Chen, who is the Chief Operating Officer of Wynn Macau. The term of the employment agreement is through February 24, 2020. Under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terms of the employment agreement, the Company purchased a home in Macau for use by Ms. Chen and has made renovations to the home with total costs of $9.4 million through December 31, 2013. Upon the occurrence of certain events set forth below, Ms. Chen has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Plane Option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January 3, 2013, the Company and Mr. Wynn entered into an agreement pursuant to which Mr. Wynn agreed to 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“Wynn” Surname Rights Agreement</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Charges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charges and other consisted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11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Net loss on assets abandoned/retired for remodel or sold</w:t>
            </w:r>
          </w:p>
        </w:tc>
        <w:tc>
          <w:tcPr>
            <w:tcW w:w="2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7,358</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$29,524</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Donation to University of Macau Foundation</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3,780</w:t>
            </w: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4,083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Loss on contract termination</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Loss on show cancellation</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6,056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17,138</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39,978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20" w:type="dxa"/>
            <w:vAlign w:val="bottom"/>
            <w:vMerge w:val="restart"/>
          </w:tcPr>
          <w:p>
            <w:pPr>
              <w:jc w:val="right"/>
              <w:ind w:right="1512"/>
              <w:spacing w:after="0"/>
              <w:rPr>
                <w:sz w:val="20"/>
                <w:szCs w:val="20"/>
                <w:color w:val="auto"/>
              </w:rPr>
            </w:pPr>
            <w:r>
              <w:rPr>
                <w:rFonts w:ascii="Arial" w:cs="Arial" w:eastAsia="Arial" w:hAnsi="Arial"/>
                <w:sz w:val="18"/>
                <w:szCs w:val="18"/>
                <w:color w:val="auto"/>
              </w:rPr>
              <w:t>103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Property charges and other generally include costs related to the retirement of assets for remodels and asset abandonments. Property charges and other for the year ended December 31, 2013 include fees paid in connection with the termination of a contract, miscellaneous renovations and abandonments at our resorts and entertainment development costs.</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Property charges and other for the year ended December 31, 2012 include the remodel of a Las Vegas restaurant, charges associated with the termination of a Las Vegas show that ended its run in November 2012, and miscellaneous renovations and abandonments at our resorts.</w:t>
      </w:r>
    </w:p>
    <w:p>
      <w:pPr>
        <w:spacing w:after="0" w:line="8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Property charges and other for the year ended December 31, 2011 include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 2022 inclusive, for a total of $135 million. The amount reflected in the accompanying Consolidated Statements of Income has been discounted using the Company’s estimated borrowing rate over the time period of the remaining committed payments. In accordance with accounting standards for contributions, subsequent accretion of the discount is being recorded as additional donation expense and included in Property charges and other. Also included are the write off of certain off-site golf memberships by Wynn Las Vegas, miscellaneous renovations and abandonments at the Company’s resorts, including modifications of the Encore at Wynn Las Vegas retail esplanade, closure of the Blush nightclub and the write off of certain costs related to a show that ended its run in Las Vegas in April 2011.</w:t>
      </w:r>
    </w:p>
    <w:p>
      <w:pPr>
        <w:spacing w:after="0" w:line="193" w:lineRule="exact"/>
        <w:rPr>
          <w:sz w:val="20"/>
          <w:szCs w:val="20"/>
          <w:color w:val="auto"/>
        </w:rPr>
      </w:pPr>
    </w:p>
    <w:p>
      <w:pPr>
        <w:ind w:right="9520" w:firstLine="8"/>
        <w:spacing w:after="0" w:line="347" w:lineRule="auto"/>
        <w:tabs>
          <w:tab w:leader="none" w:pos="26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i w:val="1"/>
          <w:iCs w:val="1"/>
          <w:color w:val="auto"/>
        </w:rPr>
        <w:t>Common Stock</w:t>
      </w:r>
    </w:p>
    <w:p>
      <w:pPr>
        <w:spacing w:after="0" w:line="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is authorized to issue up to 400,000,000 shares of its common stock, $0.01 par value per share (the “Common Stock”). As of December 31, 2013 and 2012, 101,192,408 shares and 100,866,712 shares, respectively, of the Company’s Common Stock were outstanding. Except as otherwise provided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Board of Directors of Wynn Resorts has authorized an equity repurchase program of up to $1.7 billion. The repurchase program may include repurchases from time to time through open market purchases or negotiated transactions, depending upon market conditions. As of December 31, 2013, the Company had repurchased a cumulative total of 12,978,085 shares of the Company’s Common Stock for a net cost of $1.1 billion under the program. Under the repurchase program, there were no repurchases made during the years ended December 31, 2013, 2012 and 2011.</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2013 and 2012, the Company repurchased a total of 114,355 shares and 7,640 shares, respectively, in satisfaction of tax withholding obligations on vested restricted stock.</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February 2013, May 2013, August 2013 and November 2013 the Company paid a dividend of $1.00 per common share as part of a cash dividend program. In December 2013, the Company paid a dividend of $3.00 per common share.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is authorized to issue up to 40,000,000 shares of undesignated preferred stock, $0.01 par value per share (the “Preferred Stock”). As of December 31, 2013,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Securities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Wynn Resorts’ articles of incorporation provide that, to the extent a gaming authority makes a determination of unsuitability or to the extent the Board of Directors determines, in its sole discretion, that a person is likely to jeopardize the Company or any affiliates application for, receipt of, approval for, right to the use of, or entitlement to, any gaming license,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Based on the Board of Directors’ finding of “unsuitability,” on February 18, 2012, Wynn Resorts redeemed and cancelled Aruze USA, Inc.’s 24,549,222 shares of Wynn Resorts’ common stock. For more information, refer to Note 16—“Commitments and Contingencies”.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October 2009, Wynn Macau, Limited, an indirect wholly 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this subsidiary’s common stock (the “Wynn Macau Limited IPO”). Proceeds to the Company as a result of this transaction were approximately $1.8 billion, net of transaction costs of approximately $84 million. The shares of Wynn Macau, Limited were not and will not be registered under the Securities Act and may not be offered or sold in the United States absent a registration under the Securities Act, or an applicable exception from such registration requirements. Net income attributable to noncontrolling interest was $275.5 million, $226.7 million and $211.7 million for the years ended December 31, 2013, 2012 and 2011, respectively.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23, 2013, the Wynn Macau, Limited Board of Directors approved a HK$0.50 per share dividend. The total dividend amount was $334.5 million and the Company’s share of this dividend was $241.8 million. A reduction of $92.7 million was made to noncontrolling interest in the accompanying Consolidated Balance Sheets to reflect the payment of this dividend.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March 28, 2013, the Wynn Macau, Limited Board of Directors approved a HK$1.24 per share dividend. The total dividend amount was $828.6 million and the Company’s share of this dividend was $599.1 million. A reduction of $229.6 million was made to noncontrolling interest in the accompanying Consolidated Balance Sheets to reflect the payment of this dividend.</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November 16, 2011, the Wynn Macau, Limited Board of Directors approved a HK$1.20 per share dividend. The total dividend amount was approximately $800 million and the Company’s share of this dividend was $578.3 million. A reduction of $221.6 million was made to noncontrolling interest in the accompanying Consolidated Balance Sheets to reflect the payment of this dividend.</w:t>
      </w:r>
    </w:p>
    <w:p>
      <w:pPr>
        <w:spacing w:after="0" w:line="215" w:lineRule="exact"/>
        <w:rPr>
          <w:sz w:val="20"/>
          <w:szCs w:val="20"/>
          <w:color w:val="auto"/>
        </w:rPr>
      </w:pPr>
    </w:p>
    <w:p>
      <w:pPr>
        <w:ind w:right="9720" w:firstLine="8"/>
        <w:spacing w:after="0" w:line="417" w:lineRule="auto"/>
        <w:tabs>
          <w:tab w:leader="none" w:pos="263"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established a retirement savings plan under Section 401(k) of the Internal Revenue Code covering its U.S. non-union employees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July 2000. The plan allows employees to defer, within prescribed limits, a percentage of their income on a pre-tax basis through contributions to this plan.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30, 2013, the Company announced a 401(k) plan match for the 2013 plan year. For the 2013 plan year, the Company matched 50% of employee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contributions, up to 6% of employees’ paychecks, with a one-time annual matching cap of $500 per employee. The company expensed $1.2 million related to this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match as of December 31, 2013. The Company suspended matching contributions to this plan effective March 2009 and did not record any expense for matching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contributions for the years ended December 31, 2012 and 2011, respectively.</w:t>
      </w:r>
    </w:p>
    <w:p>
      <w:pPr>
        <w:spacing w:after="0" w:line="165"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Wynn Macau also operates a defined contribution retirement benefits plan (the “Wynn Macau Plan”). Eligible employees are allowed to contribute 5% of their salary to the Wynn Macau Plan and the Company matches any contributions. The assets of the Wynn Macau Plan are held separately from those of the Company in an independently administered fund. The Company’s matching contributions vest to the employee at 10% per year with full vesting in ten</w:t>
      </w:r>
    </w:p>
    <w:p>
      <w:pPr>
        <w:spacing w:after="0" w:line="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years. Forfeitures of unvested contributions are used to reduce the Company’s liability for its contributions payable. During the years ended December 31, 2013, 2012 and 2011, the Company recorded an expense for matching contributions of $7.5 million, $7.1 million and $6.6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Wynn Las Vegas contributes to a multi-employer defined benefit pension plan for certain of its union employees under the terms of the Southern Nevada Culinary and Bartenders Union collective-bargaining agreement. The collective-bargaining agreement that covers these union-represented employees expires in 2016. The legal name of the multi-employer pension plan is the Southern Nevada Culinary and Bartenders Pension Plan (the “Plan”) (EIN: 88-6016617 Plan Number: 001). The Company recorded an expense of $9 million, $8.6 million and $7.6 million for contributions to the Plan for the years ended December 31, 2013, 2012 and 2011, respectively. For the 2012 plan year, the most recent for which plan data is available, the Company’s contributions were identified by the Plan to exceed 5% of total contributions for that year. Based on information the Company received from the Plan, it was certified to be in neither endangered nor critical status for the 2012</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plan year. Risks of participating in a multi-employer plan differs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established the 2002 Stock Incentive Plan (the “WRL Stock Plan”) to provide for the grant of (i) incentive stock options, (ii) compensatory (i.e., nonqualified) stock options, and (iii) nonvested shares of Common Stock of Wynn Resorts, Limited. Employees, directors (whether employee or nonemployee) and independent contractors or consultants of the Company are eligible to participate in the WRL Stock Plan. However, only employees of the Company are eligible to receive incentive stock options.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maximum of 12,750,000 shares of Common Stock are reserved for issuance under the WRL Stock Plan. As of December 31, 2013, 4,438,524 shares remain available for the grant of stock options or nonvested shares of Common Stock.</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Options are granted at the current market price at the date of grant. The WRL Stock Plan provides for a variety of vesting schedules all determined at the time of grant. All options expire ten years from the date of grant.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WRL Stock Plan as of December 31, 2013, and the changes during the year then ended is presented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2013</w:t>
            </w:r>
          </w:p>
        </w:tc>
        <w:tc>
          <w:tcPr>
            <w:tcW w:w="1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2,397,820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Granted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77,800</w:t>
            </w:r>
          </w:p>
        </w:tc>
        <w:tc>
          <w:tcPr>
            <w:tcW w:w="3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139.54</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2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(383,151)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53.34</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Forfeited or expired</w:t>
            </w:r>
          </w:p>
        </w:tc>
        <w:tc>
          <w:tcPr>
            <w:tcW w:w="1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(486,160)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59.50</w:t>
            </w: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1,606,309</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190,064,746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w w:val="99"/>
              </w:rPr>
              <w:t>Fully vested and expected to vest at December 31, 2013</w:t>
            </w:r>
          </w:p>
        </w:tc>
        <w:tc>
          <w:tcPr>
            <w:tcW w:w="1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75.63</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5.31</w:t>
            </w: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5"/>
              </w:rPr>
              <w:t>183,393,072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1,546,461</w:t>
            </w:r>
          </w:p>
        </w:tc>
        <w:tc>
          <w:tcPr>
            <w:tcW w:w="30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181,761</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22,614,588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80" w:type="dxa"/>
            <w:vAlign w:val="bottom"/>
            <w:vMerge w:val="restart"/>
          </w:tcPr>
          <w:p>
            <w:pPr>
              <w:jc w:val="right"/>
              <w:ind w:right="232"/>
              <w:spacing w:after="0"/>
              <w:rPr>
                <w:sz w:val="20"/>
                <w:szCs w:val="20"/>
                <w:color w:val="auto"/>
              </w:rPr>
            </w:pPr>
            <w:r>
              <w:rPr>
                <w:rFonts w:ascii="Arial" w:cs="Arial" w:eastAsia="Arial" w:hAnsi="Arial"/>
                <w:sz w:val="18"/>
                <w:szCs w:val="18"/>
                <w:color w:val="auto"/>
              </w:rPr>
              <w:t>107</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is provided for stock options of the WRL Stock Plan (amounts in thousands, except weighted average grant date fair value):</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8"/>
              </w:rPr>
              <w:t>Years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grant date fair value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Intrinsic value of stock options exercised</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33,830</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22,416</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 from the exercise of stock options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20,436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w w:val="97"/>
              </w:rPr>
              <w:t>Tax benefits realized from the exercise of stock options and vesting of restricted stock</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10,474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5,537</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2013, there was a total of $33.4 million of unamortized compensation related to stock options, which is expected to be recognized over the vesting period of the related grants through May 2019.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summary of the status of the WRL Stock Plan’s nonvested shares as of December 31, 2013 and changes during the year then ended is presented below:</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7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7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7560" w:type="dxa"/>
            <w:vAlign w:val="bottom"/>
          </w:tcPr>
          <w:p>
            <w:pPr>
              <w:spacing w:after="0"/>
              <w:rPr>
                <w:sz w:val="14"/>
                <w:szCs w:val="14"/>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7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at January 1, 2013</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651,500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ind w:left="440"/>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135,400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125.56</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(310,900)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116.85</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(78,500)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131.79</w:t>
            </w:r>
          </w:p>
        </w:tc>
        <w:tc>
          <w:tcPr>
            <w:tcW w:w="10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2013</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397,500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113.13</w:t>
            </w:r>
          </w:p>
        </w:tc>
        <w:tc>
          <w:tcPr>
            <w:tcW w:w="100" w:type="dxa"/>
            <w:vAlign w:val="bottom"/>
            <w:shd w:val="clear" w:color="auto" w:fill="CCEEFF"/>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is provided for nonvested stock of the WRL Stock Plan (amounts in thousands, except weighted average grant date fair value):</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8"/>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20" w:type="dxa"/>
            <w:vAlign w:val="bottom"/>
          </w:tcPr>
          <w:p>
            <w:pPr>
              <w:spacing w:after="0"/>
              <w:rPr>
                <w:sz w:val="12"/>
                <w:szCs w:val="12"/>
                <w:color w:val="auto"/>
              </w:rPr>
            </w:pPr>
          </w:p>
        </w:tc>
        <w:tc>
          <w:tcPr>
            <w:tcW w:w="11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grant date fair value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125.56</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110.04</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129.55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Fair value of shares vested</w:t>
            </w: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36,328</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15,653</w:t>
            </w:r>
          </w:p>
        </w:tc>
        <w:tc>
          <w:tcPr>
            <w:tcW w:w="5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Approximately $26.3 million of unamortized compensation cost relating to nonvested shares of Common Stock at December 31, 2013 will be recognized as compensation over the vesting period of the related grants through October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Limited Stock Incentive Plan</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Company’s majority-owned subsidiary Wynn Macau, Limited adopted a stock incentive plan effective September 16, 2009 (the “WML Stock Plan”). The purpose of the WML Stock Plan is to reward participants, which may include directors and employees of Wynn Macau, Limited who have contributed towards enhancing the value of Wynn Macau and its shares. A maximum of 518,750,000 shares have been reserved for issuance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under the WML Stock Plan. The Wynn Macau, Limited shares available for issuance under the WML Stock Plan are separate and distinct from the common stock of Wynn Resorts equity compensation plans and are not available for issuance for any awards under any of the Wynn Resorts equity compensation plans.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WML Stock Plan as of December 31, 2013, and the changes during the year then ended is presented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Remaining</w:t>
            </w:r>
          </w:p>
        </w:tc>
        <w:tc>
          <w:tcPr>
            <w:tcW w:w="32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32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740" w:type="dxa"/>
            <w:vAlign w:val="bottom"/>
          </w:tcPr>
          <w:p>
            <w:pPr>
              <w:jc w:val="right"/>
              <w:ind w:right="55"/>
              <w:spacing w:after="0"/>
              <w:rPr>
                <w:sz w:val="20"/>
                <w:szCs w:val="20"/>
                <w:color w:val="auto"/>
              </w:rPr>
            </w:pPr>
            <w:r>
              <w:rPr>
                <w:rFonts w:ascii="Arial" w:cs="Arial" w:eastAsia="Arial" w:hAnsi="Arial"/>
                <w:sz w:val="14"/>
                <w:szCs w:val="14"/>
                <w:b w:val="1"/>
                <w:bCs w:val="1"/>
                <w:color w:val="auto"/>
              </w:rPr>
              <w:t>Options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Price</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Term</w:t>
            </w:r>
          </w:p>
        </w:tc>
        <w:tc>
          <w:tcPr>
            <w:tcW w:w="32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2013</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2,110,000</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800,000</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2,910,000</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2.44</w:t>
            </w:r>
          </w:p>
        </w:tc>
        <w:tc>
          <w:tcPr>
            <w:tcW w:w="6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11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$6,082,136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December 31, 2013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2,910,000</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11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$6,082,136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Exercisable at December 31, 2013</w:t>
            </w:r>
          </w:p>
        </w:tc>
        <w:tc>
          <w:tcPr>
            <w:tcW w:w="740" w:type="dxa"/>
            <w:vAlign w:val="bottom"/>
            <w:tcBorders>
              <w:bottom w:val="single" w:sz="8" w:color="auto"/>
            </w:tcBorders>
          </w:tcPr>
          <w:p>
            <w:pPr>
              <w:spacing w:after="0" w:line="20" w:lineRule="exact"/>
              <w:rPr>
                <w:sz w:val="1"/>
                <w:szCs w:val="1"/>
                <w:color w:val="auto"/>
              </w:rPr>
            </w:pPr>
          </w:p>
        </w:tc>
        <w:tc>
          <w:tcPr>
            <w:tcW w:w="800" w:type="dxa"/>
            <w:vAlign w:val="bottom"/>
            <w:gridSpan w:val="2"/>
            <w:vMerge w:val="restart"/>
          </w:tcPr>
          <w:p>
            <w:pPr>
              <w:ind w:left="680"/>
              <w:spacing w:after="0"/>
              <w:rPr>
                <w:sz w:val="20"/>
                <w:szCs w:val="20"/>
                <w:color w:val="auto"/>
              </w:rPr>
            </w:pPr>
            <w:r>
              <w:rPr>
                <w:rFonts w:ascii="Arial" w:cs="Arial" w:eastAsia="Arial" w:hAnsi="Arial"/>
                <w:sz w:val="18"/>
                <w:szCs w:val="18"/>
                <w:color w:val="auto"/>
                <w:w w:val="9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680" w:type="dxa"/>
            <w:vAlign w:val="bottom"/>
          </w:tcPr>
          <w:p>
            <w:pPr>
              <w:spacing w:after="0" w:line="20" w:lineRule="exact"/>
              <w:rPr>
                <w:sz w:val="1"/>
                <w:szCs w:val="1"/>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6.8</w:t>
            </w:r>
          </w:p>
        </w:tc>
        <w:tc>
          <w:tcPr>
            <w:tcW w:w="112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8"/>
              </w:rPr>
              <w:t>$2,224,036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862,000</w:t>
            </w:r>
          </w:p>
        </w:tc>
        <w:tc>
          <w:tcPr>
            <w:tcW w:w="80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is provided for stock options of the WML Stock Plan (amounts in thousands, except weighted average grant date fair value):</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4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5"/>
              </w:rPr>
              <w:t>Years Ended December 31,</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grant date fair value</w:t>
            </w: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0.78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0.78</w:t>
            </w:r>
          </w:p>
        </w:tc>
        <w:tc>
          <w:tcPr>
            <w:tcW w:w="5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Intrinsic value of stock options exercised</w:t>
            </w: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vMerge w:val="continue"/>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 —</w:t>
            </w:r>
          </w:p>
        </w:tc>
        <w:tc>
          <w:tcPr>
            <w:tcW w:w="1240" w:type="dxa"/>
            <w:vAlign w:val="bottom"/>
            <w:gridSpan w:val="3"/>
          </w:tcPr>
          <w:p>
            <w:pPr>
              <w:ind w:left="280"/>
              <w:spacing w:after="0"/>
              <w:rPr>
                <w:sz w:val="20"/>
                <w:szCs w:val="20"/>
                <w:color w:val="auto"/>
              </w:rPr>
            </w:pPr>
            <w:r>
              <w:rPr>
                <w:rFonts w:ascii="Arial" w:cs="Arial" w:eastAsia="Arial" w:hAnsi="Arial"/>
                <w:sz w:val="18"/>
                <w:szCs w:val="18"/>
                <w:color w:val="auto"/>
              </w:rPr>
              <w:t>$ —</w:t>
            </w:r>
          </w:p>
        </w:tc>
        <w:tc>
          <w:tcPr>
            <w:tcW w:w="400" w:type="dxa"/>
            <w:vAlign w:val="bottom"/>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 from exercise of stock options</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2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December 31, 2013, there was a total of $0.7 million of unamortized compensation related to stock options, which is expected to be recognized over the vesting period of the related grants through June 2017.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the Company’s Common Stock. Expected term represents the weighted average time between the option’s grant date and its exercise date. The risk-free interest rate used for each period presented is based on the U.S. Treasury yield curve for WRL Stock Plan options or the Hong Kong Exchange Fund rates for the WML Stock Plan options at the time of grant for the period equal to the expected term.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stock options granted under the WRL Stock Plan was estimated on the date of grant using the following weighted-average assumptions: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6"/>
              </w:rPr>
              <w:t>Years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2060" w:type="dxa"/>
            <w:vAlign w:val="bottom"/>
            <w:gridSpan w:val="3"/>
          </w:tcPr>
          <w:p>
            <w:pPr>
              <w:jc w:val="right"/>
              <w:ind w:right="740"/>
              <w:spacing w:after="0"/>
              <w:rPr>
                <w:sz w:val="20"/>
                <w:szCs w:val="20"/>
                <w:color w:val="auto"/>
              </w:rPr>
            </w:pPr>
            <w:r>
              <w:rPr>
                <w:rFonts w:ascii="Arial" w:cs="Arial" w:eastAsia="Arial" w:hAnsi="Arial"/>
                <w:sz w:val="18"/>
                <w:szCs w:val="18"/>
                <w:color w:val="auto"/>
              </w:rPr>
              <w:t>48.8%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0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stock options granted under the WML Stock Plan was estimated on the date of grant using the following assumptions: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6"/>
              </w:rPr>
              <w:t>Years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2060" w:type="dxa"/>
            <w:vAlign w:val="bottom"/>
            <w:gridSpan w:val="3"/>
          </w:tcPr>
          <w:p>
            <w:pPr>
              <w:jc w:val="right"/>
              <w:ind w:right="740"/>
              <w:spacing w:after="0"/>
              <w:rPr>
                <w:sz w:val="20"/>
                <w:szCs w:val="20"/>
                <w:color w:val="auto"/>
              </w:rPr>
            </w:pPr>
            <w:r>
              <w:rPr>
                <w:rFonts w:ascii="Arial" w:cs="Arial" w:eastAsia="Arial" w:hAnsi="Arial"/>
                <w:sz w:val="18"/>
                <w:szCs w:val="18"/>
                <w:color w:val="auto"/>
              </w:rPr>
              <w:t>49.0%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0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0.7%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for both the WRL Stock Plan and the WML Stock Plan is allocated as follows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8"/>
              </w:rPr>
              <w:t>Years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Rooms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853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32,214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14,320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14,048</w:t>
            </w:r>
          </w:p>
        </w:tc>
        <w:tc>
          <w:tcPr>
            <w:tcW w:w="100" w:type="dxa"/>
            <w:vAlign w:val="bottom"/>
            <w:shd w:val="clear" w:color="auto" w:fill="CCEEFF"/>
          </w:tcPr>
          <w:p>
            <w:pPr>
              <w:spacing w:after="0"/>
              <w:rPr>
                <w:sz w:val="18"/>
                <w:szCs w:val="18"/>
                <w:color w:val="auto"/>
              </w:rPr>
            </w:pPr>
          </w:p>
        </w:tc>
      </w:tr>
      <w:tr>
        <w:trPr>
          <w:trHeight w:val="222"/>
        </w:trPr>
        <w:tc>
          <w:tcPr>
            <w:tcW w:w="664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39,537</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19,648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23,881</w:t>
            </w:r>
          </w:p>
        </w:tc>
        <w:tc>
          <w:tcPr>
            <w:tcW w:w="100" w:type="dxa"/>
            <w:vAlign w:val="bottom"/>
          </w:tcPr>
          <w:p>
            <w:pPr>
              <w:spacing w:after="0"/>
              <w:rPr>
                <w:sz w:val="19"/>
                <w:szCs w:val="19"/>
                <w:color w:val="auto"/>
              </w:rPr>
            </w:pPr>
          </w:p>
        </w:tc>
      </w:tr>
      <w:tr>
        <w:trPr>
          <w:trHeight w:val="217"/>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Total stock-based compensation costs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39,733</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19,843</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24,767</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the year ended December 31, 2013, the Company recorded a charge in accordance with applicable accounting standards, of approximately $23 million due to the retirement of the Company’s former chief operating officer and the related accelerated vesting of shares previously granted to him.</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For the year ended December 31, 2012, the Company reversed stock-based compensation expense allocated to casino operations related to stock options and restricted stock granted in 2008 with an approximate 8 year cliff vest provision that were forfeited during the first quarter of 2012.</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20"/>
          </w:cols>
          <w:pgMar w:left="24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income (loss) before taxes for domestic and foreign operations consisted of the following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93"/>
              </w:rPr>
              <w:t>Years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(9,935)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0"/>
              </w:rPr>
              <w:t>$ (87,122)</w:t>
            </w:r>
          </w:p>
        </w:tc>
        <w:tc>
          <w:tcPr>
            <w:tcW w:w="2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49,521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Foreign</w:t>
            </w: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w w:val="98"/>
              </w:rPr>
              <w:t>996,458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820,120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756,046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986,523</w:t>
            </w:r>
          </w:p>
        </w:tc>
        <w:tc>
          <w:tcPr>
            <w:tcW w:w="4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732,998</w:t>
            </w:r>
          </w:p>
        </w:tc>
        <w:tc>
          <w:tcPr>
            <w:tcW w:w="2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805,567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020" w:type="dxa"/>
            <w:vAlign w:val="bottom"/>
            <w:gridSpan w:val="7"/>
          </w:tcPr>
          <w:p>
            <w:pPr>
              <w:spacing w:after="0"/>
              <w:rPr>
                <w:sz w:val="20"/>
                <w:szCs w:val="20"/>
                <w:color w:val="auto"/>
              </w:rPr>
            </w:pPr>
            <w:r>
              <w:rPr>
                <w:rFonts w:ascii="Arial" w:cs="Arial" w:eastAsia="Arial" w:hAnsi="Arial"/>
                <w:sz w:val="18"/>
                <w:szCs w:val="18"/>
                <w:color w:val="auto"/>
                <w:w w:val="98"/>
              </w:rPr>
              <w:t>The Company’s provision (benefit) for income taxes consisted of the following (amounts in thousands):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88"/>
              </w:rPr>
              <w:t>Years Ended December 31,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Federal</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52"/>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9"/>
              </w:rPr>
              <w:t>$ 5,912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2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2,192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9"/>
              </w:rPr>
              <w:t>$ 7,954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Federal</w:t>
            </w:r>
          </w:p>
        </w:tc>
        <w:tc>
          <w:tcPr>
            <w:tcW w:w="1240" w:type="dxa"/>
            <w:vAlign w:val="bottom"/>
            <w:gridSpan w:val="5"/>
          </w:tcPr>
          <w:p>
            <w:pPr>
              <w:jc w:val="right"/>
              <w:ind w:right="292"/>
              <w:spacing w:after="0"/>
              <w:rPr>
                <w:sz w:val="20"/>
                <w:szCs w:val="20"/>
                <w:color w:val="auto"/>
              </w:rPr>
            </w:pPr>
            <w:r>
              <w:rPr>
                <w:rFonts w:ascii="Arial" w:cs="Arial" w:eastAsia="Arial" w:hAnsi="Arial"/>
                <w:sz w:val="18"/>
                <w:szCs w:val="18"/>
                <w:color w:val="auto"/>
              </w:rPr>
              <w:t>$ (19,826)</w:t>
            </w:r>
          </w:p>
        </w:tc>
        <w:tc>
          <w:tcPr>
            <w:tcW w:w="8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w w:val="98"/>
              </w:rPr>
              <w:t>$(3,655)</w:t>
            </w:r>
          </w:p>
        </w:tc>
        <w:tc>
          <w:tcPr>
            <w:tcW w:w="2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(10,809)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CCEEFF"/>
            </w:tcBorders>
            <w:gridSpan w:val="2"/>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292"/>
              <w:spacing w:after="0"/>
              <w:rPr>
                <w:sz w:val="20"/>
                <w:szCs w:val="20"/>
                <w:color w:val="auto"/>
              </w:rPr>
            </w:pPr>
            <w:r>
              <w:rPr>
                <w:rFonts w:ascii="Arial" w:cs="Arial" w:eastAsia="Arial" w:hAnsi="Arial"/>
                <w:sz w:val="18"/>
                <w:szCs w:val="18"/>
                <w:color w:val="auto"/>
                <w:w w:val="89"/>
              </w:rPr>
              <w:t>(19,826)</w:t>
            </w:r>
          </w:p>
        </w:tc>
        <w:tc>
          <w:tcPr>
            <w:tcW w:w="80" w:type="dxa"/>
            <w:vAlign w:val="bottom"/>
          </w:tcPr>
          <w:p>
            <w:pPr>
              <w:spacing w:after="0"/>
              <w:rPr>
                <w:sz w:val="19"/>
                <w:szCs w:val="19"/>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(3,655)</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(16,160)</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92"/>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(17,634)</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$ 4,299</w:t>
            </w:r>
          </w:p>
        </w:tc>
        <w:tc>
          <w:tcPr>
            <w:tcW w:w="2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(19,546)</w:t>
            </w:r>
          </w:p>
        </w:tc>
        <w:tc>
          <w:tcPr>
            <w:tcW w:w="0" w:type="dxa"/>
            <w:vAlign w:val="bottom"/>
          </w:tcPr>
          <w:p>
            <w:pPr>
              <w:spacing w:after="0"/>
              <w:rPr>
                <w:sz w:val="1"/>
                <w:szCs w:val="1"/>
                <w:color w:val="auto"/>
              </w:rPr>
            </w:pPr>
          </w:p>
        </w:tc>
      </w:tr>
      <w:tr>
        <w:trPr>
          <w:trHeight w:val="20"/>
        </w:trPr>
        <w:tc>
          <w:tcPr>
            <w:tcW w:w="694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100" w:type="dxa"/>
            <w:vAlign w:val="bottom"/>
            <w:gridSpan w:val="8"/>
          </w:tcPr>
          <w:p>
            <w:pPr>
              <w:spacing w:after="0"/>
              <w:rPr>
                <w:sz w:val="20"/>
                <w:szCs w:val="20"/>
                <w:color w:val="auto"/>
              </w:rPr>
            </w:pPr>
            <w:r>
              <w:rPr>
                <w:rFonts w:ascii="Arial" w:cs="Arial" w:eastAsia="Arial" w:hAnsi="Arial"/>
                <w:sz w:val="18"/>
                <w:szCs w:val="18"/>
                <w:color w:val="auto"/>
                <w:w w:val="89"/>
              </w:rPr>
              <w:t>The income tax provision (benefit) differs from that computed at the federal statutory corporate tax rate as follows: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11"/>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Federal statutory rate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(23.1%)</w:t>
            </w: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Non-taxable foreign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Foreign tax credits, net of valuation allowance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(89.3%)</w:t>
            </w:r>
          </w:p>
        </w:tc>
        <w:tc>
          <w:tcPr>
            <w:tcW w:w="1140" w:type="dxa"/>
            <w:vAlign w:val="bottom"/>
            <w:gridSpan w:val="5"/>
          </w:tcPr>
          <w:p>
            <w:pPr>
              <w:jc w:val="right"/>
              <w:ind w:right="2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Repatriation of foreign earnings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140" w:type="dxa"/>
            <w:vAlign w:val="bottom"/>
            <w:gridSpan w:val="5"/>
          </w:tcPr>
          <w:p>
            <w:pPr>
              <w:jc w:val="right"/>
              <w:ind w:right="26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other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1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20" w:type="dxa"/>
            <w:vAlign w:val="bottom"/>
            <w:vMerge w:val="restart"/>
          </w:tcPr>
          <w:p>
            <w:pPr>
              <w:ind w:left="440"/>
              <w:spacing w:after="0"/>
              <w:rPr>
                <w:sz w:val="20"/>
                <w:szCs w:val="20"/>
                <w:color w:val="auto"/>
              </w:rPr>
            </w:pPr>
            <w:r>
              <w:rPr>
                <w:rFonts w:ascii="Arial" w:cs="Arial" w:eastAsia="Arial" w:hAnsi="Arial"/>
                <w:sz w:val="18"/>
                <w:szCs w:val="18"/>
                <w:color w:val="auto"/>
              </w:rPr>
              <w:t>Effective tax rate</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140" w:type="dxa"/>
            <w:vAlign w:val="bottom"/>
            <w:gridSpan w:val="5"/>
          </w:tcPr>
          <w:p>
            <w:pPr>
              <w:jc w:val="right"/>
              <w:ind w:right="26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30, 2010, Wynn Macau received a second 5-year exemption from Macau’s 12% Complementary Tax on casino gaming profits, thereby exempting the casino gaming profits of Wynn Macau through December 31, 2015. Accordingly for the years ended December 31, 2013, 2012, and 2011, the Company was exempted from the payment of $107.3 million, $87.1 million and $82.7 million in such taxes or $1.06, $0.84 and $0.66 per share, respectively. The Company’s non-gaming profits remain subject to the Macau Complementary Tax and its casino winnings remain subject to the Macau Special Gaming tax and other levies in accordance with its concession agreement.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July of 2011, Wynn Macau received a 5-year extension of its agreement with the Macau Special Administrative Region that provides for an annual payment of MOP $15.5 million (approximately $1.9 million U.S. dollars) as complementary tax otherwise due by shareholders of Wynn Macau on dividend distributions through 2015. As a result of the shareholder dividend tax agreements, income tax expense includes $1.9 million, $1.9 million and $1.9 million for the years ended December 31, 2013, 2012 and 2011, respectively.</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Macau special gaming tax is 35% of gross gaming revenue. U.S. tax laws only allow a foreign tax credit up to 35% of “net” foreign source income. In February 2010, the Company and the IRS entered into a Pre-Filing Agreement (“PFA”) providing that the Macau Special Gaming Tax qualifies as a tax paid in lieu of an income tax and could be claimed as a U.S. foreign tax credit.</w:t>
      </w:r>
    </w:p>
    <w:p>
      <w:pPr>
        <w:spacing w:after="0" w:line="140" w:lineRule="exact"/>
        <w:rPr>
          <w:sz w:val="20"/>
          <w:szCs w:val="20"/>
          <w:color w:val="auto"/>
        </w:rPr>
      </w:pPr>
    </w:p>
    <w:p>
      <w:pPr>
        <w:ind w:right="640" w:firstLine="456"/>
        <w:spacing w:after="0" w:line="306" w:lineRule="auto"/>
        <w:rPr>
          <w:sz w:val="20"/>
          <w:szCs w:val="20"/>
          <w:color w:val="auto"/>
        </w:rPr>
      </w:pPr>
      <w:r>
        <w:rPr>
          <w:rFonts w:ascii="Arial" w:cs="Arial" w:eastAsia="Arial" w:hAnsi="Arial"/>
          <w:sz w:val="16"/>
          <w:szCs w:val="16"/>
          <w:color w:val="auto"/>
        </w:rPr>
        <w:t>During the years ended December 31, 2013 and December 31, 2011, the Company recognized tax benefits of $879.7 million and $647.6 million, respectively (net of valuation allowance and uncertain tax positions), for foreign tax credits generated applicable to the earnings of Wynn Macau. During December 31, 2012, the Company did not repatriate any earnings of Wynn Macau and consequently did not generate foreign tax credits in that year.</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Accounting standards require recognition of a future tax benefit to the extent that realization of such benefit is more likely than not. Otherwise, a valuation allowance is applied. During 2013 and 2012, the aggregate valuation allowance for deferred tax assets increased by $755.5 million and $19.1 million, respectively. The 2013 and 2012 increases are primarily related to foreign tax credit carryforwards and other foreign deferred tax assets that are not considered more likely than not realizable.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recorded tax benefits resulting from the exercise of nonqualified stock options and the value of vested restricted stock and accrued dividends of $10.5 million, $5.5 million, and $11.2 million as of December 31, 2013, 2012 and 2011, respectively, in excess of the amounts reported for such items as compensation costs under accounting standards related to stock-based compensation. The Company uses a with-and-without approach to determine if the excess tax deductions associated with compensation costs have reduced income taxes payable.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effects of significant temporary differences representing net deferred tax assets and liabilities consisted of the following (amounts in thousands):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assets—U.S.: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Receivables, inventories, accrued liabilities and other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36,556</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840"/>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(34,347)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(35,386)</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Long-term:</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Foreign tax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2,614,665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1,843,757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40"/>
              <w:spacing w:after="0"/>
              <w:rPr>
                <w:sz w:val="20"/>
                <w:szCs w:val="20"/>
                <w:color w:val="auto"/>
              </w:rPr>
            </w:pPr>
            <w:r>
              <w:rPr>
                <w:rFonts w:ascii="Arial" w:cs="Arial" w:eastAsia="Arial" w:hAnsi="Arial"/>
                <w:sz w:val="18"/>
                <w:szCs w:val="18"/>
                <w:color w:val="auto"/>
              </w:rPr>
              <w:t>Intangibles and related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26,324</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4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12,884</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14,584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11,341</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2,675,950</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1,916,547</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(2,514,258)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(1,762,090)</w:t>
            </w: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161,692</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154,457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Prepaid insurance, maintenance and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(6,280)</w:t>
            </w: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Long-term:</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(176,036)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(199,956)</w:t>
            </w: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Deferred tax assets—Foreign:</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4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40"/>
              <w:spacing w:after="0"/>
              <w:rPr>
                <w:sz w:val="20"/>
                <w:szCs w:val="20"/>
                <w:color w:val="auto"/>
              </w:rPr>
            </w:pPr>
            <w:r>
              <w:rPr>
                <w:rFonts w:ascii="Arial" w:cs="Arial" w:eastAsia="Arial" w:hAnsi="Arial"/>
                <w:sz w:val="18"/>
                <w:szCs w:val="18"/>
                <w:color w:val="auto"/>
              </w:rPr>
              <w:t>Net operating loss carryforwards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13,701</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17,441</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4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840"/>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(38,256)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(33,913)</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Net deferred tax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(18,378)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(48,677)</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2013, the Company had foreign tax credit carryforwards (net of uncertain tax positions) of $2,615 million. Of this amount, $660.5 million will expire in 2018, $110.9 million will expire in 2019, $530.4 million in 2020, $540.3 million in 2021 and $772.6 million in 2023. The Company has no U.S. tax loss carryforwards. The Company incurred foreign tax losses of $42.4 million, $79.1 million and $70.9 million during the tax years ended December 31, 2013, 2012 and 2011, respectively. These foreign tax loss carryforwards expire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40"/>
          </w:cols>
          <w:pgMar w:left="240" w:top="459" w:right="3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2016, 2015, and 2014, respectively. The Company incurred a U.S. capital loss of $3.6 million during the year ended December 31, 2011. The U.S. capital loss carryforward will expire in 2016.</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assessing the need for a valuation allowance, the Company does not currently consider forecasted future operating results when scheduling the realization of deferred tax assets and the required valuation allowance but instead relies solely on the reversal of net taxable temporary differences. The valuation allowance for foreign tax credits was determined by scheduling the existing U.S. taxable temporary differences that are expected to reverse and result in “net” foreign source income during the 10-year foreign tax credit carryover period.</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of December 31, 2013 and 2012, the Company had valuation allowances of $2,543 million and $1,786 million, respectively, provided on foreign tax credits expected to expire unutilized and valuation allowances of $5.8 million and $11.1 million provided on other U.S. deferred tax assets. The Company has recorded a valuation allowance against all of its foreign deferred tax assets.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Except for $434 million of accumulated earnings which the Company plans on repatriating, the Company has not provided deferred U.S. income taxes or foreign withholding taxes on temporary differences of $388.1 million and $333.6 million as of December 31, 2013 and 2012, respectively, which are indefinitely reinvested and will be used to fund future operations or expansion. The amount of the unrecognized deferred tax liability associated with these temporary differences is approximately $135.8 million and $116.8 million for the years ended December 31, 2013 and 2012. Deferred income taxes, net of foreign tax credits, are provided for foreign earnings planned for repatriation. For the years ended December 31, 2013 and 2012, the Company repatriated $840.9 million and $0 from Wynn Macau, Limited. The amounts repatriated were used to fund domestic operations, to provide additional U.S. liquidity, and to fund dividends to the Company’s shareholders.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As of</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880" w:type="dxa"/>
            <w:vAlign w:val="bottom"/>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2"/>
                <w:szCs w:val="12"/>
                <w:color w:val="auto"/>
              </w:rPr>
            </w:pPr>
          </w:p>
        </w:tc>
        <w:tc>
          <w:tcPr>
            <w:tcW w:w="6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Balance—beginning of year</w:t>
            </w:r>
          </w:p>
        </w:tc>
        <w:tc>
          <w:tcPr>
            <w:tcW w:w="1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$84,289</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$85,498</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$ 83,834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Additions based on tax positions of the current year</w:t>
            </w:r>
          </w:p>
        </w:tc>
        <w:tc>
          <w:tcPr>
            <w:tcW w:w="2300" w:type="dxa"/>
            <w:vAlign w:val="bottom"/>
            <w:gridSpan w:val="3"/>
          </w:tcPr>
          <w:p>
            <w:pPr>
              <w:jc w:val="right"/>
              <w:ind w:right="260"/>
              <w:spacing w:after="0"/>
              <w:rPr>
                <w:sz w:val="20"/>
                <w:szCs w:val="20"/>
                <w:color w:val="auto"/>
              </w:rPr>
            </w:pPr>
            <w:r>
              <w:rPr>
                <w:rFonts w:ascii="Arial" w:cs="Arial" w:eastAsia="Arial" w:hAnsi="Arial"/>
                <w:sz w:val="18"/>
                <w:szCs w:val="18"/>
                <w:color w:val="auto"/>
              </w:rPr>
              <w:t>8,360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8,140</w:t>
            </w:r>
          </w:p>
        </w:tc>
        <w:tc>
          <w:tcPr>
            <w:tcW w:w="5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12,427</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of prior years</w:t>
            </w:r>
          </w:p>
        </w:tc>
        <w:tc>
          <w:tcPr>
            <w:tcW w:w="1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4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Lapses in statutes of limitations</w:t>
            </w:r>
          </w:p>
        </w:tc>
        <w:tc>
          <w:tcPr>
            <w:tcW w:w="14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(3,105)</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(9,349)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(10,763)</w:t>
            </w:r>
          </w:p>
        </w:tc>
      </w:tr>
      <w:tr>
        <w:trPr>
          <w:trHeight w:val="27"/>
        </w:trPr>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Balance—end of year</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89,544</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84,289</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$ 85,498</w:t>
            </w:r>
          </w:p>
        </w:tc>
      </w:tr>
      <w:tr>
        <w:trPr>
          <w:trHeight w:val="20"/>
        </w:trPr>
        <w:tc>
          <w:tcPr>
            <w:tcW w:w="5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As of December 31, 2013, 2012, and 2011 unrecognized tax benefits of $60.3 million, $55.2 million, and $60.4 million, respectively, were recorded as reductions to the U.S. foreign tax credit deferred tax asset and the foreign net operating loss deferred tax asset. As of December 31, 2013, 2012, and 2011, unrecognized tax benefits of $29.2 million, $29.1 million and $25.1 million, respectively, were recorded in Other long-term liabilities.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2013, 2012 and 2011, $20.7 million, $18.8 million and $24.2 million, respectively, of unrecognized tax benefits would, if recognized, impact the effective tax rate.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000" w:firstLine="456"/>
        <w:spacing w:after="0" w:line="332" w:lineRule="auto"/>
        <w:rPr>
          <w:sz w:val="20"/>
          <w:szCs w:val="20"/>
          <w:color w:val="auto"/>
        </w:rPr>
      </w:pPr>
      <w:r>
        <w:rPr>
          <w:rFonts w:ascii="Arial" w:cs="Arial" w:eastAsia="Arial" w:hAnsi="Arial"/>
          <w:sz w:val="16"/>
          <w:szCs w:val="16"/>
          <w:color w:val="auto"/>
        </w:rPr>
        <w:t>The Company recognizes penalties and interest related to unrecognized tax benefits in the provision for income taxes. During the years ended December 31, 2013, 2012 and 2011, the Company recognized interest and penalties of $0, $0.3 million and $0.04 million, respectively.</w:t>
      </w:r>
    </w:p>
    <w:p>
      <w:pPr>
        <w:spacing w:after="0" w:line="8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anticipates that the 2009 statute of limitations will expire in the next 12 months for certain foreign tax jurisdictions. Also, the Company’s unrecognized tax benefits include certain income tax accounting methods. These accounting methods govern the timing and deductibility of income tax deductions. As a result, the Company’s unrecognized tax benefits could increase by a range of $0 to $0.5 million over the next 12 months.</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 files income tax returns in the U.S. federal jurisdiction, various states and foreign jurisdictions. The Company’s income tax returns are subject to examination by the IRS and other tax authorities in the locations where it operates. The Company’s 2002 to 2009 domestic income tax returns remain subject to examination by the IRS to the extent of tax attributes carryforwards to future years. The Company’s 2010 to 2012 domestic income tax returns also remain subject to examination by the IRS. The Company’s 2009 to 2012 Macau income tax returns remain subject to examination by the Macau Financial Services Bureau.</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April 2012, the Company reached an agreement with the Appellate division of the IRS regarding issues raised during the examination of the 2006 through 2009 U.S. income tax returns. The settlement with the Appellate division did not impact the Company’s unrecognized tax benefits. The settlement of the 2006 through 2009 examination issues resulted in a cash tax payment of $1.3 million and the utilization of $3.1 million and $0.9 million in foreign tax credit and general business credit carryforwards, respectively.</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December 2012, the IRS completed an examination of the Company’s 2010 U.S. income tax return and had no changes. In May 2013, the Company received notification that the IRS completed its examination of the Company’s 2011 U.S. income tax return and had no changes.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tax year 2012, the Company is participating in the IRS Compliance Assurance Program (“CAP”) which accelerates IRS examination of key transactions with the goal of resolving any issues before the taxpayer files its return. The Company believes the IRS will complete their examination of the 2012 tax year in the next 12 months. In March 2013, the Company received notification that it had been selected for the Compliance Maintenance phase of CAP for the 2013 tax year. In the Compliance Maintenance phase, the IRS, at its discretion, may reduce the level of review of the taxpayer’s tax positions based on the complexity and number of issues, and the taxpayer’s history of compliance, cooperation and transparency in the CAP. The Company does not expect a change in its unrecognized tax benefits as a result of the completion of these examinations.</w:t>
      </w:r>
    </w:p>
    <w:p>
      <w:pPr>
        <w:spacing w:after="0" w:line="12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During August 2011, Wynn Macau settled an appeal related to the Macau Financial Services Bureau’s examination of its 2006 and 2007 Macau Complementary Tax returns. As part of the settlement, the Company paid $1.1 million in Macau Complementary tax. As the result of the exam settlement and the expiration of the statute of limitations for the 2006 Macau Complementary tax return, the total amount of unrecognized tax benefits decreased by $10.8 million.</w:t>
      </w:r>
    </w:p>
    <w:p>
      <w:pPr>
        <w:spacing w:after="0" w:line="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July 2012, the Macau Financial Services Bureau commenced an examination of the 2008 Macau income tax return of Wynn Macau. In November 2012, the Company received the results of the examination. While no additional tax was due, adjustments were made to the Company’s foreign net operating loss carryforwards.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On December 31, 2013, the statute of limitations for the 2008 Macau Complementary tax return expired. As a result, the Company’s unrecognized tax benefits decreased by $3.1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January 2013, the Macau Financial Services Bureau examined the 2009 and 2010 Macau income tax returns of Palo, which is a co-holder of the land concession for Wynn Palace. The exam resulted in no change to the tax returns.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March 2013, the Macau Financial Services Bureau commenced an examination of the 2009, 2010, and 2011 Macau income tax returns of Wynn Macau. Since the examination is in its initial stages, the Company is unable to determine if it will conclude within the next 12 months. The Company believes that its liability for uncertain tax positions is adequate with respect to these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Cotai Development and Land Concession Contract</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September 2011, Palo Real Estate Company Limited (“Palo”) and Wynn Macau, each an 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(which includes interest at 5%) due beginning November 2012. As of December 31, 2013 and 2012, the Company has recorded this obligation and related asset with $29.3 million and $27.9 million included as a current liability, respectively and $46.8 million and $76.2 million, respectively, included as a long-term liability. The Company is also required to make annual lease payments of $0.8 million during the resort construction period and annual payments of approximately $1.1 million once the development is completed.</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is currently constructing Wynn Palace, a full-scale integrated resort containing a 1,700-room hotel, performance lake, meeting space, casino, spa, retail offerings and food and beverage outlets. The total project budget, including construction costs, capitalized interest, pre-opening expenses, land costs and financing fees, is $4 billion. The Company continues to remain on schedule for an opening in the first half of 2016.</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July 29, 2013, Wynn Macau and Palo finalized and executed a guaranteed maximum price construction (“GMP”) contract with Leighton Contractors (Asia) Limited, acting as the general contractor. Under the GMP contract, the general contractor is responsible for both the construction and design of the Wynn Palace project. The general contractor is obligated to substantially complete the project in the first half of 2016 for a guaranteed maximum price of HK$20 billion (approximately $2.57 billion). An early completion bonus for achievement of substantial completion on or before January 25, 2016 will be paid to the general contractor if certain conditions are satisfied under the GMP contract. Both the contract time and guaranteed maximum price are subject to further adjustment under certain specified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and other arrangements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is the lessor under several retail leases and has entered into license and distribution agreements for several additional retail outlets. The Company also is a party to joint venture agreements for the operation of one retail outlet and the Ferrari and Maserati automobile dealership at Wynn Las Vegas. The lease agreements include minimum base rents with contingent rental clauses.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future minimum rentals to be received under the operating leases (amounts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2015</w:t>
            </w:r>
          </w:p>
        </w:tc>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2017</w:t>
            </w:r>
          </w:p>
        </w:tc>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170,678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total future minimum rentals do not include contingent rental. Contingent rentals were $101 million, $94 million and $73.2 million for the years ended December 31, 2013, 2012, and 2012, respectively.</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addition, the Company is the lessee under leases for office space in Las Vegas, Macau and certain other locations, warehouse facilities, the land underlying the Company’s aircraft hangar and certain office equipment.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December 31, 2013, the Company was obligated under non-cancelable operating leases to make future minimum lease payments as follows (amounts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2015</w:t>
            </w:r>
          </w:p>
        </w:tc>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2017</w:t>
            </w:r>
          </w:p>
        </w:tc>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31,671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the years ended December 31, 2013, 2012 and 2011, was $21.9 million, $21.5 million and $20.2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the Company had unsecured outstanding letters of credit of $16.7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In addition to the actions noted below, the Company’s affiliates are involved in litigation arising in the normal course of business. In the opinion of management, such litigation will not have a material effect on the Company’s financial condition, results of operations or cash flows.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Atlantic-Pacific Capital</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May 3, 2010, Atlantic-Pacific Capital, Inc. (“APC”) filed an arbitration demand with JAMS, a private alternative dispute resolution provider, regarding an agreement with the Company. The action concerns a claim for compensation of approximately $32 million pursuant to an agreement entered into between APC and the Company on or about March 30, 2008, whereby APC was engaged to raise private equity capital for a specific investment vehicle sponsored by the Company. APC is seeking compensation unrelated to the investment vehicle. The Company has denied APC’s claims for compensation. The Company filed a Complaint for Damages and Declaratory Relief against APC in the Eighth Judicial District Court, Clark County, Nevada, on May 10, 2010, which APC removed to the United States District Court, District of Nevada. In March 2011, the District Court denied APC’s motion to compel arbitration, and dismissed the action. APC appealed, and on November 13, 2012, the United States Court of Appeals for the Ninth Circuit reversed the District Court and compelled .arbitration. The arbitration is set for April 2014. An arbitrator has been selected, and the parties have been engaging in discovery. Management believes that APC’s claims against the Company are without merit, and the Company intends to continue to defend this matter vigorously.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9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On February 18, 2012, Wynn Resorts’ Gaming Compliance Committee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have received concerning these policies.</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the Aruze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In addition,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Additionally,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its articles of incorporation, Wynn Resorts issued the Redemption Note to Aruze USA, Inc. in redemption of the shares. The Redemption Note has a principal amount of $1.94 billion, matures on February 18, 2022 and bears interest at the rate of</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4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Action and Counterclaim</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cancelling the shares of Aruze, USA, Inc.</w:t>
      </w:r>
    </w:p>
    <w:p>
      <w:pPr>
        <w:spacing w:after="0" w:line="113"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USA, Inc. were exempt from the redemption-for-unsuitability provisions in the Wynn Resorts articles of incorporation (the “Articles”) pursuant to certain agreements executed in 2002; (2) that the Wynn Resorts directors who authorized the redemption of Aruze USA, Inc.’s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USA, Inc. fair value for the redeemed shares; and (4) that the terms of the Redemption Note that Aruze USA, Inc. received in exchange for the redeemed shares, including the Redemption Note’s principal amount, duration, interest rate, and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subordinated status, were unconscionable. Among other relief, the Counterclaim seeks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June 19, 2012, Elaine Wynn responded to the Counterclaim and asserted a cross claim against Steve Wynn and Kazuo Okada seeking a declaration that</w:t>
      </w:r>
    </w:p>
    <w:p>
      <w:pPr>
        <w:spacing w:after="0" w:line="50" w:lineRule="exact"/>
        <w:rPr>
          <w:sz w:val="20"/>
          <w:szCs w:val="20"/>
          <w:color w:val="auto"/>
        </w:rPr>
      </w:pPr>
    </w:p>
    <w:p>
      <w:pPr>
        <w:ind w:right="20" w:firstLine="8"/>
        <w:spacing w:after="0" w:line="285" w:lineRule="auto"/>
        <w:tabs>
          <w:tab w:leader="none" w:pos="2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for the Issuers provide that if Stephen A. Wynn, together with certain related parties, in the aggregate beneficially owns a lesser percentage of the outstanding common stock of the Company than are beneficially owned by any other person, a change of control will have occurred. If Elaine Wynn prevails in her cross claim, Stephen A. Wynn would not beneficially own or control Elaine Wynn’s shares and a change in control may result under the Wynn Las Vegas debt documents. Under the 2020 Indentures, the occurrence of a change of control requires that the Company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Under the 2023 Indenture, if a change of control occurs and within 60 days after that occurrence the 4 1/4% Senior Notes due 2023 are rated below investment grade by both rating agencies that rate such notes, the Company is required to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 The parties had been engaged in discovery at the time the court entered the Stay (defined and discussed below). Therefore, although the court previously set a timetable for all discovery, pre-trial and trial deadlines, with a five-week jury trial scheduled to commence in April 2014, this schedule will necessarily change due to the Stay.</w:t>
      </w:r>
    </w:p>
    <w:p>
      <w:pPr>
        <w:spacing w:after="0" w:line="12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February 13, 2013, the Okada Parties filed a motion in the Nevada state court asking the court to establish an escrow account (specifically, they asked the court to establish a “disputed ownership fund,” as defined in a federal tax regulation (“DOF”) to hold the Redemption Note as well as the redeemed shares themselves (although those shares were previously cancelled in February 2012), until the resolution of the Redemption Action and Counterclaim. The Okada Parties subsequently filed reply papers in further support of their motion, in which they narrowed the relief they were seeking, specifically by withdrawing their request that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redeemed shares be placed into the escrow account. On April 17, 2013, the court entered an order granting the Okada Parties’ motion in part as to the narrowed relief outlined in their reply papers. Among other things, the court’s order directed the Okada Parties to establish an escrow account with a third party (without making any ruling as to whether such an account would satisfy the requirements of a DOF) to hold interest payments tendered by the Company on the Redemption Note. Per the court’s order, the Company is to have no responsibility for fees or costs of the account, and will receive a full release and indemnity related to the account. On February 14, 2013 and February 13, 2014, the Company issued checks to Aruze USA, Inc. in the amounts of $38.7 million, representing the interest payments due on the Redemption Note at those times. However, as of the date of this report, the checks remain uncashed. The parties engaged in discussions regarding the terms of the escrow agreement contemplated by the court’s order. However, the Okada Parties recently advised of their intent to deposit any checks for interest and principal, past and future, due under the terms of the Redemption Note to the Clerk of the Court for deposit into the Clerk’s Trust Account.</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period of six months, expiring May 2, 2014.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Stay, the Company will continue to vigorously pursue its claims against the Okada Parties, and the Company and the Wynn Parties will continue to vigorously defend against the counterclaims asserted against them. The Company’s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Japan Action: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August 28, 2012, Mr. Okada, Universal Entertainment Corporation and Okada Holdings (“Okada Japan Parties”) filed a complaint in Tokyo District Court against the Company, all members of the Board of Directors (other than Mr. Okada) and the Company’s General Counsel (the “Wynn Parties”), alleging that the press release issued by the Company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An informal hearing on the matter has been scheduled for February 27, 2014.</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Indemnification Action: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20, 2013, Mr. Okada filed a complaint against the Company in Nevada state court for indemnification under the Company’s Articles, bylaws and agreements with its directors. The complaint seeks advancement of Mr. Okada’s costs and expenses (including attorney’s fees) incurred pursuant to the various legal proceedings and related regulatory investigations described above. The Company believes there is no basis for the relief requested in the complaint and intends to vigorously defend against this matter. The Company’s answer and counterclaim was filed on April 15, 2013. The counterclaim names each of the Okada Parties as defendants and seeks indemnification under the Company’s Articles for costs and expenses (including attorney’s fees) incurred pursuant to the various legal proceedings and related regulatory investigations described above. On April 30, 2013, Mr. Okada filed his reply to the counterclaim.</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June 14, 2013, Mr. Okada filed a motion for partial summary judgment that he was entitled to advancement of his expenses incurred in the various proceedings and investigations. Mr. Okada also filed a special motion to dismiss, arguing that the Company’s counterclaims seek to infringe upon Mr. Okada’s right to petition the court, and constitute a strategic lawsuit against public policy. The Company’s counterclaims seek only to enforce Wynn Resorts’ contractual right to indemnity under Article VII, Section 4 of the Company’s Articles. At a hearing on August 1, 2013, the court denied both motions and provided for limited discovery (i.e., discovery that does not implicate any of the issues subject to the Stay entered in the Redemption Action). On August 2, 2013, the court stayed discovery in the indemnification action related to the government investigations (consistent with the Stay in the Redemption Action), and ordered that all other discovery be conducted within ninety (90) days.</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August 22, 2013, the Company noticed Mr. Okada’s deposition for September 16, 2013. Mr. Okada filed a motion for protective order seeking to vacate his deposition, arguing that he did not have any information relevant to his claims for advancement of fees and/or indemnity that he asserted against the Company. On October 18, 2013, after a full briefing by the parties, the court denied Mr. Okada’s motion and entered an order stating that Mr. Okada’s deposition testimony is relevant to the claims he asserted against the Company, that Mr. Okada may not designate someone else to testify on his behalf, and that the Company may sequence discovery in the action as it chooses. On February 4, 2014, the court entered an order on the parties’ stipulation that: (1) dismissed Okada’s claims asserted against the Company in that action (i.e., all Okada’s claims that relate to advancement); (2) reserved Okada’s right to assert, in the future, any claims for indemnity following the resolution of the Redemption Action; and (3) stayed the claims asserted by the Company against Okada in that action pending the resolution of the Redemption Action.</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these actions or the range of reasonably possible loss, if 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Investigations: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the U.S. Department of Justice’s Motion to Intervene and for Temporary and Partial Stay of Discovery in the Redemption Action, the Department of Justice states in a footnote that the government also has been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conducting a criminal investigation into the Company’s donation to the University of Macau discussed above. The Company has not received any target letter or subpoena in connection with such an investigation. The Company intends to cooperate fully with the government in response to any inquiry related to the donation to the University of Macau.</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Derivative Claims: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four federal actions brought by the following plaintiffs have been consolidated: (1) The Louisiana Municipal Police Employees’ Retirement System,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Maryanne Solak, (3) Excavators Union Local 731 Welfare Fund, and (4) Boilermakers Lodge No. 154 Retirement Fund (collectively, the “Federal Plaintiffs”).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38" w:lineRule="exact"/>
        <w:rPr>
          <w:sz w:val="20"/>
          <w:szCs w:val="20"/>
          <w:color w:val="auto"/>
        </w:rPr>
      </w:pPr>
    </w:p>
    <w:p>
      <w:pPr>
        <w:ind w:right="140" w:firstLine="8"/>
        <w:spacing w:after="0" w:line="306" w:lineRule="auto"/>
        <w:tabs>
          <w:tab w:leader="none" w:pos="249"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injunctive relief; and (4) unjust enrichment. The claims are against the Company and all Company directors, including Mr. Okada, however, the plaintiffs voluntarily dismissed Mr. Okada as a defendant in this consolidated action on September 27, 2012. The Federal Plaintiffs claim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 USA, Inc.’s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The Federal Plaintiffs filed their opposition on July 8, 2013, and the Company and directors filed their reply on August 8, 2013. The court has not yet ruled on this motion.</w:t>
      </w:r>
    </w:p>
    <w:p>
      <w:pPr>
        <w:spacing w:after="0" w:line="11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two state court actions brought by the following plaintiffs have also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 (3) gross mismanagement; and (4) unjust enrichment. The claims are against the Company and all Company directors, including Mr. Okada, as well as the Company’s Chief Financial Officer, who signs financial disclosures filed with the SEC. The State Plaintiffs claim that the individual defendants failed to disclose to the Company’s stockholders the investigation into, and the dispute with director Okada as well as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w:t>
      </w:r>
    </w:p>
    <w:p>
      <w:pPr>
        <w:spacing w:after="0" w:line="3"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Mr. Okada (among others). Per the stipulation, Wynn Resorts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w:t>
      </w:r>
    </w:p>
    <w:p>
      <w:pPr>
        <w:spacing w:after="0" w:line="2"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However, on July 31, 2013, the parties agreed to a stipulation that was submitted to, and approved by the court. The stipulation contemplates a stay of the consolidated state court derivative action of equal duration as the Stay entered by the court in the Redemption Action. On February 5, 2014, the court entered a new stipulation between the parties that provides for a further stay of the state derivative action and directs the parties, within 30 days of the conclusion of the stay in the Redemption Action, to discuss how the state derivative action should proceed and to file a joint report with the court.</w:t>
      </w:r>
    </w:p>
    <w:p>
      <w:pPr>
        <w:spacing w:after="0" w:line="11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individual defendants are vigorously defending against the claims pleaded against them in these derivative actions. We are unable to predict the outcome of these litigations at this time. Management has determined that based on proceedings to date, it is currently unable to determine the probability of the outcome of these actions or the range of reasonably possible loss, if 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monitors its operations and evaluates earnings by reviewing the assets and operations of its Las Vegas Operations and its Macau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assets and capital expenditures by segment consisted of the following (amounts in thousands):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6"/>
          </w:tcPr>
          <w:p>
            <w:pPr>
              <w:ind w:lef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187"/>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440"/>
              <w:spacing w:after="0"/>
              <w:rPr>
                <w:sz w:val="20"/>
                <w:szCs w:val="20"/>
                <w:color w:val="auto"/>
              </w:rPr>
            </w:pPr>
            <w:r>
              <w:rPr>
                <w:rFonts w:ascii="Arial" w:cs="Arial" w:eastAsia="Arial" w:hAnsi="Arial"/>
                <w:sz w:val="18"/>
                <w:szCs w:val="18"/>
                <w:color w:val="auto"/>
              </w:rPr>
              <w:t>Macau Operations</w:t>
            </w:r>
          </w:p>
        </w:tc>
        <w:tc>
          <w:tcPr>
            <w:tcW w:w="3940" w:type="dxa"/>
            <w:vAlign w:val="bottom"/>
            <w:gridSpan w:val="3"/>
          </w:tcPr>
          <w:p>
            <w:pPr>
              <w:jc w:val="right"/>
              <w:spacing w:after="0"/>
              <w:rPr>
                <w:sz w:val="20"/>
                <w:szCs w:val="20"/>
                <w:color w:val="auto"/>
              </w:rPr>
            </w:pPr>
            <w:r>
              <w:rPr>
                <w:rFonts w:ascii="Arial" w:cs="Arial" w:eastAsia="Arial" w:hAnsi="Arial"/>
                <w:sz w:val="18"/>
                <w:szCs w:val="18"/>
                <w:color w:val="auto"/>
              </w:rPr>
              <w:t>$3,918,163</w:t>
            </w:r>
          </w:p>
        </w:tc>
        <w:tc>
          <w:tcPr>
            <w:tcW w:w="2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$ 3,004,658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 Operations</w:t>
            </w:r>
          </w:p>
        </w:tc>
        <w:tc>
          <w:tcPr>
            <w:tcW w:w="3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3,576,649</w:t>
            </w: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3,669,881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440"/>
              <w:spacing w:after="0"/>
              <w:rPr>
                <w:sz w:val="20"/>
                <w:szCs w:val="20"/>
                <w:color w:val="auto"/>
              </w:rPr>
            </w:pPr>
            <w:r>
              <w:rPr>
                <w:rFonts w:ascii="Arial" w:cs="Arial" w:eastAsia="Arial" w:hAnsi="Arial"/>
                <w:sz w:val="18"/>
                <w:szCs w:val="18"/>
                <w:color w:val="auto"/>
              </w:rPr>
              <w:t>Corporate and other</w:t>
            </w:r>
          </w:p>
        </w:tc>
        <w:tc>
          <w:tcPr>
            <w:tcW w:w="316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882,218</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602,055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39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8,377,030</w:t>
            </w: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7,276,594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6"/>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6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2013</w:t>
            </w:r>
          </w:p>
        </w:tc>
        <w:tc>
          <w:tcPr>
            <w:tcW w:w="1300" w:type="dxa"/>
            <w:vAlign w:val="bottom"/>
            <w:tcBorders>
              <w:top w:val="single" w:sz="8" w:color="auto"/>
            </w:tcBorders>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 expenditures</w:t>
            </w:r>
          </w:p>
        </w:tc>
        <w:tc>
          <w:tcPr>
            <w:tcW w:w="3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440"/>
              <w:spacing w:after="0"/>
              <w:rPr>
                <w:sz w:val="20"/>
                <w:szCs w:val="20"/>
                <w:color w:val="auto"/>
              </w:rPr>
            </w:pPr>
            <w:r>
              <w:rPr>
                <w:rFonts w:ascii="Arial" w:cs="Arial" w:eastAsia="Arial" w:hAnsi="Arial"/>
                <w:sz w:val="18"/>
                <w:szCs w:val="18"/>
                <w:color w:val="auto"/>
              </w:rPr>
              <w:t>Macau Operations</w:t>
            </w:r>
          </w:p>
        </w:tc>
        <w:tc>
          <w:tcPr>
            <w:tcW w:w="4180" w:type="dxa"/>
            <w:vAlign w:val="bottom"/>
            <w:gridSpan w:val="4"/>
          </w:tcPr>
          <w:p>
            <w:pPr>
              <w:jc w:val="right"/>
              <w:spacing w:after="0"/>
              <w:rPr>
                <w:sz w:val="20"/>
                <w:szCs w:val="20"/>
                <w:color w:val="auto"/>
              </w:rPr>
            </w:pPr>
            <w:r>
              <w:rPr>
                <w:rFonts w:ascii="Arial" w:cs="Arial" w:eastAsia="Arial" w:hAnsi="Arial"/>
                <w:sz w:val="18"/>
                <w:szCs w:val="18"/>
                <w:color w:val="auto"/>
              </w:rPr>
              <w:t>$442,274</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$ 189,384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 Operations</w:t>
            </w:r>
          </w:p>
        </w:tc>
        <w:tc>
          <w:tcPr>
            <w:tcW w:w="4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63,872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440"/>
              <w:spacing w:after="0"/>
              <w:rPr>
                <w:sz w:val="20"/>
                <w:szCs w:val="20"/>
                <w:color w:val="auto"/>
              </w:rPr>
            </w:pPr>
            <w:r>
              <w:rPr>
                <w:rFonts w:ascii="Arial" w:cs="Arial" w:eastAsia="Arial" w:hAnsi="Arial"/>
                <w:sz w:val="18"/>
                <w:szCs w:val="18"/>
                <w:color w:val="auto"/>
              </w:rPr>
              <w:t>Corporate and other</w:t>
            </w:r>
          </w:p>
        </w:tc>
        <w:tc>
          <w:tcPr>
            <w:tcW w:w="3500" w:type="dxa"/>
            <w:vAlign w:val="bottom"/>
            <w:gridSpan w:val="2"/>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640</w:t>
            </w:r>
          </w:p>
        </w:tc>
        <w:tc>
          <w:tcPr>
            <w:tcW w:w="600" w:type="dxa"/>
            <w:vAlign w:val="bottom"/>
            <w:gridSpan w:val="2"/>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41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506,786</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$ 240,985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160" w:type="dxa"/>
            <w:vAlign w:val="bottom"/>
            <w:vMerge w:val="restart"/>
          </w:tcPr>
          <w:p>
            <w:pPr>
              <w:jc w:val="right"/>
              <w:ind w:right="1692"/>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Company’s results of operations by segment for the years ended December 31, 2013, 2012 and 2011 consisted of the following (amounts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0"/>
              </w:rPr>
              <w:t>Years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Macau Operations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$4,040,526</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3,667,454</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3,789,073</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 Operations</w:t>
            </w:r>
          </w:p>
        </w:tc>
        <w:tc>
          <w:tcPr>
            <w:tcW w:w="9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1,580,410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1,486,830</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1,480,719</w:t>
            </w:r>
          </w:p>
        </w:tc>
        <w:tc>
          <w:tcPr>
            <w:tcW w:w="100" w:type="dxa"/>
            <w:vAlign w:val="bottom"/>
            <w:shd w:val="clear" w:color="auto" w:fill="CCEEFF"/>
          </w:tcPr>
          <w:p>
            <w:pPr>
              <w:spacing w:after="0"/>
              <w:rPr>
                <w:sz w:val="18"/>
                <w:szCs w:val="18"/>
                <w:color w:val="auto"/>
              </w:rPr>
            </w:pPr>
          </w:p>
        </w:tc>
      </w:tr>
      <w:tr>
        <w:trPr>
          <w:trHeight w:val="222"/>
        </w:trPr>
        <w:tc>
          <w:tcPr>
            <w:tcW w:w="4980" w:type="dxa"/>
            <w:vAlign w:val="bottom"/>
          </w:tcPr>
          <w:p>
            <w:pPr>
              <w:ind w:left="880"/>
              <w:spacing w:after="0"/>
              <w:rPr>
                <w:sz w:val="20"/>
                <w:szCs w:val="20"/>
                <w:color w:val="auto"/>
              </w:rPr>
            </w:pPr>
            <w:r>
              <w:rPr>
                <w:rFonts w:ascii="Arial" w:cs="Arial" w:eastAsia="Arial" w:hAnsi="Arial"/>
                <w:sz w:val="18"/>
                <w:szCs w:val="18"/>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5,620,936</w:t>
            </w:r>
          </w:p>
        </w:tc>
        <w:tc>
          <w:tcPr>
            <w:tcW w:w="1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5,154,284</w:t>
            </w:r>
          </w:p>
        </w:tc>
        <w:tc>
          <w:tcPr>
            <w:tcW w:w="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5,269,792</w:t>
            </w:r>
          </w:p>
        </w:tc>
      </w:tr>
      <w:tr>
        <w:trPr>
          <w:trHeight w:val="20"/>
        </w:trPr>
        <w:tc>
          <w:tcPr>
            <w:tcW w:w="4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18"/>
                <w:szCs w:val="18"/>
                <w:color w:val="auto"/>
              </w:rPr>
              <w:t>(1)</w:t>
            </w: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Macau Operations</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$1,324,119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1,167,340</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1,196,232</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 Operations</w:t>
            </w:r>
          </w:p>
        </w:tc>
        <w:tc>
          <w:tcPr>
            <w:tcW w:w="9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486,682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408,472</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439,036</w:t>
            </w:r>
          </w:p>
        </w:tc>
        <w:tc>
          <w:tcPr>
            <w:tcW w:w="100" w:type="dxa"/>
            <w:vAlign w:val="bottom"/>
            <w:shd w:val="clear" w:color="auto" w:fill="CCEEFF"/>
          </w:tcPr>
          <w:p>
            <w:pPr>
              <w:spacing w:after="0"/>
              <w:rPr>
                <w:sz w:val="18"/>
                <w:szCs w:val="18"/>
                <w:color w:val="auto"/>
              </w:rPr>
            </w:pPr>
          </w:p>
        </w:tc>
      </w:tr>
      <w:tr>
        <w:trPr>
          <w:trHeight w:val="230"/>
        </w:trPr>
        <w:tc>
          <w:tcPr>
            <w:tcW w:w="4980" w:type="dxa"/>
            <w:vAlign w:val="bottom"/>
          </w:tcPr>
          <w:p>
            <w:pPr>
              <w:ind w:left="880"/>
              <w:spacing w:after="0"/>
              <w:rPr>
                <w:sz w:val="20"/>
                <w:szCs w:val="20"/>
                <w:color w:val="auto"/>
              </w:rPr>
            </w:pPr>
            <w:r>
              <w:rPr>
                <w:rFonts w:ascii="Arial" w:cs="Arial" w:eastAsia="Arial" w:hAnsi="Arial"/>
                <w:sz w:val="18"/>
                <w:szCs w:val="18"/>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1,810,801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1,575,812</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1,635,268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9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Pre-opening costs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3,169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371,051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373,199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398,039</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17,138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39,978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130,649</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expenses and other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128,267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131,807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96,868</w:t>
            </w:r>
          </w:p>
        </w:tc>
      </w:tr>
      <w:tr>
        <w:trPr>
          <w:trHeight w:val="223"/>
        </w:trPr>
        <w:tc>
          <w:tcPr>
            <w:tcW w:w="4980" w:type="dxa"/>
            <w:vAlign w:val="bottom"/>
          </w:tcPr>
          <w:p>
            <w:pPr>
              <w:ind w:left="440"/>
              <w:spacing w:after="0"/>
              <w:rPr>
                <w:sz w:val="20"/>
                <w:szCs w:val="20"/>
                <w:color w:val="auto"/>
              </w:rPr>
            </w:pPr>
            <w:r>
              <w:rPr>
                <w:rFonts w:ascii="Arial" w:cs="Arial" w:eastAsia="Arial" w:hAnsi="Arial"/>
                <w:sz w:val="18"/>
                <w:szCs w:val="18"/>
                <w:color w:val="auto"/>
              </w:rPr>
              <w:t>Equity in income from unconsolidated affiliates</w:t>
            </w:r>
          </w:p>
        </w:tc>
        <w:tc>
          <w:tcPr>
            <w:tcW w:w="9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r>
      <w:tr>
        <w:trPr>
          <w:trHeight w:val="216"/>
        </w:trPr>
        <w:tc>
          <w:tcPr>
            <w:tcW w:w="4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operating costs and expenses</w:t>
            </w:r>
          </w:p>
        </w:tc>
        <w:tc>
          <w:tcPr>
            <w:tcW w:w="9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520,710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546,536</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627,028</w:t>
            </w:r>
          </w:p>
        </w:tc>
        <w:tc>
          <w:tcPr>
            <w:tcW w:w="100" w:type="dxa"/>
            <w:vAlign w:val="bottom"/>
            <w:shd w:val="clear" w:color="auto" w:fill="CCEEFF"/>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Operating income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1,290,091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1,029,276</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1,008,240</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9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15,713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12,543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7,654</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 of amounts capitalized</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(299,022)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(288,759)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(229,918)</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Increase in swap fair value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14,235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14,151</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extinguishment of debt</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(40,435)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(25,151)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Equity in income from unconsolidated affiliates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1,472</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00" w:type="dxa"/>
            <w:vAlign w:val="bottom"/>
            <w:shd w:val="clear" w:color="auto" w:fill="CCEEFF"/>
          </w:tcPr>
          <w:p>
            <w:pPr>
              <w:spacing w:after="0"/>
              <w:rPr>
                <w:sz w:val="18"/>
                <w:szCs w:val="18"/>
                <w:color w:val="auto"/>
              </w:rPr>
            </w:pPr>
          </w:p>
        </w:tc>
      </w:tr>
      <w:tr>
        <w:trPr>
          <w:trHeight w:val="230"/>
        </w:trPr>
        <w:tc>
          <w:tcPr>
            <w:tcW w:w="4980" w:type="dxa"/>
            <w:vAlign w:val="bottom"/>
          </w:tcPr>
          <w:p>
            <w:pPr>
              <w:ind w:left="880"/>
              <w:spacing w:after="0"/>
              <w:rPr>
                <w:sz w:val="20"/>
                <w:szCs w:val="20"/>
                <w:color w:val="auto"/>
              </w:rPr>
            </w:pPr>
            <w:r>
              <w:rPr>
                <w:rFonts w:ascii="Arial" w:cs="Arial" w:eastAsia="Arial" w:hAnsi="Arial"/>
                <w:sz w:val="18"/>
                <w:szCs w:val="18"/>
                <w:color w:val="auto"/>
              </w:rPr>
              <w:t>Total other non-operating costs and expenses</w:t>
            </w:r>
          </w:p>
        </w:tc>
        <w:tc>
          <w:tcPr>
            <w:tcW w:w="9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(303,568)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(296,278)</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(202,673)</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986,523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732,998</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805,567</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9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17,634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(4,299)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19,546</w:t>
            </w:r>
          </w:p>
        </w:tc>
      </w:tr>
      <w:tr>
        <w:trPr>
          <w:trHeight w:val="27"/>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1,004,157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728,699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825,113</w:t>
            </w:r>
          </w:p>
        </w:tc>
      </w:tr>
      <w:tr>
        <w:trPr>
          <w:trHeight w:val="20"/>
        </w:trPr>
        <w:tc>
          <w:tcPr>
            <w:tcW w:w="4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9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80"/>
          </w:cols>
          <w:pgMar w:left="240" w:top="459" w:right="3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Information (Unaudited)</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following tables (amounts in thousands, except per share data) present selected quarterly financial information for 2013 and 2012, as previously reported. Because income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86"/>
              </w:rPr>
              <w:t>Year Ended December 31, 2013</w:t>
            </w: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2"/>
                <w:szCs w:val="12"/>
                <w:color w:val="auto"/>
              </w:rPr>
            </w:pPr>
          </w:p>
        </w:tc>
        <w:tc>
          <w:tcPr>
            <w:tcW w:w="7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w w:val="98"/>
              </w:rPr>
              <w:t>Second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7"/>
              </w:rPr>
              <w:t>Third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2"/>
                <w:szCs w:val="12"/>
                <w:color w:val="auto"/>
              </w:rPr>
            </w:pPr>
          </w:p>
        </w:tc>
        <w:tc>
          <w:tcPr>
            <w:tcW w:w="7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1,378,654</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1,332,273</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1,390,112</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1,519,897</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5,620,936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333,648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274,024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313,978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368,441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1,290,091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272,144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1,004,157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income attributable to Wynn Resorts, Limited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202,963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129,785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182,020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213,884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728,652</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Diluted income per share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2.10</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r>
      <w:tr>
        <w:trPr>
          <w:trHeight w:val="345"/>
        </w:trPr>
        <w:tc>
          <w:tcPr>
            <w:tcW w:w="4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86"/>
              </w:rPr>
              <w:t>Year Ended December 31, 2012</w:t>
            </w: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2"/>
                <w:szCs w:val="12"/>
                <w:color w:val="auto"/>
              </w:rPr>
            </w:pPr>
          </w:p>
        </w:tc>
        <w:tc>
          <w:tcPr>
            <w:tcW w:w="7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w w:val="98"/>
              </w:rPr>
              <w:t>Second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7"/>
              </w:rPr>
              <w:t>Third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2"/>
                <w:szCs w:val="12"/>
                <w:color w:val="auto"/>
              </w:rPr>
            </w:pPr>
          </w:p>
        </w:tc>
        <w:tc>
          <w:tcPr>
            <w:tcW w:w="7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1,313,498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1,253,207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1,298,495</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1,289,084</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5,154,284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260,099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264,123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247,092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257,962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1,029,276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198,409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728,699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income attributable to Wynn Resorts, Limited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140,564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138,064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112,035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111,373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502,036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Diluted income per share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On January 30, 2014, the Company announced a cash dividend of $1.25 per share, payable on February 27, 2014 to stockholders of record as of February 13,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20" w:firstLine="464"/>
        <w:spacing w:after="0" w:line="286" w:lineRule="auto"/>
        <w:tabs>
          <w:tab w:leader="none" w:pos="1002"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2013,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27" w:lineRule="exact"/>
        <w:rPr>
          <w:rFonts w:ascii="Arial" w:cs="Arial" w:eastAsia="Arial" w:hAnsi="Arial"/>
          <w:sz w:val="16"/>
          <w:szCs w:val="16"/>
          <w:color w:val="auto"/>
        </w:rPr>
      </w:pPr>
    </w:p>
    <w:p>
      <w:pPr>
        <w:ind w:right="160" w:firstLine="464"/>
        <w:spacing w:after="0" w:line="268" w:lineRule="auto"/>
        <w:tabs>
          <w:tab w:leader="none" w:pos="1012"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2013. In making this assessment, management used the criteria set forth by the Committee of Sponsoring Organizations of the Treadway Commission (1992 framework)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our assessment, management believes that, as of December 31, 2013, the Company’s internal control over financial reporting was effective.</w:t>
      </w:r>
    </w:p>
    <w:p>
      <w:pPr>
        <w:spacing w:after="0" w:line="194"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has issued an audit report on our internal control over financial reporting. This report appears under “Report of Independent Registered Public Accounting Firm on Internal Controls Over Financial Reporting” on page 74.</w:t>
      </w:r>
    </w:p>
    <w:p>
      <w:pPr>
        <w:spacing w:after="0" w:line="85" w:lineRule="exact"/>
        <w:rPr>
          <w:sz w:val="20"/>
          <w:szCs w:val="20"/>
          <w:color w:val="auto"/>
        </w:rPr>
      </w:pPr>
    </w:p>
    <w:p>
      <w:pPr>
        <w:jc w:val="both"/>
        <w:ind w:firstLine="464"/>
        <w:spacing w:after="0" w:line="306" w:lineRule="auto"/>
        <w:tabs>
          <w:tab w:leader="none" w:pos="1002"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have not been any changes in the Company’s internal control over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(as 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information required by this item will be contained in the Registrant’s definitive Proxy Statement for its 2013 Annual Stockholder Meeting to be filed with the Securities and Exchange Commission within 120 days after December 31, 2013 (the “2014 Proxy Statement”) under the captions “Election of Directors”, “Named Executive Officers”, “Corporate Governance” and “Section 16(a) Beneficial Ownership Reporting Compliance,” and is incorporated herein by reference.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As part of the Company’s commitment to integrity, the Board of Directors has adopted a Code of Business Conduct and Ethics applicable to all directors, officers and employees of the Company and its subsidiaries. This Code is periodically reviewed by the Board of Directors. In the event we determine to amend or waive certain provisions of this code of ethics, we intend to disclose such amendments or waivers on our website at </w:t>
      </w:r>
      <w:r>
        <w:rPr>
          <w:rFonts w:ascii="Arial" w:cs="Arial" w:eastAsia="Arial" w:hAnsi="Arial"/>
          <w:sz w:val="16"/>
          <w:szCs w:val="16"/>
          <w:i w:val="1"/>
          <w:iCs w:val="1"/>
          <w:color w:val="auto"/>
        </w:rPr>
        <w:t>http://www.wynnresorts.com</w:t>
      </w:r>
      <w:r>
        <w:rPr>
          <w:rFonts w:ascii="Arial" w:cs="Arial" w:eastAsia="Arial" w:hAnsi="Arial"/>
          <w:sz w:val="16"/>
          <w:szCs w:val="16"/>
          <w:color w:val="auto"/>
        </w:rPr>
        <w:t xml:space="preserve"> under the heading “Corporate Governance” within four business days following such amendment or waiver or as otherwise required by the NASDAQ listing standards.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2014 Proxy Statement under the captions “Director Compensation”, “Compensation Discussion and Analysis” and “Executive Compensation Tables,” and is incorporated herein by reference.</w:t>
      </w:r>
    </w:p>
    <w:p>
      <w:pPr>
        <w:spacing w:after="0" w:line="207" w:lineRule="exact"/>
        <w:rPr>
          <w:sz w:val="20"/>
          <w:szCs w:val="20"/>
          <w:color w:val="auto"/>
        </w:rPr>
      </w:pPr>
    </w:p>
    <w:p>
      <w:pPr>
        <w:ind w:right="100"/>
        <w:spacing w:after="0" w:line="394"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Securities Authorized for Issuance Under Equity Compensation Plans</w:t>
      </w:r>
    </w:p>
    <w:p>
      <w:pPr>
        <w:spacing w:after="0" w:line="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 —“Financial Statements and Supplementary Data” of Part II (see Notes to Consolidated Financial Statements).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Securities to</w:t>
            </w:r>
          </w:p>
        </w:tc>
        <w:tc>
          <w:tcPr>
            <w:tcW w:w="3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be Issued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6"/>
              </w:rPr>
              <w:t>Average</w:t>
            </w: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Upon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3"/>
              </w:rPr>
              <w:t>Exercise</w:t>
            </w: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5"/>
              </w:rPr>
              <w:t>Price of</w:t>
            </w: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Plans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64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(excluding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Options,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4"/>
              </w:rPr>
              <w:t>Options,</w:t>
            </w: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Warrants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92"/>
              </w:rPr>
              <w:t>Warrants</w:t>
            </w: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980" w:type="dxa"/>
            <w:vAlign w:val="bottom"/>
            <w:vMerge w:val="restart"/>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and Rights</w:t>
            </w:r>
          </w:p>
        </w:tc>
        <w:tc>
          <w:tcPr>
            <w:tcW w:w="3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and Rights</w:t>
            </w: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980" w:type="dxa"/>
            <w:vAlign w:val="bottom"/>
            <w:vMerge w:val="continue"/>
          </w:tcPr>
          <w:p>
            <w:pPr>
              <w:spacing w:after="0"/>
              <w:rPr>
                <w:sz w:val="14"/>
                <w:szCs w:val="14"/>
                <w:color w:val="auto"/>
              </w:rPr>
            </w:pPr>
          </w:p>
        </w:tc>
        <w:tc>
          <w:tcPr>
            <w:tcW w:w="10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3"/>
              </w:rPr>
              <w:t>(a)</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6"/>
              <w:spacing w:after="0" w:line="148" w:lineRule="exact"/>
              <w:rPr>
                <w:sz w:val="20"/>
                <w:szCs w:val="20"/>
                <w:color w:val="auto"/>
              </w:rPr>
            </w:pPr>
            <w:r>
              <w:rPr>
                <w:rFonts w:ascii="Arial" w:cs="Arial" w:eastAsia="Arial" w:hAnsi="Arial"/>
                <w:sz w:val="14"/>
                <w:szCs w:val="14"/>
                <w:b w:val="1"/>
                <w:bCs w:val="1"/>
                <w:color w:val="auto"/>
                <w:w w:val="89"/>
              </w:rPr>
              <w:t>(b)</w:t>
            </w:r>
          </w:p>
        </w:tc>
        <w:tc>
          <w:tcPr>
            <w:tcW w:w="640" w:type="dxa"/>
            <w:vAlign w:val="bottom"/>
          </w:tcPr>
          <w:p>
            <w:pPr>
              <w:spacing w:after="0"/>
              <w:rPr>
                <w:sz w:val="14"/>
                <w:szCs w:val="14"/>
                <w:color w:val="auto"/>
              </w:rPr>
            </w:pPr>
          </w:p>
        </w:tc>
        <w:tc>
          <w:tcPr>
            <w:tcW w:w="9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1,606,309</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75.89</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4,438,524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1,606,309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4,438,524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Certain information required by this item will be contained in the 2014 Proxy Statement under the caption “Security Ownership of Certain Beneficial Owners and Management,” and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2014 Proxy Statement under the caption “Certain Relationships and Related Transactions, and “Corporate Governance,”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2014 Proxy Statement under the caption “Ratification of Appointment of Independent Public Accountants,” and is incorporated herein by reference.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color w:val="auto"/>
        </w:rPr>
        <w:t>(a)1. The following consolidated financial statements of the Company are filed as part of this report under Item 8—“Financial Statements and Supplementary Data.”</w:t>
      </w:r>
    </w:p>
    <w:p>
      <w:pPr>
        <w:spacing w:after="0" w:line="5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Balance Sheets as of December 31, 2013 and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December 31, 2013, 2012 and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December 31, 2013, 2012, and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2013, 2012 and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2013, 2012 and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(a)2. Financial Statement Schedules filed in Part IV of this report are listed below:</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Schedule I—Condensed financial information of the registrant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90"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financial statements or notes to the financial statements.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00"/>
          </w:cols>
          <w:pgMar w:left="240" w:top="459" w:right="3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1—CONDENSED FINANCIAL INFORMATION OF THE REGISTRANT</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CONDENSED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ind w:left="40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169,496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33,787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Due from subsidiaries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1,269,696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1,586,186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2,167,377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2,173,609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9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1,936,443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1,936,443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Uncertain tax position liability</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29,275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14,343</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2,035,026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2,069,677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w w:val="93"/>
              </w:rPr>
              <w:t>Common stock, par value $0.01; 400,000,000 shares authorized; 114,170,493 and 113,730,442 shares issued;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101,192,408 and 100,866,712 shares 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12,978,085 and 12,863,730 shares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(1,143,419)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(1,127,947)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888,727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818,821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Wynn Resorts, Limited stockholders’ deficit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(184,507)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316,858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132,351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2,167,377</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2,173,609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CONDENSED STATEMENTS OF INCOME</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5"/>
              </w:rPr>
              <w:t>Years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Wynn Las Vegas management fees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23,721</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22,318</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royalty fees</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160,923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147,101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ind w:left="640"/>
              <w:spacing w:after="0"/>
              <w:rPr>
                <w:sz w:val="20"/>
                <w:szCs w:val="20"/>
                <w:color w:val="auto"/>
              </w:rPr>
            </w:pPr>
            <w:r>
              <w:rPr>
                <w:rFonts w:ascii="Arial" w:cs="Arial" w:eastAsia="Arial" w:hAnsi="Arial"/>
                <w:sz w:val="18"/>
                <w:szCs w:val="18"/>
                <w:color w:val="auto"/>
              </w:rPr>
              <w:t>Net revenues</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184,644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169,419</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45,285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70,602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costs and expenses</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138,936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98,363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143,850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2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(38,715)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(33,650)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Equity in income of subsidiaries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882,760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665,127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669,589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income (expense), net</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845,531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632,593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670,454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984,467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730,956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814,304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(provision) for income taxes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1,004,157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728,699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825,113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(275,505)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(226,663)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(211,742)</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Wynn Resorts, Limited</w:t>
            </w: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728,652</w:t>
            </w: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502,036</w:t>
            </w:r>
          </w:p>
        </w:tc>
        <w:tc>
          <w:tcPr>
            <w:tcW w:w="4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613,371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common share: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860"/>
              <w:spacing w:after="0"/>
              <w:rPr>
                <w:sz w:val="20"/>
                <w:szCs w:val="20"/>
                <w:color w:val="auto"/>
              </w:rPr>
            </w:pPr>
            <w:r>
              <w:rPr>
                <w:rFonts w:ascii="Arial" w:cs="Arial" w:eastAsia="Arial" w:hAnsi="Arial"/>
                <w:sz w:val="18"/>
                <w:szCs w:val="18"/>
                <w:color w:val="auto"/>
              </w:rPr>
              <w:t>Diluted</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4.82</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860"/>
              <w:spacing w:after="0"/>
              <w:rPr>
                <w:sz w:val="20"/>
                <w:szCs w:val="20"/>
                <w:color w:val="auto"/>
              </w:rPr>
            </w:pPr>
            <w:r>
              <w:rPr>
                <w:rFonts w:ascii="Arial" w:cs="Arial" w:eastAsia="Arial" w:hAnsi="Arial"/>
                <w:sz w:val="18"/>
                <w:szCs w:val="18"/>
                <w:color w:val="auto"/>
              </w:rPr>
              <w:t>Basic</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100,540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103,092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104,249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125,667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5"/>
              </w:rPr>
              <w:t>Years Ended December 31,</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118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2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1,004,157</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$ 728,699</w:t>
            </w:r>
          </w:p>
        </w:tc>
        <w:tc>
          <w:tcPr>
            <w:tcW w:w="4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$ 825,113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4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(19,826)</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(3,655)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26,964</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11,894</w:t>
            </w:r>
          </w:p>
        </w:tc>
        <w:tc>
          <w:tcPr>
            <w:tcW w:w="4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discount on investment securities and other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Dividends received from subsidiary</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840,914</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700,025</w:t>
            </w:r>
          </w:p>
        </w:tc>
        <w:tc>
          <w:tcPr>
            <w:tcW w:w="4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578,240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of subsidiaries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(882,760)</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(665,127)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(669,589)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4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(1,695)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38,337</w:t>
            </w:r>
          </w:p>
        </w:tc>
        <w:tc>
          <w:tcPr>
            <w:tcW w:w="4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Due from affiliates</w:t>
            </w: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(23,721)</w:t>
            </w: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(22,318)</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950,061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791,166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investment securities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(222,856)</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(183,484)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(249,374)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Proceeds from sales or maturities of investment securities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95,771</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202,406</w:t>
            </w:r>
          </w:p>
        </w:tc>
        <w:tc>
          <w:tcPr>
            <w:tcW w:w="4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other assets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(33,682)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Due to (from) subsidiaries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(34,132)</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(55,673)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(122,567)</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(48,892)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(204,030)</w:t>
            </w: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distributions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(712,681)</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(955,493)</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20,436</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15,583</w:t>
            </w:r>
          </w:p>
        </w:tc>
        <w:tc>
          <w:tcPr>
            <w:tcW w:w="4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(15,472)</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(911)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(707,717)</w:t>
            </w: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(940,821)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(795,568)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119,777</w:t>
            </w:r>
          </w:p>
        </w:tc>
        <w:tc>
          <w:tcPr>
            <w:tcW w:w="80" w:type="dxa"/>
            <w:vAlign w:val="bottom"/>
          </w:tcPr>
          <w:p>
            <w:pPr>
              <w:spacing w:after="0"/>
              <w:rPr>
                <w:sz w:val="18"/>
                <w:szCs w:val="18"/>
                <w:color w:val="auto"/>
              </w:rPr>
            </w:pP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(198,547)</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(284,075)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179,939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378,486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Balance,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299,716</w:t>
            </w:r>
          </w:p>
        </w:tc>
        <w:tc>
          <w:tcPr>
            <w:tcW w:w="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$ 179,939</w:t>
            </w:r>
          </w:p>
        </w:tc>
        <w:tc>
          <w:tcPr>
            <w:tcW w:w="46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$ 378,486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accompanying condensed financial statements include only the accounts of Wynn Resorts, Limited (the “Company”). Investments in the Company’s subsidiaries are accounted for under the equity method.</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October 2009, Wynn Macau, Limited, an indirect wholly owned subsidiary of the Company and the developer, owner and operator of Wynn Macau, listed its ordinary shares of common stock on The Stock Exchange of Hong Kong Limited. Wynn Macau, Limited sold through an initial public offering, including the over allotment, 1,437,500,000 (27.7%) shares of this subsidiary’s common stock.</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of America have been condensed or omitted since this information is included in the Company’s consolidated financial statements included elsewhere in this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Commitments and Contingencies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a holding company and, as a result, its ability to pay dividends is dependent on its subsidiaries’ ability to provide funds to it. Restrictions imposed by Wynn Las Vegas, LLC (a wholly owned indirect subsidiary of the Company) and Wynn Macau debt instruments significantly restrict certain of the Company’s key subsidiaries holding a majority of the consolidated group’s total assets, including Wynn Las Vegas, LLC, from making dividends or distributions to the Company, subject to certain exceptions for affiliated overhead expenses as defined in the agreements governing Wynn Las Vegas, LLC’s debt instruments, unless certain financial and non-financial criteria have been satisfied. In addition, the terms of the loan agreement of Wynn Resorts (Macau) S.A. contain similar restrictions. The Company received cash dividends of $840.9 million, $700 million and $578.3 million from its subsidiaries during the years ended December 31, 2013, 2012 and 2011, respectively.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60"/>
          </w:cols>
          <w:pgMar w:left="240" w:top="45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80"/>
              </w:rPr>
              <w:t>Provisions</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gridSpan w:val="6"/>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Balance at</w:t>
            </w:r>
          </w:p>
        </w:tc>
        <w:tc>
          <w:tcPr>
            <w:tcW w:w="140" w:type="dxa"/>
            <w:vAlign w:val="bottom"/>
          </w:tcPr>
          <w:p>
            <w:pPr>
              <w:spacing w:after="0"/>
              <w:rPr>
                <w:sz w:val="12"/>
                <w:szCs w:val="12"/>
                <w:color w:val="auto"/>
              </w:rPr>
            </w:pPr>
          </w:p>
        </w:tc>
        <w:tc>
          <w:tcPr>
            <w:tcW w:w="1180" w:type="dxa"/>
            <w:vAlign w:val="bottom"/>
            <w:gridSpan w:val="4"/>
          </w:tcPr>
          <w:p>
            <w:pPr>
              <w:jc w:val="center"/>
              <w:ind w:right="840"/>
              <w:spacing w:after="0" w:line="149" w:lineRule="exact"/>
              <w:rPr>
                <w:sz w:val="20"/>
                <w:szCs w:val="20"/>
                <w:color w:val="auto"/>
              </w:rPr>
            </w:pPr>
            <w:r>
              <w:rPr>
                <w:rFonts w:ascii="Arial" w:cs="Arial" w:eastAsia="Arial" w:hAnsi="Arial"/>
                <w:sz w:val="14"/>
                <w:szCs w:val="14"/>
                <w:b w:val="1"/>
                <w:bCs w:val="1"/>
                <w:color w:val="auto"/>
                <w:w w:val="96"/>
              </w:rPr>
              <w:t>for</w:t>
            </w: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Write-offs,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520" w:type="dxa"/>
            <w:vAlign w:val="bottom"/>
            <w:vMerge w:val="restart"/>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gridSpan w:val="6"/>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132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Doubtful</w:t>
            </w: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Net of</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352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5"/>
          </w:tcPr>
          <w:p>
            <w:pPr>
              <w:jc w:val="center"/>
              <w:ind w:right="860"/>
              <w:spacing w:after="0" w:line="148" w:lineRule="exact"/>
              <w:rPr>
                <w:sz w:val="20"/>
                <w:szCs w:val="20"/>
                <w:color w:val="auto"/>
              </w:rPr>
            </w:pPr>
            <w:r>
              <w:rPr>
                <w:rFonts w:ascii="Arial" w:cs="Arial" w:eastAsia="Arial" w:hAnsi="Arial"/>
                <w:sz w:val="14"/>
                <w:szCs w:val="14"/>
                <w:b w:val="1"/>
                <w:bCs w:val="1"/>
                <w:color w:val="auto"/>
                <w:w w:val="85"/>
              </w:rPr>
              <w:t>Year</w:t>
            </w:r>
          </w:p>
        </w:tc>
        <w:tc>
          <w:tcPr>
            <w:tcW w:w="1320" w:type="dxa"/>
            <w:vAlign w:val="bottom"/>
            <w:gridSpan w:val="5"/>
          </w:tcPr>
          <w:p>
            <w:pPr>
              <w:jc w:val="center"/>
              <w:ind w:right="700"/>
              <w:spacing w:after="0" w:line="148" w:lineRule="exact"/>
              <w:rPr>
                <w:sz w:val="20"/>
                <w:szCs w:val="20"/>
                <w:color w:val="auto"/>
              </w:rPr>
            </w:pPr>
            <w:r>
              <w:rPr>
                <w:rFonts w:ascii="Arial" w:cs="Arial" w:eastAsia="Arial" w:hAnsi="Arial"/>
                <w:sz w:val="14"/>
                <w:szCs w:val="14"/>
                <w:b w:val="1"/>
                <w:bCs w:val="1"/>
                <w:color w:val="auto"/>
                <w:w w:val="84"/>
              </w:rPr>
              <w:t>Accounts</w:t>
            </w:r>
          </w:p>
        </w:tc>
        <w:tc>
          <w:tcPr>
            <w:tcW w:w="900" w:type="dxa"/>
            <w:vAlign w:val="bottom"/>
            <w:gridSpan w:val="3"/>
          </w:tcPr>
          <w:p>
            <w:pPr>
              <w:jc w:val="center"/>
              <w:ind w:right="280"/>
              <w:spacing w:after="0" w:line="148" w:lineRule="exact"/>
              <w:rPr>
                <w:sz w:val="20"/>
                <w:szCs w:val="20"/>
                <w:color w:val="auto"/>
              </w:rPr>
            </w:pPr>
            <w:r>
              <w:rPr>
                <w:rFonts w:ascii="Arial" w:cs="Arial" w:eastAsia="Arial" w:hAnsi="Arial"/>
                <w:sz w:val="14"/>
                <w:szCs w:val="14"/>
                <w:b w:val="1"/>
                <w:bCs w:val="1"/>
                <w:color w:val="auto"/>
                <w:w w:val="82"/>
              </w:rPr>
              <w:t>Recoveries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End of Year</w:t>
            </w:r>
          </w:p>
        </w:tc>
        <w:tc>
          <w:tcPr>
            <w:tcW w:w="0" w:type="dxa"/>
            <w:vAlign w:val="bottom"/>
          </w:tcPr>
          <w:p>
            <w:pPr>
              <w:spacing w:after="0"/>
              <w:rPr>
                <w:sz w:val="1"/>
                <w:szCs w:val="1"/>
                <w:color w:val="auto"/>
              </w:rPr>
            </w:pPr>
          </w:p>
        </w:tc>
      </w:tr>
      <w:tr>
        <w:trPr>
          <w:trHeight w:val="190"/>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Allowance for doubtful accounts:</w:t>
            </w:r>
          </w:p>
        </w:tc>
        <w:tc>
          <w:tcPr>
            <w:tcW w:w="15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3520" w:type="dxa"/>
            <w:vAlign w:val="bottom"/>
          </w:tcPr>
          <w:p>
            <w:pPr>
              <w:spacing w:after="0"/>
              <w:rPr>
                <w:sz w:val="18"/>
                <w:szCs w:val="18"/>
                <w:color w:val="auto"/>
              </w:rPr>
            </w:pPr>
          </w:p>
        </w:tc>
        <w:tc>
          <w:tcPr>
            <w:tcW w:w="2260" w:type="dxa"/>
            <w:vAlign w:val="bottom"/>
            <w:gridSpan w:val="5"/>
          </w:tcPr>
          <w:p>
            <w:pPr>
              <w:ind w:left="1500"/>
              <w:spacing w:after="0"/>
              <w:rPr>
                <w:sz w:val="20"/>
                <w:szCs w:val="20"/>
                <w:color w:val="auto"/>
              </w:rPr>
            </w:pPr>
            <w:r>
              <w:rPr>
                <w:rFonts w:ascii="Arial" w:cs="Arial" w:eastAsia="Arial" w:hAnsi="Arial"/>
                <w:sz w:val="18"/>
                <w:szCs w:val="18"/>
                <w:color w:val="auto"/>
                <w:w w:val="92"/>
              </w:rPr>
              <w:t>$ 102,213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11,877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(40,099)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73,991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5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3"/>
              </w:rPr>
              <w:t>91,854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(7,732)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$ 102,213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8"/>
                <w:szCs w:val="18"/>
                <w:color w:val="auto"/>
              </w:rPr>
              <w:t>2011</w:t>
            </w:r>
          </w:p>
        </w:tc>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vMerge w:val="continue"/>
          </w:tcPr>
          <w:p>
            <w:pPr>
              <w:spacing w:after="0"/>
              <w:rPr>
                <w:sz w:val="18"/>
                <w:szCs w:val="18"/>
                <w:color w:val="auto"/>
              </w:rPr>
            </w:pPr>
          </w:p>
        </w:tc>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3"/>
          </w:tcPr>
          <w:p>
            <w:pPr>
              <w:ind w:left="100"/>
              <w:spacing w:after="0"/>
              <w:rPr>
                <w:sz w:val="20"/>
                <w:szCs w:val="20"/>
                <w:color w:val="auto"/>
              </w:rPr>
            </w:pPr>
            <w:r>
              <w:rPr>
                <w:rFonts w:ascii="Arial" w:cs="Arial" w:eastAsia="Arial" w:hAnsi="Arial"/>
                <w:sz w:val="18"/>
                <w:szCs w:val="18"/>
                <w:color w:val="auto"/>
                <w:w w:val="87"/>
              </w:rPr>
              <w:t>77,452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33,778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(19,376)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91,854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Balance at</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520" w:type="dxa"/>
            <w:vAlign w:val="bottom"/>
            <w:vMerge w:val="restart"/>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352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right="380"/>
              <w:spacing w:after="0" w:line="148" w:lineRule="exact"/>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4"/>
                <w:szCs w:val="14"/>
                <w:color w:val="auto"/>
              </w:rPr>
            </w:pPr>
          </w:p>
        </w:tc>
        <w:tc>
          <w:tcPr>
            <w:tcW w:w="1180" w:type="dxa"/>
            <w:vAlign w:val="bottom"/>
            <w:gridSpan w:val="4"/>
          </w:tcPr>
          <w:p>
            <w:pPr>
              <w:ind w:left="40"/>
              <w:spacing w:after="0" w:line="148" w:lineRule="exact"/>
              <w:rPr>
                <w:sz w:val="20"/>
                <w:szCs w:val="20"/>
                <w:color w:val="auto"/>
              </w:rPr>
            </w:pPr>
            <w:r>
              <w:rPr>
                <w:rFonts w:ascii="Arial" w:cs="Arial" w:eastAsia="Arial" w:hAnsi="Arial"/>
                <w:sz w:val="14"/>
                <w:szCs w:val="14"/>
                <w:b w:val="1"/>
                <w:bCs w:val="1"/>
                <w:color w:val="auto"/>
              </w:rPr>
              <w:t>Additions</w:t>
            </w:r>
          </w:p>
        </w:tc>
        <w:tc>
          <w:tcPr>
            <w:tcW w:w="900" w:type="dxa"/>
            <w:vAlign w:val="bottom"/>
            <w:gridSpan w:val="3"/>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Deductions</w:t>
            </w:r>
          </w:p>
        </w:tc>
        <w:tc>
          <w:tcPr>
            <w:tcW w:w="180" w:type="dxa"/>
            <w:vAlign w:val="bottom"/>
          </w:tcPr>
          <w:p>
            <w:pPr>
              <w:spacing w:after="0"/>
              <w:rPr>
                <w:sz w:val="14"/>
                <w:szCs w:val="14"/>
                <w:color w:val="auto"/>
              </w:rPr>
            </w:pPr>
          </w:p>
        </w:tc>
        <w:tc>
          <w:tcPr>
            <w:tcW w:w="94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End of Year</w:t>
            </w:r>
          </w:p>
        </w:tc>
        <w:tc>
          <w:tcPr>
            <w:tcW w:w="0" w:type="dxa"/>
            <w:vAlign w:val="bottom"/>
          </w:tcPr>
          <w:p>
            <w:pPr>
              <w:spacing w:after="0"/>
              <w:rPr>
                <w:sz w:val="1"/>
                <w:szCs w:val="1"/>
                <w:color w:val="auto"/>
              </w:rPr>
            </w:pPr>
          </w:p>
        </w:tc>
      </w:tr>
      <w:tr>
        <w:trPr>
          <w:trHeight w:val="190"/>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Deferred income tax asset valuation allowance:</w:t>
            </w:r>
          </w:p>
        </w:tc>
        <w:tc>
          <w:tcPr>
            <w:tcW w:w="15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ind w:left="100"/>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1,831,545</w:t>
            </w:r>
          </w:p>
        </w:tc>
        <w:tc>
          <w:tcPr>
            <w:tcW w:w="3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773,509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(18,029)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$ 2,587,025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5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100"/>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1,812,482</w:t>
            </w:r>
          </w:p>
        </w:tc>
        <w:tc>
          <w:tcPr>
            <w:tcW w:w="3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29,132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(10,069)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$ 1,831,545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8"/>
                <w:szCs w:val="18"/>
                <w:color w:val="auto"/>
              </w:rPr>
              <w:t>2011</w:t>
            </w:r>
          </w:p>
        </w:tc>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0" w:type="dxa"/>
            <w:vAlign w:val="bottom"/>
            <w:vMerge w:val="continue"/>
          </w:tcPr>
          <w:p>
            <w:pPr>
              <w:spacing w:after="0"/>
              <w:rPr>
                <w:sz w:val="18"/>
                <w:szCs w:val="18"/>
                <w:color w:val="auto"/>
              </w:rPr>
            </w:pPr>
          </w:p>
        </w:tc>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ind w:left="100"/>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1,285,916</w:t>
            </w:r>
          </w:p>
        </w:tc>
        <w:tc>
          <w:tcPr>
            <w:tcW w:w="3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533,474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(6,908)</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$ 1,812,482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00" w:type="dxa"/>
            <w:vAlign w:val="bottom"/>
            <w:vMerge w:val="restart"/>
          </w:tcPr>
          <w:p>
            <w:pPr>
              <w:jc w:val="right"/>
              <w:ind w:right="252"/>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Exhibit</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60" w:type="dxa"/>
            <w:vAlign w:val="bottom"/>
          </w:tcPr>
          <w:p>
            <w:pPr>
              <w:spacing w:after="0"/>
              <w:rPr>
                <w:sz w:val="14"/>
                <w:szCs w:val="14"/>
                <w:color w:val="auto"/>
              </w:rPr>
            </w:pPr>
          </w:p>
        </w:tc>
      </w:tr>
      <w:tr>
        <w:trPr>
          <w:trHeight w:val="161"/>
        </w:trPr>
        <w:tc>
          <w:tcPr>
            <w:tcW w:w="260" w:type="dxa"/>
            <w:vAlign w:val="bottom"/>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6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260" w:type="dxa"/>
            <w:vAlign w:val="bottom"/>
          </w:tcPr>
          <w:p>
            <w:pPr>
              <w:spacing w:after="0"/>
              <w:rPr>
                <w:sz w:val="14"/>
                <w:szCs w:val="14"/>
                <w:color w:val="auto"/>
              </w:rPr>
            </w:pPr>
          </w:p>
        </w:tc>
      </w:tr>
      <w:tr>
        <w:trPr>
          <w:trHeight w:val="316"/>
        </w:trPr>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Second Amended and Restated Articles of Incorporation of the Registrant.(1)</w:t>
            </w:r>
          </w:p>
        </w:tc>
      </w:tr>
      <w:tr>
        <w:trPr>
          <w:trHeight w:val="324"/>
        </w:trPr>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Sixth Amended and Restated Bylaws of the Registrant, as amended.(41)</w:t>
            </w:r>
          </w:p>
        </w:tc>
      </w:tr>
      <w:tr>
        <w:trPr>
          <w:trHeight w:val="324"/>
        </w:trPr>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Specimen certificate for shares of Common Stock, $0.01 par value per share of the Registrant.(1)</w:t>
            </w:r>
          </w:p>
        </w:tc>
      </w:tr>
      <w:tr>
        <w:trPr>
          <w:trHeight w:val="318"/>
        </w:trPr>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Indenture, dated as of October 19, 2009, among Wynn Las Vegas, LLC, Wynn Las Vegas Capital Corp., the Guarantors set forth therein and</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U.S. Bank National Association, as trustee.(20)</w:t>
            </w:r>
          </w:p>
        </w:tc>
      </w:tr>
      <w:tr>
        <w:trPr>
          <w:trHeight w:val="318"/>
        </w:trPr>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9"/>
              </w:rPr>
              <w:t>Indenture, dated as of April 28, 2010, by and among Wynn Las Vegas, LLC, Wynn Las Vegas Capital Corp., the Guarantors set forth therein</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and U.S. Bank National Association, as trustee.(24)</w:t>
            </w:r>
          </w:p>
        </w:tc>
      </w:tr>
      <w:tr>
        <w:trPr>
          <w:trHeight w:val="318"/>
        </w:trPr>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rPr>
              <w:t>4.4</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7"/>
              </w:rPr>
              <w:t>Indenture, dated as of August 4, 2010, among Wynn Las Vegas, LLC, Wynn Las Vegas Capital Corp., the Guarantors named therein and U.S.</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Bank National Association, as trustee.(26)</w:t>
            </w:r>
          </w:p>
        </w:tc>
      </w:tr>
      <w:tr>
        <w:trPr>
          <w:trHeight w:val="318"/>
        </w:trPr>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7"/>
              </w:rPr>
              <w:t>Indenture, dated as of March 12, 2012, by and among Wynn Las Vegas, LLC, Wynn Las Vegas Capital Corp., the Guarantors set forth therein</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and U.S. Bank National Association, as trustee.(35)</w:t>
            </w:r>
          </w:p>
        </w:tc>
      </w:tr>
      <w:tr>
        <w:trPr>
          <w:trHeight w:val="318"/>
        </w:trPr>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0"/>
              </w:rPr>
              <w:t>Third Supplemental Indenture, dated August 4, 2010, among Wynn Las Vegas, LLC, Wynn Las Vegas Capital Corp., the Guarantors name</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therein and U.S. Bank National Association, as trustee.(26)</w:t>
            </w:r>
          </w:p>
        </w:tc>
      </w:tr>
      <w:tr>
        <w:trPr>
          <w:trHeight w:val="318"/>
        </w:trPr>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9"/>
              </w:rPr>
              <w:t>Indenture, dated May 22, 2013, among Wynn Las Vegas, LLC, Wynn Las Vegas Capital Corp., the Guarantors named therein and the U.S.</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Bank National Association.(44)</w:t>
            </w:r>
          </w:p>
        </w:tc>
      </w:tr>
      <w:tr>
        <w:trPr>
          <w:trHeight w:val="318"/>
        </w:trPr>
        <w:tc>
          <w:tcPr>
            <w:tcW w:w="700" w:type="dxa"/>
            <w:vAlign w:val="bottom"/>
            <w:gridSpan w:val="2"/>
          </w:tcPr>
          <w:p>
            <w:pPr>
              <w:jc w:val="right"/>
              <w:ind w:right="312"/>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9"/>
              </w:rPr>
              <w:t>Supplemental Indenture, dated May 22, 2013, among Wynn Las Vegas, LLC, Wynn Las Vegas Capital Corp., the Guarantors named therein</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and the U.S. Bank National Association.(44)</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*10.1.1.0</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Employment Agreement, dated as of October 4, 2002, by and between Wynn Resorts, Limited and Stephen A. Wynn.(1)</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*10.1.1.1</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9"/>
              </w:rPr>
              <w:t>First Amendment to Employment Agreement, dated as of August 6, 2004, by and between Stephen A. Wynn and Wynn Resorts, Limited.(4)</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*10.1.1.2</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4"/>
              </w:rPr>
              <w:t>Second Amendment to employment agreement between Wynn Resorts, Limited and Stephen A. Wynn dated January 31, 2007.(14)</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*10.1.1.3</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9"/>
              </w:rPr>
              <w:t>Third Amendment to Employment Agreement, dated as of September 11, 2008, between Wynn Resorts, Limited and Stephen A. Wynn.(15)</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*10.1.1.4</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9"/>
              </w:rPr>
              <w:t>Fourth Amendment to Employment Agreement dated as of December 31, 2008, between Wynn Resorts, Limited and Stephen A. Wynn.(17)</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*10.1.1.5</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9"/>
              </w:rPr>
              <w:t>Amendment to Employment Agreement, dated as of February 16, 2009, by and between Wynn Resorts, Limited and Stephen A. Wynn.(18)</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*10.1.1.6</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1"/>
              </w:rPr>
              <w:t>Sixth Amendment to Employment Agreement dated as of February 24, 2011, between Wynn Resorts, Limited and Stephen A. Wynn.(30)</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*10.1.2.0</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Employment Agreement, dated as of March 4, 2008, by and between Wynn Resorts, Limited and Marc D. Schorr.(9)</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*10.1.2.1</w:t>
            </w:r>
          </w:p>
        </w:tc>
        <w:tc>
          <w:tcPr>
            <w:tcW w:w="6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2"/>
              </w:rPr>
              <w:t>First Amendment to Employment Agreement dated as of December 31, 2008, between Wynn Resorts, Limited and Marc D. Schorr.(17)</w:t>
            </w:r>
          </w:p>
        </w:tc>
      </w:tr>
      <w:tr>
        <w:trPr>
          <w:trHeight w:val="365"/>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40" w:type="dxa"/>
            <w:vAlign w:val="bottom"/>
            <w:gridSpan w:val="3"/>
          </w:tcPr>
          <w:p>
            <w:pPr>
              <w:jc w:val="right"/>
              <w:ind w:right="5500"/>
              <w:spacing w:after="0"/>
              <w:rPr>
                <w:sz w:val="20"/>
                <w:szCs w:val="20"/>
                <w:color w:val="auto"/>
              </w:rPr>
            </w:pPr>
            <w:r>
              <w:rPr>
                <w:rFonts w:ascii="Arial" w:cs="Arial" w:eastAsia="Arial" w:hAnsi="Arial"/>
                <w:sz w:val="18"/>
                <w:szCs w:val="18"/>
                <w:color w:val="auto"/>
              </w:rPr>
              <w:t>136</w:t>
            </w:r>
          </w:p>
        </w:tc>
      </w:tr>
    </w:tbl>
    <w:p>
      <w:pPr>
        <w:sectPr>
          <w:pgSz w:w="11900" w:h="16838" w:orient="portrait"/>
          <w:cols w:equalWidth="0" w:num="1">
            <w:col w:w="11340"/>
          </w:cols>
          <w:pgMar w:left="240" w:top="459" w:right="3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*10.1.2.2</w:t>
            </w:r>
          </w:p>
        </w:tc>
        <w:tc>
          <w:tcPr>
            <w:tcW w:w="10180" w:type="dxa"/>
            <w:vAlign w:val="bottom"/>
          </w:tcPr>
          <w:p>
            <w:pPr>
              <w:ind w:left="360"/>
              <w:spacing w:after="0"/>
              <w:rPr>
                <w:sz w:val="20"/>
                <w:szCs w:val="20"/>
                <w:color w:val="auto"/>
              </w:rPr>
            </w:pPr>
            <w:r>
              <w:rPr>
                <w:rFonts w:ascii="Arial" w:cs="Arial" w:eastAsia="Arial" w:hAnsi="Arial"/>
                <w:sz w:val="18"/>
                <w:szCs w:val="18"/>
                <w:color w:val="auto"/>
                <w:w w:val="90"/>
              </w:rPr>
              <w:t>Amendment to Employment Agreement, dated as of February 12, 2009, by and between Wynn Resorts, Limited and Marc D. Schorr.(18)</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*10.1.2.3</w:t>
            </w:r>
          </w:p>
        </w:tc>
        <w:tc>
          <w:tcPr>
            <w:tcW w:w="10180" w:type="dxa"/>
            <w:vAlign w:val="bottom"/>
          </w:tcPr>
          <w:p>
            <w:pPr>
              <w:ind w:left="360"/>
              <w:spacing w:after="0"/>
              <w:rPr>
                <w:sz w:val="20"/>
                <w:szCs w:val="20"/>
                <w:color w:val="auto"/>
              </w:rPr>
            </w:pPr>
            <w:r>
              <w:rPr>
                <w:rFonts w:ascii="Arial" w:cs="Arial" w:eastAsia="Arial" w:hAnsi="Arial"/>
                <w:sz w:val="18"/>
                <w:szCs w:val="18"/>
                <w:color w:val="auto"/>
                <w:w w:val="89"/>
              </w:rPr>
              <w:t>Second Amendment to Employment Agreement dated as of February 27, 2013, between Wynn Resorts, Limited and Marc D. Schorr.(42)</w:t>
            </w:r>
          </w:p>
        </w:tc>
      </w:tr>
      <w:tr>
        <w:trPr>
          <w:trHeight w:val="318"/>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*10.1.2.4</w:t>
            </w:r>
          </w:p>
        </w:tc>
        <w:tc>
          <w:tcPr>
            <w:tcW w:w="10180" w:type="dxa"/>
            <w:vAlign w:val="bottom"/>
          </w:tcPr>
          <w:p>
            <w:pPr>
              <w:ind w:left="360"/>
              <w:spacing w:after="0"/>
              <w:rPr>
                <w:sz w:val="20"/>
                <w:szCs w:val="20"/>
                <w:color w:val="auto"/>
              </w:rPr>
            </w:pPr>
            <w:r>
              <w:rPr>
                <w:rFonts w:ascii="Arial" w:cs="Arial" w:eastAsia="Arial" w:hAnsi="Arial"/>
                <w:sz w:val="18"/>
                <w:szCs w:val="18"/>
                <w:color w:val="auto"/>
                <w:w w:val="91"/>
              </w:rPr>
              <w:t>Resignation and Release Agreement, dated March 27, 2013 between Wynn Resorts, Limited, as the Company and Marc D. Schorr, as</w:t>
            </w:r>
          </w:p>
        </w:tc>
      </w:tr>
      <w:tr>
        <w:trPr>
          <w:trHeight w:val="222"/>
        </w:trPr>
        <w:tc>
          <w:tcPr>
            <w:tcW w:w="1020" w:type="dxa"/>
            <w:vAlign w:val="bottom"/>
          </w:tcPr>
          <w:p>
            <w:pPr>
              <w:spacing w:after="0"/>
              <w:rPr>
                <w:sz w:val="19"/>
                <w:szCs w:val="19"/>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Employee.(43)</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*10.1.3.0</w:t>
            </w:r>
          </w:p>
        </w:tc>
        <w:tc>
          <w:tcPr>
            <w:tcW w:w="10180" w:type="dxa"/>
            <w:vAlign w:val="bottom"/>
          </w:tcPr>
          <w:p>
            <w:pPr>
              <w:ind w:left="360"/>
              <w:spacing w:after="0"/>
              <w:rPr>
                <w:sz w:val="20"/>
                <w:szCs w:val="20"/>
                <w:color w:val="auto"/>
              </w:rPr>
            </w:pPr>
            <w:r>
              <w:rPr>
                <w:rFonts w:ascii="Arial" w:cs="Arial" w:eastAsia="Arial" w:hAnsi="Arial"/>
                <w:sz w:val="18"/>
                <w:szCs w:val="18"/>
                <w:color w:val="auto"/>
              </w:rPr>
              <w:t>Employment Agreement, dated as of October 1, 2005, by and between Wynn Las Vegas, LLC and Matt Maddox.(17)</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*10.1.3.1</w:t>
            </w:r>
          </w:p>
        </w:tc>
        <w:tc>
          <w:tcPr>
            <w:tcW w:w="10180" w:type="dxa"/>
            <w:vAlign w:val="bottom"/>
          </w:tcPr>
          <w:p>
            <w:pPr>
              <w:ind w:left="360"/>
              <w:spacing w:after="0"/>
              <w:rPr>
                <w:sz w:val="20"/>
                <w:szCs w:val="20"/>
                <w:color w:val="auto"/>
              </w:rPr>
            </w:pPr>
            <w:r>
              <w:rPr>
                <w:rFonts w:ascii="Arial" w:cs="Arial" w:eastAsia="Arial" w:hAnsi="Arial"/>
                <w:sz w:val="18"/>
                <w:szCs w:val="18"/>
                <w:color w:val="auto"/>
                <w:w w:val="92"/>
              </w:rPr>
              <w:t>First Amendment to Employment Agreement, dated as of May 5, 2008, by and between Wynn Resorts, Limited and Matt Maddox.(16)</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*10.1.3.2</w:t>
            </w:r>
          </w:p>
        </w:tc>
        <w:tc>
          <w:tcPr>
            <w:tcW w:w="10180" w:type="dxa"/>
            <w:vAlign w:val="bottom"/>
          </w:tcPr>
          <w:p>
            <w:pPr>
              <w:ind w:left="360"/>
              <w:spacing w:after="0"/>
              <w:rPr>
                <w:sz w:val="20"/>
                <w:szCs w:val="20"/>
                <w:color w:val="auto"/>
              </w:rPr>
            </w:pPr>
            <w:r>
              <w:rPr>
                <w:rFonts w:ascii="Arial" w:cs="Arial" w:eastAsia="Arial" w:hAnsi="Arial"/>
                <w:sz w:val="18"/>
                <w:szCs w:val="18"/>
                <w:color w:val="auto"/>
                <w:w w:val="90"/>
              </w:rPr>
              <w:t>Second Amendment to Employment Agreement dated as of December 31, 2008, between Wynn Resorts, Limited and Matt Maddox.(17)</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*10.1.3.3</w:t>
            </w:r>
          </w:p>
        </w:tc>
        <w:tc>
          <w:tcPr>
            <w:tcW w:w="10180" w:type="dxa"/>
            <w:vAlign w:val="bottom"/>
          </w:tcPr>
          <w:p>
            <w:pPr>
              <w:ind w:left="360"/>
              <w:spacing w:after="0"/>
              <w:rPr>
                <w:sz w:val="20"/>
                <w:szCs w:val="20"/>
                <w:color w:val="auto"/>
              </w:rPr>
            </w:pPr>
            <w:r>
              <w:rPr>
                <w:rFonts w:ascii="Arial" w:cs="Arial" w:eastAsia="Arial" w:hAnsi="Arial"/>
                <w:sz w:val="18"/>
                <w:szCs w:val="18"/>
                <w:color w:val="auto"/>
                <w:w w:val="91"/>
              </w:rPr>
              <w:t>Amendment to Employment Agreement, dated as of February 13, 2009, by and between Wynn Resorts, Limited and Matt Maddox.(18)</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*10.1.3.4</w:t>
            </w:r>
          </w:p>
        </w:tc>
        <w:tc>
          <w:tcPr>
            <w:tcW w:w="10180" w:type="dxa"/>
            <w:vAlign w:val="bottom"/>
          </w:tcPr>
          <w:p>
            <w:pPr>
              <w:ind w:left="360"/>
              <w:spacing w:after="0"/>
              <w:rPr>
                <w:sz w:val="20"/>
                <w:szCs w:val="20"/>
                <w:color w:val="auto"/>
              </w:rPr>
            </w:pPr>
            <w:r>
              <w:rPr>
                <w:rFonts w:ascii="Arial" w:cs="Arial" w:eastAsia="Arial" w:hAnsi="Arial"/>
                <w:sz w:val="18"/>
                <w:szCs w:val="18"/>
                <w:color w:val="auto"/>
                <w:w w:val="89"/>
              </w:rPr>
              <w:t>Fourth Amendment to Employment Agreement, dated as of March 5, 2009, by and between Wynn Resorts, Limited and Matt Maddox.(19)</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*10.1.3.5</w:t>
            </w:r>
          </w:p>
        </w:tc>
        <w:tc>
          <w:tcPr>
            <w:tcW w:w="10180" w:type="dxa"/>
            <w:vAlign w:val="bottom"/>
          </w:tcPr>
          <w:p>
            <w:pPr>
              <w:ind w:left="360"/>
              <w:spacing w:after="0"/>
              <w:rPr>
                <w:sz w:val="20"/>
                <w:szCs w:val="20"/>
                <w:color w:val="auto"/>
              </w:rPr>
            </w:pPr>
            <w:r>
              <w:rPr>
                <w:rFonts w:ascii="Arial" w:cs="Arial" w:eastAsia="Arial" w:hAnsi="Arial"/>
                <w:sz w:val="18"/>
                <w:szCs w:val="18"/>
                <w:color w:val="auto"/>
                <w:w w:val="89"/>
              </w:rPr>
              <w:t>Fifth Amendment to Employment Agreement, dated as of February 2, 2010, by and between Wynn Resorts, Limited and Matt Maddox.(22)</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*10.1.3.6</w:t>
            </w:r>
          </w:p>
        </w:tc>
        <w:tc>
          <w:tcPr>
            <w:tcW w:w="10180" w:type="dxa"/>
            <w:vAlign w:val="bottom"/>
          </w:tcPr>
          <w:p>
            <w:pPr>
              <w:ind w:left="360"/>
              <w:spacing w:after="0"/>
              <w:rPr>
                <w:sz w:val="20"/>
                <w:szCs w:val="20"/>
                <w:color w:val="auto"/>
              </w:rPr>
            </w:pPr>
            <w:r>
              <w:rPr>
                <w:rFonts w:ascii="Arial" w:cs="Arial" w:eastAsia="Arial" w:hAnsi="Arial"/>
                <w:sz w:val="18"/>
                <w:szCs w:val="18"/>
                <w:color w:val="auto"/>
              </w:rPr>
              <w:t>Employment Agreement, dated November 18, 2013, by and between Wynn Resorts Limited and Matt Maddox.(46)</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*10.1.4.0</w:t>
            </w:r>
          </w:p>
        </w:tc>
        <w:tc>
          <w:tcPr>
            <w:tcW w:w="10180" w:type="dxa"/>
            <w:vAlign w:val="bottom"/>
          </w:tcPr>
          <w:p>
            <w:pPr>
              <w:ind w:left="360"/>
              <w:spacing w:after="0"/>
              <w:rPr>
                <w:sz w:val="20"/>
                <w:szCs w:val="20"/>
                <w:color w:val="auto"/>
              </w:rPr>
            </w:pPr>
            <w:r>
              <w:rPr>
                <w:rFonts w:ascii="Arial" w:cs="Arial" w:eastAsia="Arial" w:hAnsi="Arial"/>
                <w:sz w:val="18"/>
                <w:szCs w:val="18"/>
                <w:color w:val="auto"/>
              </w:rPr>
              <w:t>Employment agreement, dated May 12, 2010, by and between Worldwide Wynn, LLC and Linda C. Chen.(25)</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*10.1.4.1</w:t>
            </w:r>
          </w:p>
        </w:tc>
        <w:tc>
          <w:tcPr>
            <w:tcW w:w="10180" w:type="dxa"/>
            <w:vAlign w:val="bottom"/>
          </w:tcPr>
          <w:p>
            <w:pPr>
              <w:ind w:left="360"/>
              <w:spacing w:after="0"/>
              <w:rPr>
                <w:sz w:val="20"/>
                <w:szCs w:val="20"/>
                <w:color w:val="auto"/>
              </w:rPr>
            </w:pPr>
            <w:r>
              <w:rPr>
                <w:rFonts w:ascii="Arial" w:cs="Arial" w:eastAsia="Arial" w:hAnsi="Arial"/>
                <w:sz w:val="18"/>
                <w:szCs w:val="18"/>
                <w:color w:val="auto"/>
              </w:rPr>
              <w:t>Retention agreement, dated July 27, 2011, by and between Worldwide Wynn, LLC and Linda Chen.(31)</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*10.1.4.2</w:t>
            </w:r>
          </w:p>
        </w:tc>
        <w:tc>
          <w:tcPr>
            <w:tcW w:w="10180" w:type="dxa"/>
            <w:vAlign w:val="bottom"/>
          </w:tcPr>
          <w:p>
            <w:pPr>
              <w:ind w:left="360"/>
              <w:spacing w:after="0"/>
              <w:rPr>
                <w:sz w:val="20"/>
                <w:szCs w:val="20"/>
                <w:color w:val="auto"/>
              </w:rPr>
            </w:pPr>
            <w:r>
              <w:rPr>
                <w:rFonts w:ascii="Arial" w:cs="Arial" w:eastAsia="Arial" w:hAnsi="Arial"/>
                <w:sz w:val="18"/>
                <w:szCs w:val="18"/>
                <w:color w:val="auto"/>
                <w:w w:val="89"/>
              </w:rPr>
              <w:t>First Amendment to Employment Agreement, dated as of November 2, 2012, by and between Worldwide Wynn, LLC and Linda Chen.(40)</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*10.1.5.0</w:t>
            </w:r>
          </w:p>
        </w:tc>
        <w:tc>
          <w:tcPr>
            <w:tcW w:w="10180" w:type="dxa"/>
            <w:vAlign w:val="bottom"/>
          </w:tcPr>
          <w:p>
            <w:pPr>
              <w:ind w:left="360"/>
              <w:spacing w:after="0"/>
              <w:rPr>
                <w:sz w:val="20"/>
                <w:szCs w:val="20"/>
                <w:color w:val="auto"/>
              </w:rPr>
            </w:pPr>
            <w:r>
              <w:rPr>
                <w:rFonts w:ascii="Arial" w:cs="Arial" w:eastAsia="Arial" w:hAnsi="Arial"/>
                <w:sz w:val="18"/>
                <w:szCs w:val="18"/>
                <w:color w:val="auto"/>
              </w:rPr>
              <w:t>Employment Agreement, dated as of April 24, 2007, by and between Wynn Resorts, Limited and Kim Sinatra.(29)</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*10.1.5.1</w:t>
            </w:r>
          </w:p>
        </w:tc>
        <w:tc>
          <w:tcPr>
            <w:tcW w:w="10180" w:type="dxa"/>
            <w:vAlign w:val="bottom"/>
          </w:tcPr>
          <w:p>
            <w:pPr>
              <w:ind w:left="360"/>
              <w:spacing w:after="0"/>
              <w:rPr>
                <w:sz w:val="20"/>
                <w:szCs w:val="20"/>
                <w:color w:val="auto"/>
              </w:rPr>
            </w:pPr>
            <w:r>
              <w:rPr>
                <w:rFonts w:ascii="Arial" w:cs="Arial" w:eastAsia="Arial" w:hAnsi="Arial"/>
                <w:sz w:val="18"/>
                <w:szCs w:val="18"/>
                <w:color w:val="auto"/>
                <w:w w:val="88"/>
              </w:rPr>
              <w:t>First Amendment to Employment Agreement, dated as of December 31, 2008 by and between Wynn Resorts, Limited and Kim Sinatra.(29)</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*10.1.5.2</w:t>
            </w:r>
          </w:p>
        </w:tc>
        <w:tc>
          <w:tcPr>
            <w:tcW w:w="10180" w:type="dxa"/>
            <w:vAlign w:val="bottom"/>
          </w:tcPr>
          <w:p>
            <w:pPr>
              <w:ind w:left="360"/>
              <w:spacing w:after="0"/>
              <w:rPr>
                <w:sz w:val="20"/>
                <w:szCs w:val="20"/>
                <w:color w:val="auto"/>
              </w:rPr>
            </w:pPr>
            <w:r>
              <w:rPr>
                <w:rFonts w:ascii="Arial" w:cs="Arial" w:eastAsia="Arial" w:hAnsi="Arial"/>
                <w:sz w:val="18"/>
                <w:szCs w:val="18"/>
                <w:color w:val="auto"/>
                <w:w w:val="92"/>
              </w:rPr>
              <w:t>Amendment to Employment Agreement, dated as of February 12, 2009, by and between Wynn Resorts, Limited and Kim Sinatra.(29)</w:t>
            </w:r>
          </w:p>
        </w:tc>
      </w:tr>
      <w:tr>
        <w:trPr>
          <w:trHeight w:val="318"/>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*10.1.5.3</w:t>
            </w:r>
          </w:p>
        </w:tc>
        <w:tc>
          <w:tcPr>
            <w:tcW w:w="10180" w:type="dxa"/>
            <w:vAlign w:val="bottom"/>
          </w:tcPr>
          <w:p>
            <w:pPr>
              <w:ind w:left="360"/>
              <w:spacing w:after="0"/>
              <w:rPr>
                <w:sz w:val="20"/>
                <w:szCs w:val="20"/>
                <w:color w:val="auto"/>
              </w:rPr>
            </w:pPr>
            <w:r>
              <w:rPr>
                <w:rFonts w:ascii="Arial" w:cs="Arial" w:eastAsia="Arial" w:hAnsi="Arial"/>
                <w:sz w:val="18"/>
                <w:szCs w:val="18"/>
                <w:color w:val="auto"/>
                <w:w w:val="88"/>
              </w:rPr>
              <w:t>Second Amendment to Employment Agreement, dated as of November 30, 2009, by and between Wynn Resorts, Limited and Kim Sinatra.</w:t>
            </w:r>
          </w:p>
        </w:tc>
      </w:tr>
      <w:tr>
        <w:trPr>
          <w:trHeight w:val="222"/>
        </w:trPr>
        <w:tc>
          <w:tcPr>
            <w:tcW w:w="1020" w:type="dxa"/>
            <w:vAlign w:val="bottom"/>
          </w:tcPr>
          <w:p>
            <w:pPr>
              <w:spacing w:after="0"/>
              <w:rPr>
                <w:sz w:val="19"/>
                <w:szCs w:val="19"/>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(29)</w:t>
            </w:r>
          </w:p>
        </w:tc>
      </w:tr>
      <w:tr>
        <w:trPr>
          <w:trHeight w:val="318"/>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*10.1.6.0</w:t>
            </w:r>
          </w:p>
        </w:tc>
        <w:tc>
          <w:tcPr>
            <w:tcW w:w="10180" w:type="dxa"/>
            <w:vAlign w:val="bottom"/>
          </w:tcPr>
          <w:p>
            <w:pPr>
              <w:ind w:left="360"/>
              <w:spacing w:after="0"/>
              <w:rPr>
                <w:sz w:val="20"/>
                <w:szCs w:val="20"/>
                <w:color w:val="auto"/>
              </w:rPr>
            </w:pPr>
            <w:r>
              <w:rPr>
                <w:rFonts w:ascii="Arial" w:cs="Arial" w:eastAsia="Arial" w:hAnsi="Arial"/>
                <w:sz w:val="18"/>
                <w:szCs w:val="18"/>
                <w:color w:val="auto"/>
              </w:rPr>
              <w:t>John Strzemp Employment Agreement, dated August 31, 2005 by and between</w:t>
            </w:r>
          </w:p>
        </w:tc>
      </w:tr>
      <w:tr>
        <w:trPr>
          <w:trHeight w:val="222"/>
        </w:trPr>
        <w:tc>
          <w:tcPr>
            <w:tcW w:w="1020" w:type="dxa"/>
            <w:vAlign w:val="bottom"/>
          </w:tcPr>
          <w:p>
            <w:pPr>
              <w:spacing w:after="0"/>
              <w:rPr>
                <w:sz w:val="19"/>
                <w:szCs w:val="19"/>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Wynn Resorts, Limited and John Strzemp.(46)</w:t>
            </w:r>
          </w:p>
        </w:tc>
      </w:tr>
      <w:tr>
        <w:trPr>
          <w:trHeight w:val="338"/>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*10.1.6.1</w:t>
            </w:r>
          </w:p>
        </w:tc>
        <w:tc>
          <w:tcPr>
            <w:tcW w:w="10180" w:type="dxa"/>
            <w:vAlign w:val="bottom"/>
          </w:tcPr>
          <w:p>
            <w:pPr>
              <w:ind w:left="360"/>
              <w:spacing w:after="0"/>
              <w:rPr>
                <w:sz w:val="20"/>
                <w:szCs w:val="20"/>
                <w:color w:val="auto"/>
              </w:rPr>
            </w:pPr>
            <w:r>
              <w:rPr>
                <w:rFonts w:ascii="Arial" w:cs="Arial" w:eastAsia="Arial" w:hAnsi="Arial"/>
                <w:sz w:val="18"/>
                <w:szCs w:val="18"/>
                <w:color w:val="auto"/>
                <w:w w:val="89"/>
              </w:rPr>
              <w:t>First Amendment to Employment Agreement, dated as of March 26, 2008 by and between Wynn Resorts, Limited and John Strzemp.(46)</w:t>
            </w:r>
          </w:p>
        </w:tc>
      </w:tr>
      <w:tr>
        <w:trPr>
          <w:trHeight w:val="318"/>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*10.1.6.2</w:t>
            </w:r>
          </w:p>
        </w:tc>
        <w:tc>
          <w:tcPr>
            <w:tcW w:w="10180" w:type="dxa"/>
            <w:vAlign w:val="bottom"/>
          </w:tcPr>
          <w:p>
            <w:pPr>
              <w:ind w:left="360"/>
              <w:spacing w:after="0"/>
              <w:rPr>
                <w:sz w:val="20"/>
                <w:szCs w:val="20"/>
                <w:color w:val="auto"/>
              </w:rPr>
            </w:pPr>
            <w:r>
              <w:rPr>
                <w:rFonts w:ascii="Arial" w:cs="Arial" w:eastAsia="Arial" w:hAnsi="Arial"/>
                <w:sz w:val="18"/>
                <w:szCs w:val="18"/>
                <w:color w:val="auto"/>
                <w:w w:val="87"/>
              </w:rPr>
              <w:t>Second Amendment to Employment Agreement, dated as of December 31, 2008 by and between Wynn Resorts, Limited and John Strzemp.</w:t>
            </w:r>
          </w:p>
        </w:tc>
      </w:tr>
      <w:tr>
        <w:trPr>
          <w:trHeight w:val="222"/>
        </w:trPr>
        <w:tc>
          <w:tcPr>
            <w:tcW w:w="1020" w:type="dxa"/>
            <w:vAlign w:val="bottom"/>
          </w:tcPr>
          <w:p>
            <w:pPr>
              <w:spacing w:after="0"/>
              <w:rPr>
                <w:sz w:val="19"/>
                <w:szCs w:val="19"/>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(46)</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*10.1.6.3</w:t>
            </w:r>
          </w:p>
        </w:tc>
        <w:tc>
          <w:tcPr>
            <w:tcW w:w="10180" w:type="dxa"/>
            <w:vAlign w:val="bottom"/>
          </w:tcPr>
          <w:p>
            <w:pPr>
              <w:ind w:left="360"/>
              <w:spacing w:after="0"/>
              <w:rPr>
                <w:sz w:val="20"/>
                <w:szCs w:val="20"/>
                <w:color w:val="auto"/>
              </w:rPr>
            </w:pPr>
            <w:r>
              <w:rPr>
                <w:rFonts w:ascii="Arial" w:cs="Arial" w:eastAsia="Arial" w:hAnsi="Arial"/>
                <w:sz w:val="18"/>
                <w:szCs w:val="18"/>
                <w:color w:val="auto"/>
                <w:w w:val="91"/>
              </w:rPr>
              <w:t>Amendment to Employment Agreement, dated as of February 12, 2009 by and between Wynn Resorts, Limited and John Strzemp.(46)</w:t>
            </w:r>
          </w:p>
        </w:tc>
      </w:tr>
      <w:tr>
        <w:trPr>
          <w:trHeight w:val="365"/>
        </w:trPr>
        <w:tc>
          <w:tcPr>
            <w:tcW w:w="1020" w:type="dxa"/>
            <w:vAlign w:val="bottom"/>
          </w:tcPr>
          <w:p>
            <w:pPr>
              <w:spacing w:after="0"/>
              <w:rPr>
                <w:sz w:val="24"/>
                <w:szCs w:val="24"/>
                <w:color w:val="auto"/>
              </w:rPr>
            </w:pPr>
          </w:p>
        </w:tc>
        <w:tc>
          <w:tcPr>
            <w:tcW w:w="10180" w:type="dxa"/>
            <w:vAlign w:val="bottom"/>
          </w:tcPr>
          <w:p>
            <w:pPr>
              <w:ind w:left="4560"/>
              <w:spacing w:after="0"/>
              <w:rPr>
                <w:sz w:val="20"/>
                <w:szCs w:val="20"/>
                <w:color w:val="auto"/>
              </w:rPr>
            </w:pPr>
            <w:r>
              <w:rPr>
                <w:rFonts w:ascii="Arial" w:cs="Arial" w:eastAsia="Arial" w:hAnsi="Arial"/>
                <w:sz w:val="18"/>
                <w:szCs w:val="18"/>
                <w:color w:val="auto"/>
              </w:rPr>
              <w:t>137</w:t>
            </w:r>
          </w:p>
        </w:tc>
      </w:tr>
    </w:tbl>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*10.1.6.4</w:t>
            </w: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Fourth Amendment to Employment Agreement, dated as of March 23, 2009 by and between Wynn Resorts, Limited and John Strzemp.(46)</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*10.1.6.5</w:t>
            </w: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Fifth Amendment to Employment Agreement, dated as of February 25, 2013 by and between Wynn Resorts, Limited and John Strzemp.(46)</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88"/>
              </w:rPr>
              <w:t>*10.1.6.6</w:t>
            </w: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Sixth Amendment to Employment Agreement, dated as of September 10, 2013 by and between Wynn Resorts, Limited and John Strzemp.(46)</w:t>
            </w:r>
          </w:p>
        </w:tc>
      </w:tr>
      <w:tr>
        <w:trPr>
          <w:trHeight w:val="324"/>
        </w:trPr>
        <w:tc>
          <w:tcPr>
            <w:tcW w:w="1020" w:type="dxa"/>
            <w:vAlign w:val="bottom"/>
          </w:tcPr>
          <w:p>
            <w:pPr>
              <w:jc w:val="right"/>
              <w:ind w:right="392"/>
              <w:spacing w:after="0"/>
              <w:rPr>
                <w:sz w:val="20"/>
                <w:szCs w:val="20"/>
                <w:color w:val="auto"/>
              </w:rPr>
            </w:pPr>
            <w:r>
              <w:rPr>
                <w:rFonts w:ascii="Arial" w:cs="Arial" w:eastAsia="Arial" w:hAnsi="Arial"/>
                <w:sz w:val="18"/>
                <w:szCs w:val="18"/>
                <w:color w:val="auto"/>
                <w:w w:val="91"/>
              </w:rPr>
              <w:t>*10.2.1</w:t>
            </w:r>
          </w:p>
        </w:tc>
        <w:tc>
          <w:tcPr>
            <w:tcW w:w="10400" w:type="dxa"/>
            <w:vAlign w:val="bottom"/>
          </w:tcPr>
          <w:p>
            <w:pPr>
              <w:ind w:left="360"/>
              <w:spacing w:after="0"/>
              <w:rPr>
                <w:sz w:val="20"/>
                <w:szCs w:val="20"/>
                <w:color w:val="auto"/>
              </w:rPr>
            </w:pPr>
            <w:r>
              <w:rPr>
                <w:rFonts w:ascii="Arial" w:cs="Arial" w:eastAsia="Arial" w:hAnsi="Arial"/>
                <w:sz w:val="18"/>
                <w:szCs w:val="18"/>
                <w:color w:val="auto"/>
              </w:rPr>
              <w:t>2002 Stock Incentive Plan as Amended and Restated effective May 12, 2010.(32)</w:t>
            </w:r>
          </w:p>
        </w:tc>
      </w:tr>
      <w:tr>
        <w:trPr>
          <w:trHeight w:val="324"/>
        </w:trPr>
        <w:tc>
          <w:tcPr>
            <w:tcW w:w="1020" w:type="dxa"/>
            <w:vAlign w:val="bottom"/>
          </w:tcPr>
          <w:p>
            <w:pPr>
              <w:jc w:val="right"/>
              <w:ind w:right="392"/>
              <w:spacing w:after="0"/>
              <w:rPr>
                <w:sz w:val="20"/>
                <w:szCs w:val="20"/>
                <w:color w:val="auto"/>
              </w:rPr>
            </w:pPr>
            <w:r>
              <w:rPr>
                <w:rFonts w:ascii="Arial" w:cs="Arial" w:eastAsia="Arial" w:hAnsi="Arial"/>
                <w:sz w:val="18"/>
                <w:szCs w:val="18"/>
                <w:color w:val="auto"/>
                <w:w w:val="91"/>
              </w:rPr>
              <w:t>*10.2.2</w:t>
            </w:r>
          </w:p>
        </w:tc>
        <w:tc>
          <w:tcPr>
            <w:tcW w:w="10400" w:type="dxa"/>
            <w:vAlign w:val="bottom"/>
          </w:tcPr>
          <w:p>
            <w:pPr>
              <w:ind w:left="360"/>
              <w:spacing w:after="0"/>
              <w:rPr>
                <w:sz w:val="20"/>
                <w:szCs w:val="20"/>
                <w:color w:val="auto"/>
              </w:rPr>
            </w:pPr>
            <w:r>
              <w:rPr>
                <w:rFonts w:ascii="Arial" w:cs="Arial" w:eastAsia="Arial" w:hAnsi="Arial"/>
                <w:sz w:val="18"/>
                <w:szCs w:val="18"/>
                <w:color w:val="auto"/>
              </w:rPr>
              <w:t>2002 Stock Incentive Plan as Amended and Restated effective May 17, 2011.(39)</w:t>
            </w:r>
          </w:p>
        </w:tc>
      </w:tr>
      <w:tr>
        <w:trPr>
          <w:trHeight w:val="324"/>
        </w:trPr>
        <w:tc>
          <w:tcPr>
            <w:tcW w:w="1020" w:type="dxa"/>
            <w:vAlign w:val="bottom"/>
          </w:tcPr>
          <w:p>
            <w:pPr>
              <w:jc w:val="right"/>
              <w:ind w:right="392"/>
              <w:spacing w:after="0"/>
              <w:rPr>
                <w:sz w:val="20"/>
                <w:szCs w:val="20"/>
                <w:color w:val="auto"/>
              </w:rPr>
            </w:pPr>
            <w:r>
              <w:rPr>
                <w:rFonts w:ascii="Arial" w:cs="Arial" w:eastAsia="Arial" w:hAnsi="Arial"/>
                <w:sz w:val="18"/>
                <w:szCs w:val="18"/>
                <w:color w:val="auto"/>
                <w:w w:val="91"/>
              </w:rPr>
              <w:t>*10.2.3</w:t>
            </w:r>
          </w:p>
        </w:tc>
        <w:tc>
          <w:tcPr>
            <w:tcW w:w="10400" w:type="dxa"/>
            <w:vAlign w:val="bottom"/>
          </w:tcPr>
          <w:p>
            <w:pPr>
              <w:ind w:left="360"/>
              <w:spacing w:after="0"/>
              <w:rPr>
                <w:sz w:val="20"/>
                <w:szCs w:val="20"/>
                <w:color w:val="auto"/>
              </w:rPr>
            </w:pPr>
            <w:r>
              <w:rPr>
                <w:rFonts w:ascii="Arial" w:cs="Arial" w:eastAsia="Arial" w:hAnsi="Arial"/>
                <w:sz w:val="18"/>
                <w:szCs w:val="18"/>
                <w:color w:val="auto"/>
              </w:rPr>
              <w:t>Form of Stock Option Agreement pursuant to 2002 Stock Incentive Plan.(39)</w:t>
            </w:r>
          </w:p>
        </w:tc>
      </w:tr>
      <w:tr>
        <w:trPr>
          <w:trHeight w:val="324"/>
        </w:trPr>
        <w:tc>
          <w:tcPr>
            <w:tcW w:w="1020" w:type="dxa"/>
            <w:vAlign w:val="bottom"/>
          </w:tcPr>
          <w:p>
            <w:pPr>
              <w:jc w:val="right"/>
              <w:ind w:right="392"/>
              <w:spacing w:after="0"/>
              <w:rPr>
                <w:sz w:val="20"/>
                <w:szCs w:val="20"/>
                <w:color w:val="auto"/>
              </w:rPr>
            </w:pPr>
            <w:r>
              <w:rPr>
                <w:rFonts w:ascii="Arial" w:cs="Arial" w:eastAsia="Arial" w:hAnsi="Arial"/>
                <w:sz w:val="18"/>
                <w:szCs w:val="18"/>
                <w:color w:val="auto"/>
                <w:w w:val="91"/>
              </w:rPr>
              <w:t>*10.2.4</w:t>
            </w:r>
          </w:p>
        </w:tc>
        <w:tc>
          <w:tcPr>
            <w:tcW w:w="10400" w:type="dxa"/>
            <w:vAlign w:val="bottom"/>
          </w:tcPr>
          <w:p>
            <w:pPr>
              <w:ind w:left="360"/>
              <w:spacing w:after="0"/>
              <w:rPr>
                <w:sz w:val="20"/>
                <w:szCs w:val="20"/>
                <w:color w:val="auto"/>
              </w:rPr>
            </w:pPr>
            <w:r>
              <w:rPr>
                <w:rFonts w:ascii="Arial" w:cs="Arial" w:eastAsia="Arial" w:hAnsi="Arial"/>
                <w:sz w:val="18"/>
                <w:szCs w:val="18"/>
                <w:color w:val="auto"/>
              </w:rPr>
              <w:t>Form of Stock Option Grant Notice.(39)</w:t>
            </w:r>
          </w:p>
        </w:tc>
      </w:tr>
      <w:tr>
        <w:trPr>
          <w:trHeight w:val="324"/>
        </w:trPr>
        <w:tc>
          <w:tcPr>
            <w:tcW w:w="1020" w:type="dxa"/>
            <w:vAlign w:val="bottom"/>
          </w:tcPr>
          <w:p>
            <w:pPr>
              <w:jc w:val="right"/>
              <w:ind w:right="392"/>
              <w:spacing w:after="0"/>
              <w:rPr>
                <w:sz w:val="20"/>
                <w:szCs w:val="20"/>
                <w:color w:val="auto"/>
              </w:rPr>
            </w:pPr>
            <w:r>
              <w:rPr>
                <w:rFonts w:ascii="Arial" w:cs="Arial" w:eastAsia="Arial" w:hAnsi="Arial"/>
                <w:sz w:val="18"/>
                <w:szCs w:val="18"/>
                <w:color w:val="auto"/>
                <w:w w:val="91"/>
              </w:rPr>
              <w:t>*10.2.5</w:t>
            </w:r>
          </w:p>
        </w:tc>
        <w:tc>
          <w:tcPr>
            <w:tcW w:w="10400" w:type="dxa"/>
            <w:vAlign w:val="bottom"/>
          </w:tcPr>
          <w:p>
            <w:pPr>
              <w:ind w:left="360"/>
              <w:spacing w:after="0"/>
              <w:rPr>
                <w:sz w:val="20"/>
                <w:szCs w:val="20"/>
                <w:color w:val="auto"/>
              </w:rPr>
            </w:pPr>
            <w:r>
              <w:rPr>
                <w:rFonts w:ascii="Arial" w:cs="Arial" w:eastAsia="Arial" w:hAnsi="Arial"/>
                <w:sz w:val="18"/>
                <w:szCs w:val="18"/>
                <w:color w:val="auto"/>
              </w:rPr>
              <w:t>Form of Restricted Stock Agreement pursuant to 2002 Stock Incentive Plan.(39)</w:t>
            </w:r>
          </w:p>
        </w:tc>
      </w:tr>
      <w:tr>
        <w:trPr>
          <w:trHeight w:val="318"/>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10.3.1.0</w:t>
            </w:r>
          </w:p>
        </w:tc>
        <w:tc>
          <w:tcPr>
            <w:tcW w:w="10400" w:type="dxa"/>
            <w:vAlign w:val="bottom"/>
          </w:tcPr>
          <w:p>
            <w:pPr>
              <w:ind w:left="360"/>
              <w:spacing w:after="0"/>
              <w:rPr>
                <w:sz w:val="20"/>
                <w:szCs w:val="20"/>
                <w:color w:val="auto"/>
              </w:rPr>
            </w:pPr>
            <w:r>
              <w:rPr>
                <w:rFonts w:ascii="Arial" w:cs="Arial" w:eastAsia="Arial" w:hAnsi="Arial"/>
                <w:sz w:val="18"/>
                <w:szCs w:val="18"/>
                <w:color w:val="auto"/>
                <w:w w:val="87"/>
              </w:rPr>
              <w:t>Amended and Restated Stockholder Agreement, dated January 6, 2010, by and among Stephen A. Wynn, Elaine P. Wynn and Aruze USA, Inc.</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(21)</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10.3.1.1</w:t>
            </w:r>
          </w:p>
        </w:tc>
        <w:tc>
          <w:tcPr>
            <w:tcW w:w="10400" w:type="dxa"/>
            <w:vAlign w:val="bottom"/>
          </w:tcPr>
          <w:p>
            <w:pPr>
              <w:ind w:left="360"/>
              <w:spacing w:after="0"/>
              <w:rPr>
                <w:sz w:val="20"/>
                <w:szCs w:val="20"/>
                <w:color w:val="auto"/>
              </w:rPr>
            </w:pPr>
            <w:r>
              <w:rPr>
                <w:rFonts w:ascii="Arial" w:cs="Arial" w:eastAsia="Arial" w:hAnsi="Arial"/>
                <w:sz w:val="18"/>
                <w:szCs w:val="18"/>
                <w:color w:val="auto"/>
              </w:rPr>
              <w:t>Waiver and Consent, dated November 24, 2010, by and among Aruze USA, Inc., Stephen A. Wynn and Elaine P. Wynn.(27)</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10.3.1.2</w:t>
            </w:r>
          </w:p>
        </w:tc>
        <w:tc>
          <w:tcPr>
            <w:tcW w:w="10400" w:type="dxa"/>
            <w:vAlign w:val="bottom"/>
          </w:tcPr>
          <w:p>
            <w:pPr>
              <w:ind w:left="360"/>
              <w:spacing w:after="0"/>
              <w:rPr>
                <w:sz w:val="20"/>
                <w:szCs w:val="20"/>
                <w:color w:val="auto"/>
              </w:rPr>
            </w:pPr>
            <w:r>
              <w:rPr>
                <w:rFonts w:ascii="Arial" w:cs="Arial" w:eastAsia="Arial" w:hAnsi="Arial"/>
                <w:sz w:val="18"/>
                <w:szCs w:val="18"/>
                <w:color w:val="auto"/>
              </w:rPr>
              <w:t>Waiver and Consent, dated December 15, 2010, by and among Aruze USA, Inc., Stephen A. Wynn and Elaine P. Wynn.(28)</w:t>
            </w:r>
          </w:p>
        </w:tc>
      </w:tr>
      <w:tr>
        <w:trPr>
          <w:trHeight w:val="318"/>
        </w:trPr>
        <w:tc>
          <w:tcPr>
            <w:tcW w:w="1020" w:type="dxa"/>
            <w:vAlign w:val="bottom"/>
          </w:tcPr>
          <w:p>
            <w:pPr>
              <w:jc w:val="right"/>
              <w:ind w:right="392"/>
              <w:spacing w:after="0"/>
              <w:rPr>
                <w:sz w:val="20"/>
                <w:szCs w:val="20"/>
                <w:color w:val="auto"/>
              </w:rPr>
            </w:pPr>
            <w:r>
              <w:rPr>
                <w:rFonts w:ascii="Arial" w:cs="Arial" w:eastAsia="Arial" w:hAnsi="Arial"/>
                <w:sz w:val="18"/>
                <w:szCs w:val="18"/>
                <w:color w:val="auto"/>
              </w:rPr>
              <w:t>10.3.2</w:t>
            </w:r>
          </w:p>
        </w:tc>
        <w:tc>
          <w:tcPr>
            <w:tcW w:w="10400" w:type="dxa"/>
            <w:vAlign w:val="bottom"/>
          </w:tcPr>
          <w:p>
            <w:pPr>
              <w:ind w:left="360"/>
              <w:spacing w:after="0"/>
              <w:rPr>
                <w:sz w:val="20"/>
                <w:szCs w:val="20"/>
                <w:color w:val="auto"/>
              </w:rPr>
            </w:pPr>
            <w:r>
              <w:rPr>
                <w:rFonts w:ascii="Arial" w:cs="Arial" w:eastAsia="Arial" w:hAnsi="Arial"/>
                <w:sz w:val="18"/>
                <w:szCs w:val="18"/>
                <w:color w:val="auto"/>
                <w:w w:val="87"/>
              </w:rPr>
              <w:t>Amended and Restated Shareholders Agreement, dated as of September 16, 2004 by and among Wynn Resorts (Macau), Ltd., Wong Chi Seng</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and Wynn Resorts (Macau), S.A.(4)</w:t>
            </w:r>
          </w:p>
        </w:tc>
      </w:tr>
      <w:tr>
        <w:trPr>
          <w:trHeight w:val="318"/>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10.4.1.1</w:t>
            </w: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Concession Contract for the Operation of Games of Chance or Other Games in Casinos in the Macau Special Administrative Region, dated</w:t>
            </w:r>
          </w:p>
        </w:tc>
      </w:tr>
      <w:tr>
        <w:trPr>
          <w:trHeight w:val="216"/>
        </w:trPr>
        <w:tc>
          <w:tcPr>
            <w:tcW w:w="102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June 24, 2002, between the Macau Special Administrative Region and Wynn Resorts (Macau), S.A. (English translation of Portuguese version</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of Concession Agreement).(2)</w:t>
            </w:r>
          </w:p>
        </w:tc>
      </w:tr>
      <w:tr>
        <w:trPr>
          <w:trHeight w:val="318"/>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10.4.1.2</w:t>
            </w: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Concession Contract for Operating Casino Gaming or Other Forms of Gaming in the Macao Special Administrative Region, dated June 24,</w:t>
            </w:r>
          </w:p>
        </w:tc>
      </w:tr>
      <w:tr>
        <w:trPr>
          <w:trHeight w:val="216"/>
        </w:trPr>
        <w:tc>
          <w:tcPr>
            <w:tcW w:w="102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5"/>
              </w:rPr>
              <w:t>2002, between the Macau Special Administrative Region and Wynn Resorts (Macau) S.A. (English translation of Chinese version of</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Concession Agreement).(5)</w:t>
            </w:r>
          </w:p>
        </w:tc>
      </w:tr>
      <w:tr>
        <w:trPr>
          <w:trHeight w:val="318"/>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10.4.1.3</w:t>
            </w:r>
          </w:p>
        </w:tc>
        <w:tc>
          <w:tcPr>
            <w:tcW w:w="10400" w:type="dxa"/>
            <w:vAlign w:val="bottom"/>
          </w:tcPr>
          <w:p>
            <w:pPr>
              <w:ind w:left="360"/>
              <w:spacing w:after="0"/>
              <w:rPr>
                <w:sz w:val="20"/>
                <w:szCs w:val="20"/>
                <w:color w:val="auto"/>
              </w:rPr>
            </w:pPr>
            <w:r>
              <w:rPr>
                <w:rFonts w:ascii="Arial" w:cs="Arial" w:eastAsia="Arial" w:hAnsi="Arial"/>
                <w:sz w:val="18"/>
                <w:szCs w:val="18"/>
                <w:color w:val="auto"/>
                <w:w w:val="91"/>
              </w:rPr>
              <w:t>Unofficial English translation of Land Concession Contract between the Macau Special Administrative Region and Wynn Resorts (Macau)</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S.A.(3)</w:t>
            </w:r>
          </w:p>
        </w:tc>
      </w:tr>
      <w:tr>
        <w:trPr>
          <w:trHeight w:val="318"/>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10.4.1.4</w:t>
            </w: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Land Concession Contract, published on May 2, 2012, by and among Palo Real Estate Company Limited, Wynn Resorts (Macau) S.A. and the</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5"/>
              </w:rPr>
              <w:t>Macau Special Administration of the People’s Republic of China (translated to English from traditional Chinese and Portuguese).(37)</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10.5.1.1</w:t>
            </w:r>
          </w:p>
        </w:tc>
        <w:tc>
          <w:tcPr>
            <w:tcW w:w="10400" w:type="dxa"/>
            <w:vAlign w:val="bottom"/>
          </w:tcPr>
          <w:p>
            <w:pPr>
              <w:ind w:left="360"/>
              <w:spacing w:after="0"/>
              <w:rPr>
                <w:sz w:val="20"/>
                <w:szCs w:val="20"/>
                <w:color w:val="auto"/>
              </w:rPr>
            </w:pPr>
            <w:r>
              <w:rPr>
                <w:rFonts w:ascii="Arial" w:cs="Arial" w:eastAsia="Arial" w:hAnsi="Arial"/>
                <w:sz w:val="18"/>
                <w:szCs w:val="18"/>
                <w:color w:val="auto"/>
                <w:w w:val="97"/>
              </w:rPr>
              <w:t>Surname Rights Agreement, dated as of August 6, 2004, by and between Stephen A. Wynn and Wynn Resorts Holdings, LLC.(4)</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10.5.1.2</w:t>
            </w:r>
          </w:p>
        </w:tc>
        <w:tc>
          <w:tcPr>
            <w:tcW w:w="10400" w:type="dxa"/>
            <w:vAlign w:val="bottom"/>
          </w:tcPr>
          <w:p>
            <w:pPr>
              <w:ind w:left="360"/>
              <w:spacing w:after="0"/>
              <w:rPr>
                <w:sz w:val="20"/>
                <w:szCs w:val="20"/>
                <w:color w:val="auto"/>
              </w:rPr>
            </w:pPr>
            <w:r>
              <w:rPr>
                <w:rFonts w:ascii="Arial" w:cs="Arial" w:eastAsia="Arial" w:hAnsi="Arial"/>
                <w:sz w:val="18"/>
                <w:szCs w:val="18"/>
                <w:color w:val="auto"/>
                <w:w w:val="98"/>
              </w:rPr>
              <w:t>Rights of Publicity License, dated as of August 6, 2004, by and between Stephen A. Wynn and Wynn Resorts Holdings, LLC.(4)</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10.5.1.3</w:t>
            </w:r>
          </w:p>
        </w:tc>
        <w:tc>
          <w:tcPr>
            <w:tcW w:w="10400" w:type="dxa"/>
            <w:vAlign w:val="bottom"/>
          </w:tcPr>
          <w:p>
            <w:pPr>
              <w:ind w:left="360"/>
              <w:spacing w:after="0"/>
              <w:rPr>
                <w:sz w:val="20"/>
                <w:szCs w:val="20"/>
                <w:color w:val="auto"/>
              </w:rPr>
            </w:pPr>
            <w:r>
              <w:rPr>
                <w:rFonts w:ascii="Arial" w:cs="Arial" w:eastAsia="Arial" w:hAnsi="Arial"/>
                <w:sz w:val="18"/>
                <w:szCs w:val="18"/>
                <w:color w:val="auto"/>
              </w:rPr>
              <w:t>Termination Agreement, dated as of August 6, 2004, by and between Stephen A. Wynn and Valvino Lamore, LLC.(4)</w:t>
            </w:r>
          </w:p>
        </w:tc>
      </w:tr>
      <w:tr>
        <w:trPr>
          <w:trHeight w:val="324"/>
        </w:trPr>
        <w:tc>
          <w:tcPr>
            <w:tcW w:w="1020" w:type="dxa"/>
            <w:vAlign w:val="bottom"/>
          </w:tcPr>
          <w:p>
            <w:pPr>
              <w:jc w:val="right"/>
              <w:ind w:right="272"/>
              <w:spacing w:after="0"/>
              <w:rPr>
                <w:sz w:val="20"/>
                <w:szCs w:val="20"/>
                <w:color w:val="auto"/>
              </w:rPr>
            </w:pPr>
            <w:r>
              <w:rPr>
                <w:rFonts w:ascii="Arial" w:cs="Arial" w:eastAsia="Arial" w:hAnsi="Arial"/>
                <w:sz w:val="18"/>
                <w:szCs w:val="18"/>
                <w:color w:val="auto"/>
                <w:w w:val="98"/>
              </w:rPr>
              <w:t>10.5.1.4</w:t>
            </w:r>
          </w:p>
        </w:tc>
        <w:tc>
          <w:tcPr>
            <w:tcW w:w="10400" w:type="dxa"/>
            <w:vAlign w:val="bottom"/>
          </w:tcPr>
          <w:p>
            <w:pPr>
              <w:ind w:left="360"/>
              <w:spacing w:after="0"/>
              <w:rPr>
                <w:sz w:val="20"/>
                <w:szCs w:val="20"/>
                <w:color w:val="auto"/>
              </w:rPr>
            </w:pPr>
            <w:r>
              <w:rPr>
                <w:rFonts w:ascii="Arial" w:cs="Arial" w:eastAsia="Arial" w:hAnsi="Arial"/>
                <w:sz w:val="18"/>
                <w:szCs w:val="18"/>
                <w:color w:val="auto"/>
              </w:rPr>
              <w:t>Trademark Assignment, dated as of August 6, 2004, by and between Stephen A. Wynn and Wynn Resorts Holdings, LLC.(4)</w:t>
            </w:r>
          </w:p>
        </w:tc>
      </w:tr>
      <w:tr>
        <w:trPr>
          <w:trHeight w:val="318"/>
        </w:trPr>
        <w:tc>
          <w:tcPr>
            <w:tcW w:w="1020" w:type="dxa"/>
            <w:vAlign w:val="bottom"/>
          </w:tcPr>
          <w:p>
            <w:pPr>
              <w:jc w:val="right"/>
              <w:ind w:right="392"/>
              <w:spacing w:after="0"/>
              <w:rPr>
                <w:sz w:val="20"/>
                <w:szCs w:val="20"/>
                <w:color w:val="auto"/>
              </w:rPr>
            </w:pPr>
            <w:r>
              <w:rPr>
                <w:rFonts w:ascii="Arial" w:cs="Arial" w:eastAsia="Arial" w:hAnsi="Arial"/>
                <w:sz w:val="18"/>
                <w:szCs w:val="18"/>
                <w:color w:val="auto"/>
              </w:rPr>
              <w:t>10.5.2</w:t>
            </w: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Intellectual Property License Agreement dated as of December 14, 2004, by and among Wynn Resorts Holdings, Wynn Resorts, Limited and</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Wynn Las Vegas, LLC.(7)</w:t>
            </w:r>
          </w:p>
        </w:tc>
      </w:tr>
      <w:tr>
        <w:trPr>
          <w:trHeight w:val="365"/>
        </w:trPr>
        <w:tc>
          <w:tcPr>
            <w:tcW w:w="1020" w:type="dxa"/>
            <w:vAlign w:val="bottom"/>
          </w:tcPr>
          <w:p>
            <w:pPr>
              <w:spacing w:after="0"/>
              <w:rPr>
                <w:sz w:val="24"/>
                <w:szCs w:val="24"/>
                <w:color w:val="auto"/>
              </w:rPr>
            </w:pPr>
          </w:p>
        </w:tc>
        <w:tc>
          <w:tcPr>
            <w:tcW w:w="10400" w:type="dxa"/>
            <w:vAlign w:val="bottom"/>
          </w:tcPr>
          <w:p>
            <w:pPr>
              <w:ind w:left="4560"/>
              <w:spacing w:after="0"/>
              <w:rPr>
                <w:sz w:val="20"/>
                <w:szCs w:val="20"/>
                <w:color w:val="auto"/>
              </w:rPr>
            </w:pPr>
            <w:r>
              <w:rPr>
                <w:rFonts w:ascii="Arial" w:cs="Arial" w:eastAsia="Arial" w:hAnsi="Arial"/>
                <w:sz w:val="18"/>
                <w:szCs w:val="18"/>
                <w:color w:val="auto"/>
              </w:rPr>
              <w:t>138</w:t>
            </w: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10.6.1.0</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Common Terms Agreement, dated as of September 14, 2004, among Wynn Resorts (Macau), S.A., certain financial institutions as Hotel Facility</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Lenders, Project Facility Lenders and Revolving Credit Facility Lenders, Deutsche Bank AG, Hong Kong Branch and Societe Generale Asia</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8"/>
              </w:rPr>
              <w:t>Limited as Global Coordinating Lead Arrangers and Societe Generale Asia Limited as Hotel Facility Agent, Project Facility Agent,</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Intercreditor Agent and Security Agent.(4)</w:t>
            </w:r>
          </w:p>
        </w:tc>
      </w:tr>
      <w:tr>
        <w:trPr>
          <w:trHeight w:val="318"/>
        </w:trPr>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10.6.1.1</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Common Terms Agreement Amendment Agreement, dated as of September 14, 2005, between Wynn Resorts (Macau), S.A. as the Company,</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Certain Financial Institutions as Hotel Facility Lenders, Project Facility Lenders, Revolving Credit Facility Lenders and Hedging</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Counterparties, Bank of America Securities Asia Limited, Deutsche Bank AG, Hong Kong Branch and Societe Generale Asia Limited as</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Global Coordinating Lead Arrangers, Societe Generale Asia Limited as Hotel Facility Agent and Project Facility Agent, Societe Generale Asia</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Limited as Intercreditor Agent, and Societe Generale, Hong Kong Branch as Security Agent.(8)</w:t>
            </w:r>
          </w:p>
        </w:tc>
      </w:tr>
      <w:tr>
        <w:trPr>
          <w:trHeight w:val="318"/>
        </w:trPr>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10.6.1.2</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Second Amendment Agreement to the Common Terms Agreement dated June 27, 2007 among Wynn Resorts (Macau), S.A., certain financial</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institutions as Hotel Facility Lenders, Project Facility Lenders, and Revolving Credit Facility Lenders, Banc of America Securities Asia</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Limited, Deutsche Bank A.G. Hong Kong Branch, and Societe Generale Asia Limited as Global Lead Arrangers and Societe Generale Asia</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Limited as Hotel Facility Agent and Project Facility Agent and Societe Generale Hong Kong Branch as Intercreditor Agent.(10)</w:t>
            </w:r>
          </w:p>
        </w:tc>
      </w:tr>
      <w:tr>
        <w:trPr>
          <w:trHeight w:val="318"/>
        </w:trPr>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10.6.1.3</w:t>
            </w:r>
          </w:p>
        </w:tc>
        <w:tc>
          <w:tcPr>
            <w:tcW w:w="10500" w:type="dxa"/>
            <w:vAlign w:val="bottom"/>
          </w:tcPr>
          <w:p>
            <w:pPr>
              <w:ind w:left="340"/>
              <w:spacing w:after="0"/>
              <w:rPr>
                <w:sz w:val="20"/>
                <w:szCs w:val="20"/>
                <w:color w:val="auto"/>
              </w:rPr>
            </w:pPr>
            <w:r>
              <w:rPr>
                <w:rFonts w:ascii="Arial" w:cs="Arial" w:eastAsia="Arial" w:hAnsi="Arial"/>
                <w:sz w:val="18"/>
                <w:szCs w:val="18"/>
                <w:color w:val="auto"/>
                <w:w w:val="87"/>
              </w:rPr>
              <w:t>Common Terms Agreement Third Amendment Agreement dated September 8, 2009 between, among others, Wynn Resorts (Macau), S.A. as the</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company and Société Générale, Hong King Branch as security agent.(29)</w:t>
            </w:r>
          </w:p>
        </w:tc>
      </w:tr>
      <w:tr>
        <w:trPr>
          <w:trHeight w:val="318"/>
        </w:trPr>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10.6.1.4</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Common Terms Agreement Fourth Amendment Agreement, dated as of July 31, 2012 between, among others, Wynn Resorts (Macau), S.A. as</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the company and Bank of China Limited Macau Branch as security agent.(38)</w:t>
            </w:r>
          </w:p>
        </w:tc>
      </w:tr>
      <w:tr>
        <w:trPr>
          <w:trHeight w:val="318"/>
        </w:trPr>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10.6.2.0</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Hotel Facility Agreement, dated as of September 14, 2004, among Wynn Resorts (Macau), S.A., Societe Generale Asia Limited as Hotel</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Facility Agent and the several Hotel Facility Lenders named therein.(4)</w:t>
            </w:r>
          </w:p>
        </w:tc>
      </w:tr>
      <w:tr>
        <w:trPr>
          <w:trHeight w:val="318"/>
        </w:trPr>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10.6.2.1</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Hotel Facility Agreement Amendment Agreement, dated as of September 14, 2005, between Wynn Resorts (Macau), S.A. as Company, Societe</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Generale Asia Limited, as Hotel Facility Agent and Certain Financial Institutions as Hotel Facility Lenders.(8)</w:t>
            </w:r>
          </w:p>
        </w:tc>
      </w:tr>
      <w:tr>
        <w:trPr>
          <w:trHeight w:val="318"/>
        </w:trPr>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10.6.2.2</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Second Amendment Agreement to the Hotel Facility Agreement dated June 27, 2007 among Wynn Resorts (Macau), S.A., Societe Generale</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Asia Limited as Hotel Facility Agent, and certain financial institutions as Hotel Facility Lenders.(10)</w:t>
            </w:r>
          </w:p>
        </w:tc>
      </w:tr>
      <w:tr>
        <w:trPr>
          <w:trHeight w:val="318"/>
        </w:trPr>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10.6.2.3</w:t>
            </w: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Third Amendment Agreement to the Hotel Facility Agreement dated July 31, 2012 among Wynn Resorts, (Macau), S.A., Bank of China</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Limited Macau Branch, and certain financial institutions as Hotel Facility Lenders.(38)</w:t>
            </w:r>
          </w:p>
        </w:tc>
      </w:tr>
      <w:tr>
        <w:trPr>
          <w:trHeight w:val="318"/>
        </w:trPr>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10.6.3.0</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Project Facility Agreement, dated as of September 14, 2004, among Wynn Resorts (Macau), S.A., Societe Generale Asia Limited as Project</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Facility Agent and the several Project Facility Lenders named therein.(4)</w:t>
            </w:r>
          </w:p>
        </w:tc>
      </w:tr>
      <w:tr>
        <w:trPr>
          <w:trHeight w:val="318"/>
        </w:trPr>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10.6.3.1</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Project Facility Agreement Amendment Agreement, dated as of September 14, 2005, between Wynn Resorts (Macau), S.A. as Company,</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Societe Generale Asia Limited, as Project Facility Agent and Certain Financial Institutions as Project Facility Lenders.(8)</w:t>
            </w:r>
          </w:p>
        </w:tc>
      </w:tr>
      <w:tr>
        <w:trPr>
          <w:trHeight w:val="318"/>
        </w:trPr>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10.6.3.2</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Second Amendment Agreement to the Project Facility Agreement dated June 27, 2007 among Wynn Resorts (Macau), S.A., Societe Generale</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Asia Limited as Project Facility Agent, and certain financial institutions as Project Facility Lenders.(10)</w:t>
            </w:r>
          </w:p>
        </w:tc>
      </w:tr>
      <w:tr>
        <w:trPr>
          <w:trHeight w:val="365"/>
        </w:trPr>
        <w:tc>
          <w:tcPr>
            <w:tcW w:w="920" w:type="dxa"/>
            <w:vAlign w:val="bottom"/>
          </w:tcPr>
          <w:p>
            <w:pPr>
              <w:spacing w:after="0"/>
              <w:rPr>
                <w:sz w:val="24"/>
                <w:szCs w:val="24"/>
                <w:color w:val="auto"/>
              </w:rPr>
            </w:pPr>
          </w:p>
        </w:tc>
        <w:tc>
          <w:tcPr>
            <w:tcW w:w="10500" w:type="dxa"/>
            <w:vAlign w:val="bottom"/>
          </w:tcPr>
          <w:p>
            <w:pPr>
              <w:ind w:left="4660"/>
              <w:spacing w:after="0"/>
              <w:rPr>
                <w:sz w:val="20"/>
                <w:szCs w:val="20"/>
                <w:color w:val="auto"/>
              </w:rPr>
            </w:pPr>
            <w:r>
              <w:rPr>
                <w:rFonts w:ascii="Arial" w:cs="Arial" w:eastAsia="Arial" w:hAnsi="Arial"/>
                <w:sz w:val="18"/>
                <w:szCs w:val="18"/>
                <w:color w:val="auto"/>
              </w:rPr>
              <w:t>139</w:t>
            </w: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10.6.4.0</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Revolving Credit Facility Agreement, dated as of September 14, 2004, among Wynn Resorts (Macau), S.A. and the several Revolving Credit</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Facility Lenders named therein.(4)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10.6.4.1</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Revolving Credit Facility Agreement Amendment Agreement, dated as of September 14, 2005, between Wynn Resorts (Macau), S.A. as</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Company and Certain Financial Institutions as Revolving Credit Facility Lenders.(8)</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10.6.4.2</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Revolving Credit Facility Second Amendment Agreement dated June 27, 2007 among Wynn Resorts (Macau), S.A. and Societe Generale, Hong</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Kong Branch as Revolving Credit Facility Agent and certain financial institutions as revolving credit facility lenders.(10)</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10.6.4.3</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Revolving Credit Facility Agreement dated July 31, 2012 among Wynn Resorts (Macau), S.A., Bank of China, Limited Macau Branch, and</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certain financial institutions as Project Facility Lenders.(38)</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10.6.5.0</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Deed of Appointment and Priority, dated as of September 14, 2004, among Wynn Resorts (Macau), S.A., certain financial institutions as</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Original First Ranking Lenders, Banco Nacional Ultramarino, S.A. as Second Ranking Finance Party, Wynn Group Asia, Inc. as Third Ranking</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Finance Party, Societe Generale -Hong Kong Branch as Security Agent, Societe Generale Asia Limited as Intercreditor Agent and Hotel Facility</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Agent and Project Facility Agent and others.(4)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10.6.5.1</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Deed of Appointment and Priority Deed of Amendment, dated as of September 14, 2005, between Wynn Resorts (Macau), S.A. as Company,</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Certain Financial Institutions as Original First Ranking Lenders, Certain Financial Institutions as Original Hedging Counterparties, Banco</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Nacional Ultramarino, S.A. as Second Ranking Finance Party, Wynn Group Asia, Inc. as Third Ranking Finance Party, Societe Generale Asia</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Limited as Security Agent, Societe Generale Asia Limited as Intercreditor Agent , Societe Generale Asia Limited as Hotel Facility Agent and</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Project Facility Agent, and Others.(8)</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10.6.6</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Floating Charge (unofficial English Translation), dated September 14, 2004 between Wynn Resorts (Macau), S.A. and Societe Generale, Hong</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Kong Branch as the Security Agent.(4)</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10.6.7</w:t>
            </w:r>
          </w:p>
        </w:tc>
        <w:tc>
          <w:tcPr>
            <w:tcW w:w="10500" w:type="dxa"/>
            <w:vAlign w:val="bottom"/>
          </w:tcPr>
          <w:p>
            <w:pPr>
              <w:ind w:left="340"/>
              <w:spacing w:after="0"/>
              <w:rPr>
                <w:sz w:val="20"/>
                <w:szCs w:val="20"/>
                <w:color w:val="auto"/>
              </w:rPr>
            </w:pPr>
            <w:r>
              <w:rPr>
                <w:rFonts w:ascii="Arial" w:cs="Arial" w:eastAsia="Arial" w:hAnsi="Arial"/>
                <w:sz w:val="18"/>
                <w:szCs w:val="18"/>
                <w:color w:val="auto"/>
                <w:w w:val="87"/>
              </w:rPr>
              <w:t>Debenture, dated September 14, 2004 between Wynn Resorts (Macau), S.A. and Societe Generale, Hong Kong Branch as the Security Agent.(4)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10.6.8.0</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Wynn Resorts Support Agreement, dated September 14, 2004 between Wynn Resorts, Limited, Wynn Resorts (Macau), S.A. and Societe</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Generale, Hong Kong Branch as the Security Agent.(4)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10.6.8.1</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Wynn Resorts Support Agreement Deed of Amendment, dated as of September 14, 2005, between Wynn Resorts (Macau), S.A. and Societe</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Generale, Hong Kong Branch as Security Agent.(8)</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10.6.9</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Wynn Pledgors’ Guarantee, dated September 14, 2004 between Wynn Group Asia, Inc., Wynn Resorts International, Ltd., Wynn Resorts</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(Macau) Holdings, Ltd. and Wynn Resorts (Macau), Ltd. as Guarantors; and Societe Generale, Hong Kong Branch as the Security Agent.(4)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10.6.10</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Bank Guarantee Reimbursement Agreement, dated September 14, 2004, between Wynn Resorts (Macau), S.A. and Banco Nacional</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Ultramarino.(4)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10.6.11</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Sponsors’ Subordination Deed, dated September 14, 2004 between Wynn Resorts (Macau), S.A., Wynn Group Asia, Inc., Wynn Resorts</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International, Ltd., Wynn Resorts (Macau) Holdings, Ltd. and Wynn Resorts (Macau), Ltd. as the Wynn Companies and Societe Generale, Hong</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Kong Branch as the Security Agent.(4)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10.7.0</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Amended and Restated Master Disbursement Agreement, dated as of October 25, 2007, by and among Wynn Las Vegas, LLC, Deutsche Bank</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Trust Company Americas, as the initial Bank Agent, and Deutsche Bank Trust Company America, as the initial Disbursement Agent.(13)</w:t>
            </w:r>
          </w:p>
        </w:tc>
      </w:tr>
      <w:tr>
        <w:trPr>
          <w:trHeight w:val="365"/>
        </w:trPr>
        <w:tc>
          <w:tcPr>
            <w:tcW w:w="920" w:type="dxa"/>
            <w:vAlign w:val="bottom"/>
          </w:tcPr>
          <w:p>
            <w:pPr>
              <w:spacing w:after="0"/>
              <w:rPr>
                <w:sz w:val="24"/>
                <w:szCs w:val="24"/>
                <w:color w:val="auto"/>
              </w:rPr>
            </w:pPr>
          </w:p>
        </w:tc>
        <w:tc>
          <w:tcPr>
            <w:tcW w:w="10500" w:type="dxa"/>
            <w:vAlign w:val="bottom"/>
          </w:tcPr>
          <w:p>
            <w:pPr>
              <w:ind w:left="4660"/>
              <w:spacing w:after="0"/>
              <w:rPr>
                <w:sz w:val="20"/>
                <w:szCs w:val="20"/>
                <w:color w:val="auto"/>
              </w:rPr>
            </w:pPr>
            <w:r>
              <w:rPr>
                <w:rFonts w:ascii="Arial" w:cs="Arial" w:eastAsia="Arial" w:hAnsi="Arial"/>
                <w:sz w:val="18"/>
                <w:szCs w:val="18"/>
                <w:color w:val="auto"/>
              </w:rPr>
              <w:t>140</w:t>
            </w: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10.7.1</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First Amendment to Amended and Restated Master Disbursement Agreement, dated as of October 31, 2007, by and among Wynn Las Vegas,</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LLC, Deutsche Bank Trust Company Americas, as the initial Bank Agent, and Deutsche Bank Trust Company America, as the initial</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Disbursement Agent.(11)</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10.7.2</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Second Amendment to Amended and Restated Master Disbursement Agreement, dated as of November 6, 2007, by and among Wynn Las</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Vegas, LLC, Deutsche Bank Trust Company Americas, as the Bank Agent, and Deutsche Bank Trust Company Americas, as the Disbursement</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Agent.(12)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10.7.3</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Third Amendment to Amended and Restated Master Disbursement Agreement, dated October 19, 2009, by and among Wynn Las Vegas, LLC,</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Agent.(20)</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10.7.4</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Fourth Amendment to Amended and Restated Master Disbursement Agreement, dated April 28, 2010, by and among Wynn Las Vegas, LLC,</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Agent.(24)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10.7.5</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Fifth Amendment to the Amended and Restated Master Disbursement Agreement, dated August 4, 2012, by and among Wynn Las Vegas, LLC,</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Agent.(40)</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10.7.6</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Sixth Amendment to Amended and Restated Master Disbursement Agreement, dated March 12, 2012, by and among Wynn Las Vegas, LLC,</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Agent.(35)</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10.8.1</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Amended and Restated Agreement of Lease made as of March 18, 2010, by and between Wynn Las Vegas an Stephen A. Wynn.(23)</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10.8.1.1</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First Amendment to Amended and Restated Agreement of Lease, dated as of April 9, 2012, by and between Wynn Las Vegas, LLC and Stephen</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 Wynn.(36)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10.8.1.2</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2013 Amended and Restated Agreement of Lease, dated as of May 7, 2013, by and between Wynn Las Vegas, LLC and Stephen A. Wynn.(43)</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10.8.1.3</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2013 Second Amended and Restated Agreement of Lease, dated as of November 7, 2013, by and between Wynn Las Vegas, LLC and Stephen</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 Wynn.(45)</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10.8.2.1</w:t>
            </w:r>
          </w:p>
        </w:tc>
        <w:tc>
          <w:tcPr>
            <w:tcW w:w="10500" w:type="dxa"/>
            <w:vAlign w:val="bottom"/>
          </w:tcPr>
          <w:p>
            <w:pPr>
              <w:ind w:left="340"/>
              <w:spacing w:after="0"/>
              <w:rPr>
                <w:sz w:val="20"/>
                <w:szCs w:val="20"/>
                <w:color w:val="auto"/>
              </w:rPr>
            </w:pPr>
            <w:r>
              <w:rPr>
                <w:rFonts w:ascii="Arial" w:cs="Arial" w:eastAsia="Arial" w:hAnsi="Arial"/>
                <w:sz w:val="18"/>
                <w:szCs w:val="18"/>
                <w:color w:val="auto"/>
                <w:w w:val="87"/>
              </w:rPr>
              <w:t>Fifth Amended and Restated Art Rental and Licensing Agreement, dated as of July 1, 2007, between Stephen A. Wynn, as lessor, Wynn Gallery,</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LLC, as lessee.(33)</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10.8.2.2</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Sixth Amended and Restated Art Rental and Licensing Agreement, dated as of July 1, 2012 between Stephen A. Wynn, as lessor, Wynn Las</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Vegas, LLC, as lessee.(38)</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10.9.1.1</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the lenders named therein.(6)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10.9.2.0</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Aircraft Time Sharing Agreement dated as of November 25, 2002, by and between Las Vegas Jet, LLC and Stephen A. Wynn.(29)</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10.9.2.1</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Amendment No. 1 to Aircraft Time Sharing Agreement, entered into as of January 1, 2004, by and between Las Vegas Jet, LLC and Stephen A.</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Wynn.(29)</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10.9.2.2</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Amendment No. 2 to Aircraft Time Sharing Agreement, entered into as of October 31, 2009, by and between Las Vegas Jet, LLC and Stephen</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 Wynn.(29)</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10.9.3.0</w:t>
            </w:r>
          </w:p>
        </w:tc>
        <w:tc>
          <w:tcPr>
            <w:tcW w:w="10500" w:type="dxa"/>
            <w:vAlign w:val="bottom"/>
          </w:tcPr>
          <w:p>
            <w:pPr>
              <w:ind w:left="340"/>
              <w:spacing w:after="0"/>
              <w:rPr>
                <w:sz w:val="20"/>
                <w:szCs w:val="20"/>
                <w:color w:val="auto"/>
              </w:rPr>
            </w:pPr>
            <w:r>
              <w:rPr>
                <w:rFonts w:ascii="Arial" w:cs="Arial" w:eastAsia="Arial" w:hAnsi="Arial"/>
                <w:sz w:val="18"/>
                <w:szCs w:val="18"/>
                <w:color w:val="auto"/>
              </w:rPr>
              <w:t>Aircraft Time Sharing Agreement dated as of November 26, 2002, by and between Las Vegas Jet, LLC and Marc Schorr.(29)</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10.9.3.1</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Amendment No. 1 to Aircraft Time Sharing Agreement, entered into as of January 1, 2004, by and between Las Vegas Jet, LLC and Marc</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Schorr.(29)</w:t>
            </w:r>
          </w:p>
        </w:tc>
      </w:tr>
      <w:tr>
        <w:trPr>
          <w:trHeight w:val="365"/>
        </w:trPr>
        <w:tc>
          <w:tcPr>
            <w:tcW w:w="920" w:type="dxa"/>
            <w:vAlign w:val="bottom"/>
          </w:tcPr>
          <w:p>
            <w:pPr>
              <w:spacing w:after="0"/>
              <w:rPr>
                <w:sz w:val="24"/>
                <w:szCs w:val="24"/>
                <w:color w:val="auto"/>
              </w:rPr>
            </w:pPr>
          </w:p>
        </w:tc>
        <w:tc>
          <w:tcPr>
            <w:tcW w:w="10500" w:type="dxa"/>
            <w:vAlign w:val="bottom"/>
          </w:tcPr>
          <w:p>
            <w:pPr>
              <w:ind w:left="4660"/>
              <w:spacing w:after="0"/>
              <w:rPr>
                <w:sz w:val="20"/>
                <w:szCs w:val="20"/>
                <w:color w:val="auto"/>
              </w:rPr>
            </w:pPr>
            <w:r>
              <w:rPr>
                <w:rFonts w:ascii="Arial" w:cs="Arial" w:eastAsia="Arial" w:hAnsi="Arial"/>
                <w:sz w:val="18"/>
                <w:szCs w:val="18"/>
                <w:color w:val="auto"/>
              </w:rPr>
              <w:t>141</w:t>
            </w: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10.9.3.2</w:t>
            </w: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Amendment No. 2 to Aircraft Time Sharing Agreement, entered into as of October 31, 2009, by and between Las Vegas Jet, LLC and Marc</w:t>
            </w:r>
          </w:p>
        </w:tc>
      </w:tr>
      <w:tr>
        <w:trPr>
          <w:trHeight w:val="222"/>
        </w:trPr>
        <w:tc>
          <w:tcPr>
            <w:tcW w:w="9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Schorr.(29)</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10.9.4</w:t>
            </w:r>
          </w:p>
        </w:tc>
        <w:tc>
          <w:tcPr>
            <w:tcW w:w="10460" w:type="dxa"/>
            <w:vAlign w:val="bottom"/>
          </w:tcPr>
          <w:p>
            <w:pPr>
              <w:ind w:left="340"/>
              <w:spacing w:after="0"/>
              <w:rPr>
                <w:sz w:val="20"/>
                <w:szCs w:val="20"/>
                <w:color w:val="auto"/>
              </w:rPr>
            </w:pPr>
            <w:r>
              <w:rPr>
                <w:rFonts w:ascii="Arial" w:cs="Arial" w:eastAsia="Arial" w:hAnsi="Arial"/>
                <w:sz w:val="18"/>
                <w:szCs w:val="18"/>
                <w:color w:val="auto"/>
              </w:rPr>
              <w:t>Aircraft Purchase Option Agreement, dated January 3, 2013, between Wynn Resorts, Limited and Stephen A. Wynn.(40)</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10.10.1</w:t>
            </w:r>
          </w:p>
        </w:tc>
        <w:tc>
          <w:tcPr>
            <w:tcW w:w="10460" w:type="dxa"/>
            <w:vAlign w:val="bottom"/>
          </w:tcPr>
          <w:p>
            <w:pPr>
              <w:ind w:left="340"/>
              <w:spacing w:after="0"/>
              <w:rPr>
                <w:sz w:val="20"/>
                <w:szCs w:val="20"/>
                <w:color w:val="auto"/>
              </w:rPr>
            </w:pPr>
            <w:r>
              <w:rPr>
                <w:rFonts w:ascii="Arial" w:cs="Arial" w:eastAsia="Arial" w:hAnsi="Arial"/>
                <w:sz w:val="18"/>
                <w:szCs w:val="18"/>
                <w:color w:val="auto"/>
              </w:rPr>
              <w:t>Agreement, dated as of June 13, 2002, by and between Stephen A. Wynn and Wynn Resorts, Limited.(2)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10.10.2</w:t>
            </w:r>
          </w:p>
        </w:tc>
        <w:tc>
          <w:tcPr>
            <w:tcW w:w="10460" w:type="dxa"/>
            <w:vAlign w:val="bottom"/>
          </w:tcPr>
          <w:p>
            <w:pPr>
              <w:ind w:left="340"/>
              <w:spacing w:after="0"/>
              <w:rPr>
                <w:sz w:val="20"/>
                <w:szCs w:val="20"/>
                <w:color w:val="auto"/>
              </w:rPr>
            </w:pPr>
            <w:r>
              <w:rPr>
                <w:rFonts w:ascii="Arial" w:cs="Arial" w:eastAsia="Arial" w:hAnsi="Arial"/>
                <w:sz w:val="18"/>
                <w:szCs w:val="18"/>
                <w:color w:val="auto"/>
                <w:w w:val="89"/>
              </w:rPr>
              <w:t>Tax Indemnification Agreement, effective as of September 24, 2002, by and among Stephen A. Wynn, Aruze USA, Inc., Baron Asset Fund on</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behalf of the Baron Asset Fund Series, Baron Asset Fund on behalf of the Baron Growth Fund Series, Kenneth R. Wynn Family Trust dated</w:t>
            </w:r>
          </w:p>
        </w:tc>
      </w:tr>
      <w:tr>
        <w:trPr>
          <w:trHeight w:val="222"/>
        </w:trPr>
        <w:tc>
          <w:tcPr>
            <w:tcW w:w="9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February 20, 1985, Valvino Lamore, LLC and Wynn Resorts, Limited.(1)</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10.10.3</w:t>
            </w:r>
          </w:p>
        </w:tc>
        <w:tc>
          <w:tcPr>
            <w:tcW w:w="10460" w:type="dxa"/>
            <w:vAlign w:val="bottom"/>
          </w:tcPr>
          <w:p>
            <w:pPr>
              <w:ind w:left="340"/>
              <w:spacing w:after="0"/>
              <w:rPr>
                <w:sz w:val="20"/>
                <w:szCs w:val="20"/>
                <w:color w:val="auto"/>
              </w:rPr>
            </w:pPr>
            <w:r>
              <w:rPr>
                <w:rFonts w:ascii="Arial" w:cs="Arial" w:eastAsia="Arial" w:hAnsi="Arial"/>
                <w:sz w:val="18"/>
                <w:szCs w:val="18"/>
                <w:color w:val="auto"/>
              </w:rPr>
              <w:t>Form of Indemnity Agreement.(5)</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10.10.4</w:t>
            </w: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Management Agreement, made as of December 14, 2004, by and among Wynn Las Vegas, LLC, Wynn Show Performers, LLC, Wynn Las</w:t>
            </w:r>
          </w:p>
        </w:tc>
      </w:tr>
      <w:tr>
        <w:trPr>
          <w:trHeight w:val="222"/>
        </w:trPr>
        <w:tc>
          <w:tcPr>
            <w:tcW w:w="9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7"/>
              </w:rPr>
              <w:t>Vegas Capital Corp., Wynn Golf, LLC, World Travel, LLC, Las Vegas Jet, LLC, Wynn Sunrise, LLC, and Wynn Resorts, Limited.(7)</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10.10.5</w:t>
            </w: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Management Fees Subordination Agreement, dated as of December 14, 2004, by Wynn Resorts, Limited, Wynn Las Vegas, LLC, Wynn Las</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Vegas Capital Corp., and those subsidiaries of Wynn Las Vegas, LLC listed on Exhibit A hereto in favor of Deutsche Bank Trust Company</w:t>
            </w:r>
          </w:p>
        </w:tc>
      </w:tr>
      <w:tr>
        <w:trPr>
          <w:trHeight w:val="222"/>
        </w:trPr>
        <w:tc>
          <w:tcPr>
            <w:tcW w:w="9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Americas, as administrative agent, and U.S. Bank National Association, as trustee.(7)</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10.10.6</w:t>
            </w:r>
          </w:p>
        </w:tc>
        <w:tc>
          <w:tcPr>
            <w:tcW w:w="10460" w:type="dxa"/>
            <w:vAlign w:val="bottom"/>
          </w:tcPr>
          <w:p>
            <w:pPr>
              <w:ind w:left="340"/>
              <w:spacing w:after="0"/>
              <w:rPr>
                <w:sz w:val="20"/>
                <w:szCs w:val="20"/>
                <w:color w:val="auto"/>
              </w:rPr>
            </w:pPr>
            <w:r>
              <w:rPr>
                <w:rFonts w:ascii="Arial" w:cs="Arial" w:eastAsia="Arial" w:hAnsi="Arial"/>
                <w:sz w:val="18"/>
                <w:szCs w:val="18"/>
                <w:color w:val="auto"/>
              </w:rPr>
              <w:t>Redemption Price Promissory Note, dated February 18, 2012, made by Wynn Resorts, Limited to Aruze USA, Inc.(34)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10.10.7</w:t>
            </w:r>
          </w:p>
        </w:tc>
        <w:tc>
          <w:tcPr>
            <w:tcW w:w="10460" w:type="dxa"/>
            <w:vAlign w:val="bottom"/>
          </w:tcPr>
          <w:p>
            <w:pPr>
              <w:ind w:left="340"/>
              <w:spacing w:after="0"/>
              <w:rPr>
                <w:sz w:val="20"/>
                <w:szCs w:val="20"/>
                <w:color w:val="auto"/>
              </w:rPr>
            </w:pPr>
            <w:r>
              <w:rPr>
                <w:rFonts w:ascii="Arial" w:cs="Arial" w:eastAsia="Arial" w:hAnsi="Arial"/>
                <w:sz w:val="18"/>
                <w:szCs w:val="18"/>
                <w:color w:val="auto"/>
                <w:w w:val="88"/>
              </w:rPr>
              <w:t>Registration Rights Agreement, dated as of March 12, 2012, by and among Wynn Las Vegas, LLC, Wynn Las Vegas Capital Corp, Wynn Show</w:t>
            </w:r>
          </w:p>
        </w:tc>
      </w:tr>
      <w:tr>
        <w:trPr>
          <w:trHeight w:val="216"/>
        </w:trPr>
        <w:tc>
          <w:tcPr>
            <w:tcW w:w="9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Performers, LLC, Wynn Golf, LLC, Las Vegas Jet, LLC, World Travel, LLC, Wynn Sunrise, LLC, Kevyn, LLC, Deutsche Bank Securities Inc.,</w:t>
            </w:r>
          </w:p>
        </w:tc>
      </w:tr>
      <w:tr>
        <w:trPr>
          <w:trHeight w:val="222"/>
        </w:trPr>
        <w:tc>
          <w:tcPr>
            <w:tcW w:w="9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Merrill Lynch, Pierce, Fenner &amp; Smith Incorporated and J.P. Morgan Securities LLC.(35)</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0460" w:type="dxa"/>
            <w:vAlign w:val="bottom"/>
          </w:tcPr>
          <w:p>
            <w:pPr>
              <w:ind w:left="340"/>
              <w:spacing w:after="0"/>
              <w:rPr>
                <w:sz w:val="20"/>
                <w:szCs w:val="20"/>
                <w:color w:val="auto"/>
              </w:rPr>
            </w:pPr>
            <w:r>
              <w:rPr>
                <w:rFonts w:ascii="Arial" w:cs="Arial" w:eastAsia="Arial" w:hAnsi="Arial"/>
                <w:sz w:val="18"/>
                <w:szCs w:val="18"/>
                <w:color w:val="auto"/>
              </w:rPr>
              <w:t>Subsidiaries of the Registrant.(46)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460" w:type="dxa"/>
            <w:vAlign w:val="bottom"/>
          </w:tcPr>
          <w:p>
            <w:pPr>
              <w:ind w:left="340"/>
              <w:spacing w:after="0"/>
              <w:rPr>
                <w:sz w:val="20"/>
                <w:szCs w:val="20"/>
                <w:color w:val="auto"/>
              </w:rPr>
            </w:pPr>
            <w:r>
              <w:rPr>
                <w:rFonts w:ascii="Arial" w:cs="Arial" w:eastAsia="Arial" w:hAnsi="Arial"/>
                <w:sz w:val="18"/>
                <w:szCs w:val="18"/>
                <w:color w:val="auto"/>
              </w:rPr>
              <w:t>Consent of Ernst &amp; Young LLP.(46)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3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2002.(46)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2002.(46)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tcPr>
          <w:p>
            <w:pPr>
              <w:ind w:left="340"/>
              <w:spacing w:after="0"/>
              <w:rPr>
                <w:sz w:val="20"/>
                <w:szCs w:val="20"/>
                <w:color w:val="auto"/>
              </w:rPr>
            </w:pPr>
            <w:r>
              <w:rPr>
                <w:rFonts w:ascii="Arial" w:cs="Arial" w:eastAsia="Arial" w:hAnsi="Arial"/>
                <w:sz w:val="18"/>
                <w:szCs w:val="18"/>
                <w:color w:val="auto"/>
              </w:rPr>
              <w:t>Certification of CEO and CFO pursuant to 18 U.S.C. Section 1350.(46)</w:t>
            </w:r>
          </w:p>
        </w:tc>
      </w:tr>
    </w:tbl>
    <w:p>
      <w:pPr>
        <w:spacing w:after="0" w:line="102" w:lineRule="exact"/>
        <w:rPr>
          <w:sz w:val="20"/>
          <w:szCs w:val="20"/>
          <w:color w:val="auto"/>
        </w:rPr>
      </w:pPr>
    </w:p>
    <w:p>
      <w:pPr>
        <w:ind w:left="1260" w:right="200" w:hanging="1252"/>
        <w:spacing w:after="0" w:line="254"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Annual Report on Form 10-K for the year ended December 31, 2013, filed with the SEC on February 28, 2014 formatted in Extensible Business Reporting Language (XBRL): (i) the Consolidated Statements of Income for the years ended December 31, 2013, 2012 and 2011, (ii) the Consolidated Balance Sheets at December 31, 2013 and December 31 2012, (iii) the Consolidated Statements of Cash Flows for the years ended December 31, 2013, 2012 and 2011, (iv) the Consolidated Statements of Stockholders’ Equity at December 31, 2013, 2012 and 2011, (v) the Consolidated Statements of Comprehensive Income and (vi) Notes to Consolidated Financial Statements.(46)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15" w:lineRule="exact"/>
        <w:rPr>
          <w:sz w:val="20"/>
          <w:szCs w:val="20"/>
          <w:color w:val="auto"/>
        </w:rPr>
      </w:pPr>
    </w:p>
    <w:p>
      <w:pPr>
        <w:ind w:left="460" w:right="322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Amendment No. 4 to the Form S-1 filed by the Registrant on October 7, 2002 (File No. 333-90600).</w:t>
      </w:r>
    </w:p>
    <w:p>
      <w:pPr>
        <w:ind w:left="460" w:right="320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Form S-1 filed by the Registrant on August 20, 2002 (File No. 333-90600).</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August 3, 2004.</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November 4, 2004.</w:t>
      </w:r>
    </w:p>
    <w:p>
      <w:pPr>
        <w:spacing w:after="0" w:line="32" w:lineRule="exact"/>
        <w:rPr>
          <w:rFonts w:ascii="Arial" w:cs="Arial" w:eastAsia="Arial" w:hAnsi="Arial"/>
          <w:sz w:val="16"/>
          <w:szCs w:val="16"/>
          <w:color w:val="auto"/>
        </w:rPr>
      </w:pPr>
    </w:p>
    <w:p>
      <w:pPr>
        <w:ind w:left="460" w:right="1779"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from Amendment No. 3 to the Form S-1 filed by the Registrant on September 18, 2002 (File No. 333-90600).</w:t>
      </w: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September 8, 2004.</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15, 2005.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November 8, 2005.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4,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August 9,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October 31,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September 15,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May 7,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2,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May 11,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9,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October 20,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January 6,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February 5,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19,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April 28,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May 18,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August 5,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26,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December 15,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February 28,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August 18,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Form S-8 Registration Statement filed by the Registrant on July 27,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February 21,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13,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April 12,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May 2,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November 9, 2012.</w:t>
      </w:r>
    </w:p>
    <w:p>
      <w:pPr>
        <w:spacing w:after="0" w:line="17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219"/>
          </w:cols>
          <w:pgMar w:left="240" w:top="459" w:right="1440"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February 29, 2012.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2013.</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Incorporated by reference from the Current Report on Form 8-K filed by the Registrant on September 12, 2013.</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5, 2013.</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May 10, 2013.</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May 22, 2013.</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14, 2013.</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219"/>
          </w:cols>
          <w:pgMar w:left="240" w:top="460" w:right="1440"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00" w:type="dxa"/>
            <w:vAlign w:val="bottom"/>
          </w:tcPr>
          <w:p>
            <w:pPr>
              <w:spacing w:after="0"/>
              <w:rPr>
                <w:sz w:val="19"/>
                <w:szCs w:val="19"/>
                <w:color w:val="auto"/>
              </w:rPr>
            </w:pPr>
          </w:p>
        </w:tc>
        <w:tc>
          <w:tcPr>
            <w:tcW w:w="8320" w:type="dxa"/>
            <w:vAlign w:val="bottom"/>
            <w:gridSpan w:val="2"/>
          </w:tcPr>
          <w:p>
            <w:pPr>
              <w:ind w:left="1280"/>
              <w:spacing w:after="0"/>
              <w:rPr>
                <w:sz w:val="20"/>
                <w:szCs w:val="20"/>
                <w:color w:val="auto"/>
              </w:rPr>
            </w:pPr>
            <w:r>
              <w:rPr>
                <w:rFonts w:ascii="Arial" w:cs="Arial" w:eastAsia="Arial" w:hAnsi="Arial"/>
                <w:sz w:val="18"/>
                <w:szCs w:val="18"/>
                <w:b w:val="1"/>
                <w:bCs w:val="1"/>
                <w:color w:val="auto"/>
              </w:rPr>
              <w:t>WYNN RESORTS, LIMITED</w:t>
            </w:r>
          </w:p>
        </w:tc>
      </w:tr>
      <w:tr>
        <w:trPr>
          <w:trHeight w:val="433"/>
        </w:trPr>
        <w:tc>
          <w:tcPr>
            <w:tcW w:w="3100" w:type="dxa"/>
            <w:vAlign w:val="bottom"/>
          </w:tcPr>
          <w:p>
            <w:pPr>
              <w:spacing w:after="0"/>
              <w:rPr>
                <w:sz w:val="20"/>
                <w:szCs w:val="20"/>
                <w:color w:val="auto"/>
              </w:rPr>
            </w:pPr>
            <w:r>
              <w:rPr>
                <w:rFonts w:ascii="Arial" w:cs="Arial" w:eastAsia="Arial" w:hAnsi="Arial"/>
                <w:sz w:val="18"/>
                <w:szCs w:val="18"/>
                <w:color w:val="auto"/>
              </w:rPr>
              <w:t>Dated: February 28, 2014</w:t>
            </w:r>
          </w:p>
        </w:tc>
        <w:tc>
          <w:tcPr>
            <w:tcW w:w="8320" w:type="dxa"/>
            <w:vAlign w:val="bottom"/>
            <w:gridSpan w:val="2"/>
          </w:tcPr>
          <w:p>
            <w:pPr>
              <w:ind w:left="1280"/>
              <w:spacing w:after="0"/>
              <w:rPr>
                <w:sz w:val="20"/>
                <w:szCs w:val="20"/>
                <w:color w:val="auto"/>
              </w:rPr>
            </w:pPr>
            <w:r>
              <w:rPr>
                <w:rFonts w:ascii="Arial" w:cs="Arial" w:eastAsia="Arial" w:hAnsi="Arial"/>
                <w:sz w:val="18"/>
                <w:szCs w:val="18"/>
                <w:color w:val="auto"/>
              </w:rPr>
              <w:t>By   /s/ Stephen A. Wynn</w:t>
            </w:r>
          </w:p>
        </w:tc>
      </w:tr>
      <w:tr>
        <w:trPr>
          <w:trHeight w:val="202"/>
        </w:trPr>
        <w:tc>
          <w:tcPr>
            <w:tcW w:w="3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8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Stephen A. Wynn</w:t>
            </w:r>
          </w:p>
        </w:tc>
      </w:tr>
      <w:tr>
        <w:trPr>
          <w:trHeight w:val="222"/>
        </w:trPr>
        <w:tc>
          <w:tcPr>
            <w:tcW w:w="3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Chairman of the Board and Chief Executive Officer (Principal Executive Officer)</w:t>
            </w:r>
          </w:p>
        </w:tc>
      </w:tr>
    </w:tbl>
    <w:p>
      <w:pPr>
        <w:spacing w:after="0" w:line="16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Signature</w:t>
            </w:r>
          </w:p>
        </w:tc>
        <w:tc>
          <w:tcPr>
            <w:tcW w:w="2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0"/>
              </w:rPr>
              <w:t>Title</w:t>
            </w: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500" w:type="dxa"/>
            <w:vAlign w:val="bottom"/>
          </w:tcPr>
          <w:p>
            <w:pPr>
              <w:spacing w:after="0"/>
              <w:rPr>
                <w:sz w:val="14"/>
                <w:szCs w:val="14"/>
                <w:color w:val="auto"/>
              </w:rPr>
            </w:pPr>
          </w:p>
        </w:tc>
      </w:tr>
      <w:tr>
        <w:trPr>
          <w:trHeight w:val="424"/>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Stephen A. Wynn</w:t>
            </w:r>
          </w:p>
        </w:tc>
        <w:tc>
          <w:tcPr>
            <w:tcW w:w="2260" w:type="dxa"/>
            <w:vAlign w:val="bottom"/>
            <w:tcBorders>
              <w:bottom w:val="single" w:sz="8" w:color="auto"/>
            </w:tcBorders>
          </w:tcPr>
          <w:p>
            <w:pPr>
              <w:spacing w:after="0"/>
              <w:rPr>
                <w:sz w:val="24"/>
                <w:szCs w:val="24"/>
                <w:color w:val="auto"/>
              </w:rPr>
            </w:pP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Chairman of the Board and Chief Executive Officer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28, 2014</w:t>
            </w:r>
          </w:p>
        </w:tc>
      </w:tr>
      <w:tr>
        <w:trPr>
          <w:trHeight w:val="218"/>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Stephen A. Wynn</w:t>
            </w:r>
          </w:p>
        </w:tc>
        <w:tc>
          <w:tcPr>
            <w:tcW w:w="2260" w:type="dxa"/>
            <w:vAlign w:val="bottom"/>
          </w:tcPr>
          <w:p>
            <w:pPr>
              <w:spacing w:after="0"/>
              <w:rPr>
                <w:sz w:val="18"/>
                <w:szCs w:val="18"/>
                <w:color w:val="auto"/>
              </w:rPr>
            </w:pPr>
          </w:p>
        </w:tc>
        <w:tc>
          <w:tcPr>
            <w:tcW w:w="42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(Principal Executive Officer)</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John Hagenbuch</w:t>
            </w:r>
          </w:p>
        </w:tc>
        <w:tc>
          <w:tcPr>
            <w:tcW w:w="2260" w:type="dxa"/>
            <w:vAlign w:val="bottom"/>
            <w:tcBorders>
              <w:bottom w:val="single" w:sz="8" w:color="auto"/>
            </w:tcBorders>
          </w:tcPr>
          <w:p>
            <w:pPr>
              <w:spacing w:after="0"/>
              <w:rPr>
                <w:sz w:val="24"/>
                <w:szCs w:val="24"/>
                <w:color w:val="auto"/>
              </w:rPr>
            </w:pP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28, 2014</w:t>
            </w:r>
          </w:p>
        </w:tc>
      </w:tr>
      <w:tr>
        <w:trPr>
          <w:trHeight w:val="217"/>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John Hagenbuch</w:t>
            </w:r>
          </w:p>
        </w:tc>
        <w:tc>
          <w:tcPr>
            <w:tcW w:w="2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Ray R. Irani</w:t>
            </w:r>
          </w:p>
        </w:tc>
        <w:tc>
          <w:tcPr>
            <w:tcW w:w="2260" w:type="dxa"/>
            <w:vAlign w:val="bottom"/>
            <w:tcBorders>
              <w:bottom w:val="single" w:sz="8" w:color="auto"/>
            </w:tcBorders>
          </w:tcPr>
          <w:p>
            <w:pPr>
              <w:spacing w:after="0"/>
              <w:rPr>
                <w:sz w:val="24"/>
                <w:szCs w:val="24"/>
                <w:color w:val="auto"/>
              </w:rPr>
            </w:pP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28, 2014</w:t>
            </w:r>
          </w:p>
        </w:tc>
      </w:tr>
      <w:tr>
        <w:trPr>
          <w:trHeight w:val="217"/>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2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Robert J. Miller</w:t>
            </w:r>
          </w:p>
        </w:tc>
        <w:tc>
          <w:tcPr>
            <w:tcW w:w="2260" w:type="dxa"/>
            <w:vAlign w:val="bottom"/>
            <w:tcBorders>
              <w:bottom w:val="single" w:sz="8" w:color="auto"/>
            </w:tcBorders>
          </w:tcPr>
          <w:p>
            <w:pPr>
              <w:spacing w:after="0"/>
              <w:rPr>
                <w:sz w:val="24"/>
                <w:szCs w:val="24"/>
                <w:color w:val="auto"/>
              </w:rPr>
            </w:pP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28, 2014</w:t>
            </w:r>
          </w:p>
        </w:tc>
      </w:tr>
      <w:tr>
        <w:trPr>
          <w:trHeight w:val="217"/>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Alvin Shoemaker</w:t>
            </w:r>
          </w:p>
        </w:tc>
        <w:tc>
          <w:tcPr>
            <w:tcW w:w="2260" w:type="dxa"/>
            <w:vAlign w:val="bottom"/>
            <w:tcBorders>
              <w:bottom w:val="single" w:sz="8" w:color="auto"/>
            </w:tcBorders>
          </w:tcPr>
          <w:p>
            <w:pPr>
              <w:spacing w:after="0"/>
              <w:rPr>
                <w:sz w:val="24"/>
                <w:szCs w:val="24"/>
                <w:color w:val="auto"/>
              </w:rPr>
            </w:pP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28, 2014</w:t>
            </w:r>
          </w:p>
        </w:tc>
      </w:tr>
      <w:tr>
        <w:trPr>
          <w:trHeight w:val="217"/>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Edward J Virtue</w:t>
            </w:r>
          </w:p>
        </w:tc>
        <w:tc>
          <w:tcPr>
            <w:tcW w:w="2260" w:type="dxa"/>
            <w:vAlign w:val="bottom"/>
            <w:tcBorders>
              <w:bottom w:val="single" w:sz="8" w:color="auto"/>
            </w:tcBorders>
          </w:tcPr>
          <w:p>
            <w:pPr>
              <w:spacing w:after="0"/>
              <w:rPr>
                <w:sz w:val="24"/>
                <w:szCs w:val="24"/>
                <w:color w:val="auto"/>
              </w:rPr>
            </w:pP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28, 2014</w:t>
            </w:r>
          </w:p>
        </w:tc>
      </w:tr>
      <w:tr>
        <w:trPr>
          <w:trHeight w:val="217"/>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Edward J Virtue</w:t>
            </w:r>
          </w:p>
        </w:tc>
        <w:tc>
          <w:tcPr>
            <w:tcW w:w="2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D. Boone Wayson</w:t>
            </w:r>
          </w:p>
        </w:tc>
        <w:tc>
          <w:tcPr>
            <w:tcW w:w="2260" w:type="dxa"/>
            <w:vAlign w:val="bottom"/>
            <w:tcBorders>
              <w:bottom w:val="single" w:sz="8" w:color="auto"/>
            </w:tcBorders>
          </w:tcPr>
          <w:p>
            <w:pPr>
              <w:spacing w:after="0"/>
              <w:rPr>
                <w:sz w:val="24"/>
                <w:szCs w:val="24"/>
                <w:color w:val="auto"/>
              </w:rPr>
            </w:pP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28, 2014</w:t>
            </w:r>
          </w:p>
        </w:tc>
      </w:tr>
      <w:tr>
        <w:trPr>
          <w:trHeight w:val="217"/>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Elaine P. Wynn</w:t>
            </w:r>
          </w:p>
        </w:tc>
        <w:tc>
          <w:tcPr>
            <w:tcW w:w="2260" w:type="dxa"/>
            <w:vAlign w:val="bottom"/>
            <w:tcBorders>
              <w:bottom w:val="single" w:sz="8" w:color="auto"/>
            </w:tcBorders>
          </w:tcPr>
          <w:p>
            <w:pPr>
              <w:spacing w:after="0"/>
              <w:rPr>
                <w:sz w:val="24"/>
                <w:szCs w:val="24"/>
                <w:color w:val="auto"/>
              </w:rPr>
            </w:pP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28, 2014</w:t>
            </w:r>
          </w:p>
        </w:tc>
      </w:tr>
      <w:tr>
        <w:trPr>
          <w:trHeight w:val="217"/>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7"/>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Matt Maddox</w:t>
            </w:r>
          </w:p>
        </w:tc>
        <w:tc>
          <w:tcPr>
            <w:tcW w:w="2260" w:type="dxa"/>
            <w:vAlign w:val="bottom"/>
            <w:tcBorders>
              <w:bottom w:val="single" w:sz="8" w:color="auto"/>
            </w:tcBorders>
          </w:tcPr>
          <w:p>
            <w:pPr>
              <w:spacing w:after="0"/>
              <w:rPr>
                <w:sz w:val="24"/>
                <w:szCs w:val="24"/>
                <w:color w:val="auto"/>
              </w:rPr>
            </w:pP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President and Chief Financial Officer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28, 2014</w:t>
            </w:r>
          </w:p>
        </w:tc>
      </w:tr>
      <w:tr>
        <w:trPr>
          <w:trHeight w:val="218"/>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260" w:type="dxa"/>
            <w:vAlign w:val="bottom"/>
          </w:tcPr>
          <w:p>
            <w:pPr>
              <w:spacing w:after="0"/>
              <w:rPr>
                <w:sz w:val="18"/>
                <w:szCs w:val="18"/>
                <w:color w:val="auto"/>
              </w:rPr>
            </w:pPr>
          </w:p>
        </w:tc>
        <w:tc>
          <w:tcPr>
            <w:tcW w:w="42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20" w:type="dxa"/>
            <w:vAlign w:val="bottom"/>
            <w:gridSpan w:val="2"/>
          </w:tcPr>
          <w:p>
            <w:pPr>
              <w:jc w:val="right"/>
              <w:ind w:right="1012"/>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EMPLOYMENT AGREEMENT</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(“Agreement”)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 by and between -</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WYNN RESORTS LIMITED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(“Employer”)</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MATT MADDOX</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251460</wp:posOffset>
            </wp:positionV>
            <wp:extent cx="15176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17650" cy="8890"/>
                    </a:xfrm>
                    <a:prstGeom prst="rect">
                      <a:avLst/>
                    </a:prstGeom>
                    <a:noFill/>
                  </pic:spPr>
                </pic:pic>
              </a:graphicData>
            </a:graphic>
          </wp:anchor>
        </w:drawing>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18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2013 (the “</w:t>
      </w:r>
      <w:r>
        <w:rPr>
          <w:rFonts w:ascii="Arial" w:cs="Arial" w:eastAsia="Arial" w:hAnsi="Arial"/>
          <w:sz w:val="18"/>
          <w:szCs w:val="18"/>
          <w:b w:val="1"/>
          <w:bCs w:val="1"/>
          <w:color w:val="auto"/>
        </w:rPr>
        <w:t>Execution Date</w:t>
      </w:r>
      <w:r>
        <w:rPr>
          <w:rFonts w:ascii="Arial" w:cs="Arial" w:eastAsia="Arial" w:hAnsi="Arial"/>
          <w:sz w:val="18"/>
          <w:szCs w:val="18"/>
          <w:color w:val="auto"/>
        </w:rPr>
        <w:t>”),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between </w:t>
      </w:r>
      <w:r>
        <w:rPr>
          <w:rFonts w:ascii="Arial" w:cs="Arial" w:eastAsia="Arial" w:hAnsi="Arial"/>
          <w:sz w:val="18"/>
          <w:szCs w:val="18"/>
          <w:b w:val="1"/>
          <w:bCs w:val="1"/>
          <w:color w:val="auto"/>
        </w:rPr>
        <w:t>WYNN RESORTS, LIMITED</w:t>
      </w:r>
      <w:r>
        <w:rPr>
          <w:rFonts w:ascii="Arial" w:cs="Arial" w:eastAsia="Arial" w:hAnsi="Arial"/>
          <w:sz w:val="18"/>
          <w:szCs w:val="18"/>
          <w:color w:val="auto"/>
        </w:rPr>
        <w:t xml:space="preserve"> (“</w:t>
      </w:r>
      <w:r>
        <w:rPr>
          <w:rFonts w:ascii="Arial" w:cs="Arial" w:eastAsia="Arial" w:hAnsi="Arial"/>
          <w:sz w:val="18"/>
          <w:szCs w:val="18"/>
          <w:b w:val="1"/>
          <w:bCs w:val="1"/>
          <w:color w:val="auto"/>
        </w:rPr>
        <w:t>Employer</w:t>
      </w:r>
      <w:r>
        <w:rPr>
          <w:rFonts w:ascii="Arial" w:cs="Arial" w:eastAsia="Arial" w:hAnsi="Arial"/>
          <w:sz w:val="18"/>
          <w:szCs w:val="18"/>
          <w:color w:val="auto"/>
        </w:rPr>
        <w:t xml:space="preserve">”) and </w:t>
      </w:r>
      <w:r>
        <w:rPr>
          <w:rFonts w:ascii="Arial" w:cs="Arial" w:eastAsia="Arial" w:hAnsi="Arial"/>
          <w:sz w:val="18"/>
          <w:szCs w:val="18"/>
          <w:b w:val="1"/>
          <w:bCs w:val="1"/>
          <w:color w:val="auto"/>
        </w:rPr>
        <w:t>MATT MADDOX</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221" w:lineRule="exact"/>
        <w:rPr>
          <w:sz w:val="20"/>
          <w:szCs w:val="20"/>
          <w:color w:val="auto"/>
        </w:rPr>
      </w:pPr>
    </w:p>
    <w:p>
      <w:pPr>
        <w:ind w:right="120" w:firstLine="456"/>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Employer is a corporation duly organized and existing under the laws of the State of Nevada, maintains its principal place of business at</w:t>
      </w:r>
      <w:r>
        <w:rPr>
          <w:rFonts w:ascii="Arial" w:cs="Arial" w:eastAsia="Arial" w:hAnsi="Arial"/>
          <w:sz w:val="16"/>
          <w:szCs w:val="16"/>
          <w:b w:val="1"/>
          <w:bCs w:val="1"/>
          <w:color w:val="auto"/>
        </w:rPr>
        <w:t xml:space="preserve"> </w:t>
      </w:r>
      <w:r>
        <w:rPr>
          <w:rFonts w:ascii="Arial" w:cs="Arial" w:eastAsia="Arial" w:hAnsi="Arial"/>
          <w:sz w:val="16"/>
          <w:szCs w:val="16"/>
          <w:color w:val="auto"/>
        </w:rPr>
        <w:t>3131 Las Vegas Blvd. South, Las Vegas, Nevada 89109, and is engaged in the business of developing, constructing and operating a casino resorts; and,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furtherance of its business, Employer has need of qualified, experienced executives; and,</w:t>
      </w:r>
    </w:p>
    <w:p>
      <w:pPr>
        <w:spacing w:after="0" w:line="225"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currently serves as Chief Financial Officer of Employer pursuant to the terms of an Employment Agreement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1, 2005 , as assigned and amended (collectively referred to as the “</w:t>
      </w:r>
      <w:r>
        <w:rPr>
          <w:rFonts w:ascii="Arial" w:cs="Arial" w:eastAsia="Arial" w:hAnsi="Arial"/>
          <w:sz w:val="18"/>
          <w:szCs w:val="18"/>
          <w:b w:val="1"/>
          <w:bCs w:val="1"/>
          <w:color w:val="auto"/>
        </w:rPr>
        <w:t>Prior Agreement</w:t>
      </w:r>
      <w:r>
        <w:rPr>
          <w:rFonts w:ascii="Arial" w:cs="Arial" w:eastAsia="Arial" w:hAnsi="Arial"/>
          <w:sz w:val="18"/>
          <w:szCs w:val="18"/>
          <w:color w:val="auto"/>
        </w:rPr>
        <w:t>”); and</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Prior Agreement terminates by its terms as of November 30, 2013, and Employee and Employer desire to enter into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the continued employment of Employee by Employer; and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is an adult individual currently residing at [intentionally omitted], and</w:t>
      </w:r>
    </w:p>
    <w:p>
      <w:pPr>
        <w:spacing w:after="0" w:line="225"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conditions set forth herein;</w:t>
      </w:r>
    </w:p>
    <w:p>
      <w:pPr>
        <w:spacing w:after="0" w:line="166"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pacing w:after="0" w:line="181" w:lineRule="exact"/>
        <w:rPr>
          <w:sz w:val="20"/>
          <w:szCs w:val="20"/>
          <w:color w:val="auto"/>
        </w:rPr>
      </w:pPr>
    </w:p>
    <w:p>
      <w:pPr>
        <w:ind w:right="60" w:firstLine="464"/>
        <w:spacing w:after="0" w:line="277" w:lineRule="auto"/>
        <w:tabs>
          <w:tab w:leader="none" w:pos="636"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herein,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meaning clearly appears from the context:</w:t>
      </w:r>
    </w:p>
    <w:p>
      <w:pPr>
        <w:spacing w:after="0" w:line="58" w:lineRule="exact"/>
        <w:rPr>
          <w:rFonts w:ascii="Arial" w:cs="Arial" w:eastAsia="Arial" w:hAnsi="Arial"/>
          <w:sz w:val="18"/>
          <w:szCs w:val="18"/>
          <w:b w:val="1"/>
          <w:bCs w:val="1"/>
          <w:i w:val="1"/>
          <w:iCs w:val="1"/>
          <w:color w:val="auto"/>
        </w:rPr>
      </w:pPr>
    </w:p>
    <w:p>
      <w:pPr>
        <w:ind w:left="460" w:right="80" w:firstLine="443"/>
        <w:spacing w:after="0" w:line="282" w:lineRule="auto"/>
        <w:tabs>
          <w:tab w:leader="none" w:pos="1143"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 means with respect to a specified Person, any other Person who or which is (i) directly or indirectly controlling, controlled by or under common control with the specified Person, or (ii) any member,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11" w:right="259" w:bottom="1440" w:gutter="0" w:footer="0" w:header="0"/>
        </w:sectPr>
      </w:pPr>
    </w:p>
    <w:bookmarkStart w:id="147" w:name="page148"/>
    <w:bookmarkEnd w:id="147"/>
    <w:p>
      <w:pPr>
        <w:ind w:right="3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46" w:lineRule="exact"/>
        <w:rPr>
          <w:sz w:val="20"/>
          <w:szCs w:val="20"/>
          <w:color w:val="auto"/>
        </w:rPr>
      </w:pPr>
    </w:p>
    <w:p>
      <w:pPr>
        <w:ind w:left="700" w:hanging="257"/>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 - means each anniversary date of the Effective Date during the Term (as defined in Section 5 hereof).</w:t>
      </w:r>
    </w:p>
    <w:p>
      <w:pPr>
        <w:spacing w:after="0" w:line="117" w:lineRule="exact"/>
        <w:rPr>
          <w:rFonts w:ascii="Arial" w:cs="Arial" w:eastAsia="Arial" w:hAnsi="Arial"/>
          <w:sz w:val="18"/>
          <w:szCs w:val="18"/>
          <w:color w:val="auto"/>
        </w:rPr>
      </w:pPr>
    </w:p>
    <w:p>
      <w:pPr>
        <w:ind w:left="680" w:hanging="237"/>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121" w:lineRule="exact"/>
        <w:rPr>
          <w:rFonts w:ascii="Arial" w:cs="Arial" w:eastAsia="Arial" w:hAnsi="Arial"/>
          <w:sz w:val="18"/>
          <w:szCs w:val="18"/>
          <w:color w:val="auto"/>
        </w:rPr>
      </w:pPr>
    </w:p>
    <w:p>
      <w:pPr>
        <w:ind w:left="460" w:firstLine="421"/>
        <w:spacing w:after="0" w:line="277" w:lineRule="auto"/>
        <w:tabs>
          <w:tab w:leader="none" w:pos="10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Employee’s inability or failure to secure and/or maintain any licenses or permits required by government agencies with jurisdiction over the business of Employer or its Affiliate;</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willful destruction by Employee of the property of Employer or an Affiliate having a material value to Employer or such Affiliate;</w:t>
      </w:r>
    </w:p>
    <w:p>
      <w:pPr>
        <w:spacing w:after="0" w:line="129" w:lineRule="exact"/>
        <w:rPr>
          <w:sz w:val="20"/>
          <w:szCs w:val="20"/>
          <w:color w:val="auto"/>
        </w:rPr>
      </w:pPr>
    </w:p>
    <w:p>
      <w:pPr>
        <w:ind w:left="460" w:right="180" w:firstLine="420"/>
        <w:spacing w:after="0" w:line="277" w:lineRule="auto"/>
        <w:rPr>
          <w:sz w:val="20"/>
          <w:szCs w:val="20"/>
          <w:color w:val="auto"/>
        </w:rPr>
      </w:pPr>
      <w:r>
        <w:rPr>
          <w:rFonts w:ascii="Arial" w:cs="Arial" w:eastAsia="Arial" w:hAnsi="Arial"/>
          <w:sz w:val="18"/>
          <w:szCs w:val="18"/>
          <w:color w:val="auto"/>
        </w:rPr>
        <w:t>(iiv) fraud, embezzlement, theft, or comparable dishonest activity committed by Employee (excluding acts involving a de minimis dollar value and not related to Employer or an Affiliate);</w:t>
      </w:r>
    </w:p>
    <w:p>
      <w:pPr>
        <w:spacing w:after="0" w:line="62" w:lineRule="exact"/>
        <w:rPr>
          <w:sz w:val="20"/>
          <w:szCs w:val="20"/>
          <w:color w:val="auto"/>
        </w:rPr>
      </w:pPr>
    </w:p>
    <w:p>
      <w:pPr>
        <w:jc w:val="both"/>
        <w:ind w:left="460" w:right="100" w:firstLine="421"/>
        <w:spacing w:after="0" w:line="342" w:lineRule="auto"/>
        <w:tabs>
          <w:tab w:leader="none" w:pos="1185" w:val="left"/>
        </w:tabs>
        <w:numPr>
          <w:ilvl w:val="0"/>
          <w:numId w:val="53"/>
        </w:numPr>
        <w:rPr>
          <w:rFonts w:ascii="Arial" w:cs="Arial" w:eastAsia="Arial" w:hAnsi="Arial"/>
          <w:sz w:val="16"/>
          <w:szCs w:val="16"/>
          <w:color w:val="auto"/>
        </w:rPr>
      </w:pPr>
      <w:r>
        <w:rPr>
          <w:rFonts w:ascii="Arial" w:cs="Arial" w:eastAsia="Arial" w:hAnsi="Arial"/>
          <w:sz w:val="16"/>
          <w:szCs w:val="16"/>
          <w:color w:val="auto"/>
        </w:rPr>
        <w:t>Employee’s conviction of or entering a plea of guilty or nolo contendere to any crime constituting a felony or any gross misdemeanor involving fraud, dishonesty or moral turpitude (excluding acts involving a de minimis dollar value and not related to Employer or an Affiliate);</w:t>
      </w:r>
    </w:p>
    <w:p>
      <w:pPr>
        <w:spacing w:after="0" w:line="15" w:lineRule="exact"/>
        <w:rPr>
          <w:rFonts w:ascii="Arial" w:cs="Arial" w:eastAsia="Arial" w:hAnsi="Arial"/>
          <w:sz w:val="16"/>
          <w:szCs w:val="16"/>
          <w:color w:val="auto"/>
        </w:rPr>
      </w:pPr>
    </w:p>
    <w:p>
      <w:pPr>
        <w:ind w:left="460" w:right="200" w:firstLine="421"/>
        <w:spacing w:after="0" w:line="286" w:lineRule="auto"/>
        <w:tabs>
          <w:tab w:leader="none" w:pos="11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Employee’s neglect, refusal, or failure to materially discharge any of Employee’s duties (other than due to physical or mental illness) commensurate with Employee’s title and function, or Employee’s failure to comply with the lawful directions of Employer, in each case, following a period of fifteen (15) days after received written notice of such neglect, refusal or failure from Employer;</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74" w:right="299" w:bottom="1440" w:gutter="0" w:footer="0" w:header="0"/>
        </w:sectPr>
      </w:pPr>
    </w:p>
    <w:bookmarkStart w:id="148" w:name="page149"/>
    <w:bookmarkEnd w:id="148"/>
    <w:p>
      <w:pPr>
        <w:ind w:left="737" w:hanging="299"/>
        <w:spacing w:after="0"/>
        <w:tabs>
          <w:tab w:leader="none" w:pos="737"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willful and knowing material misrepresentation to Employer;</w:t>
      </w:r>
    </w:p>
    <w:p>
      <w:pPr>
        <w:spacing w:after="0" w:line="117" w:lineRule="exact"/>
        <w:rPr>
          <w:rFonts w:ascii="Arial" w:cs="Arial" w:eastAsia="Arial" w:hAnsi="Arial"/>
          <w:sz w:val="18"/>
          <w:szCs w:val="18"/>
          <w:color w:val="auto"/>
        </w:rPr>
      </w:pPr>
    </w:p>
    <w:p>
      <w:pPr>
        <w:ind w:left="17" w:right="780" w:firstLine="421"/>
        <w:spacing w:after="0" w:line="277" w:lineRule="auto"/>
        <w:tabs>
          <w:tab w:leader="none" w:pos="7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which does or could result in material harm to Employer or Employer’s reputation;</w:t>
      </w:r>
    </w:p>
    <w:p>
      <w:pPr>
        <w:spacing w:after="0" w:line="62" w:lineRule="exact"/>
        <w:rPr>
          <w:rFonts w:ascii="Arial" w:cs="Arial" w:eastAsia="Arial" w:hAnsi="Arial"/>
          <w:sz w:val="18"/>
          <w:szCs w:val="18"/>
          <w:color w:val="auto"/>
        </w:rPr>
      </w:pPr>
    </w:p>
    <w:p>
      <w:pPr>
        <w:ind w:left="17" w:right="500" w:firstLine="421"/>
        <w:spacing w:after="0" w:line="277" w:lineRule="auto"/>
        <w:tabs>
          <w:tab w:leader="none" w:pos="842"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Employee’s material violation of a statutory duty, common law duty of loyalty or fiduciary duty to Employer, including but not limited to Employer’s conflict of interest policy;</w:t>
      </w:r>
    </w:p>
    <w:p>
      <w:pPr>
        <w:spacing w:after="0" w:line="62" w:lineRule="exact"/>
        <w:rPr>
          <w:sz w:val="20"/>
          <w:szCs w:val="20"/>
          <w:color w:val="auto"/>
        </w:rPr>
      </w:pPr>
    </w:p>
    <w:p>
      <w:pPr>
        <w:ind w:left="17" w:right="400" w:firstLine="420"/>
        <w:spacing w:after="0" w:line="277" w:lineRule="auto"/>
        <w:rPr>
          <w:sz w:val="20"/>
          <w:szCs w:val="20"/>
          <w:color w:val="auto"/>
        </w:rPr>
      </w:pPr>
      <w:r>
        <w:rPr>
          <w:rFonts w:ascii="Arial" w:cs="Arial" w:eastAsia="Arial" w:hAnsi="Arial"/>
          <w:sz w:val="18"/>
          <w:szCs w:val="18"/>
          <w:color w:val="auto"/>
        </w:rPr>
        <w:t>provided, however, that Employee’s Complete Disability due to illness or accident or any other mental or physical incapacity shall not constitute “Cause” as defined herein.</w:t>
      </w:r>
    </w:p>
    <w:p>
      <w:pPr>
        <w:spacing w:after="0" w:line="58" w:lineRule="exact"/>
        <w:rPr>
          <w:sz w:val="20"/>
          <w:szCs w:val="20"/>
          <w:color w:val="auto"/>
        </w:rPr>
      </w:pPr>
    </w:p>
    <w:p>
      <w:pPr>
        <w:ind w:left="257" w:hanging="257"/>
        <w:spacing w:after="0"/>
        <w:tabs>
          <w:tab w:leader="none" w:pos="257"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 means the occurrence, after the Effective Date, of any of the following events:</w:t>
      </w:r>
    </w:p>
    <w:p>
      <w:pPr>
        <w:spacing w:after="0" w:line="121" w:lineRule="exact"/>
        <w:rPr>
          <w:rFonts w:ascii="Arial" w:cs="Arial" w:eastAsia="Arial" w:hAnsi="Arial"/>
          <w:sz w:val="18"/>
          <w:szCs w:val="18"/>
          <w:color w:val="auto"/>
        </w:rPr>
      </w:pPr>
    </w:p>
    <w:p>
      <w:pPr>
        <w:ind w:left="17" w:right="80" w:firstLine="421"/>
        <w:spacing w:after="0" w:line="257" w:lineRule="auto"/>
        <w:tabs>
          <w:tab w:leader="none" w:pos="65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Wynn Resorts, Limited (“WRL”), or of any entity resulting from a merger or consolidation involving WRL, representing more than fifty percent (50%) of the combined voting power of the then outstanding securities of WRL or such entity;</w:t>
      </w:r>
    </w:p>
    <w:p>
      <w:pPr>
        <w:spacing w:after="0" w:line="80" w:lineRule="exact"/>
        <w:rPr>
          <w:rFonts w:ascii="Arial" w:cs="Arial" w:eastAsia="Arial" w:hAnsi="Arial"/>
          <w:sz w:val="18"/>
          <w:szCs w:val="18"/>
          <w:color w:val="auto"/>
        </w:rPr>
      </w:pPr>
    </w:p>
    <w:p>
      <w:pPr>
        <w:ind w:left="17" w:firstLine="421"/>
        <w:spacing w:after="0" w:line="255" w:lineRule="auto"/>
        <w:tabs>
          <w:tab w:leader="none" w:pos="70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individuals who, as of February 4, 2013, are members of WRL’s Board of Directors (the “Existing Directors”) cease, for any reason, to constitute more than fifty percent (50%) of the number of authorized directors 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w:t>
      </w:r>
    </w:p>
    <w:p>
      <w:pPr>
        <w:spacing w:after="0" w:line="122" w:lineRule="exact"/>
        <w:rPr>
          <w:sz w:val="20"/>
          <w:szCs w:val="20"/>
          <w:color w:val="auto"/>
        </w:rPr>
      </w:pPr>
    </w:p>
    <w:p>
      <w:pPr>
        <w:ind w:left="475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97"/>
          </w:cols>
          <w:pgMar w:left="1143" w:top="274" w:right="259" w:bottom="1440" w:gutter="0" w:footer="0" w:header="0"/>
        </w:sectPr>
      </w:pPr>
    </w:p>
    <w:bookmarkStart w:id="149" w:name="page150"/>
    <w:bookmarkEnd w:id="149"/>
    <w:p>
      <w:pPr>
        <w:ind w:left="46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anyone other than the Board (a “Proxy Contest”), including by reason of any agreement intended to avoid or settle any Election Contest or Proxy Contest; or</w:t>
      </w:r>
    </w:p>
    <w:p>
      <w:pPr>
        <w:spacing w:after="0" w:line="62" w:lineRule="exact"/>
        <w:rPr>
          <w:sz w:val="20"/>
          <w:szCs w:val="20"/>
          <w:color w:val="auto"/>
        </w:rPr>
      </w:pPr>
    </w:p>
    <w:p>
      <w:pPr>
        <w:ind w:left="460" w:right="60" w:firstLine="421"/>
        <w:spacing w:after="0" w:line="268" w:lineRule="auto"/>
        <w:tabs>
          <w:tab w:leader="none" w:pos="119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consummation of (x) a merger, consolidation or reorganization to which WRL is a party, whether or not WRL is the Person surviving or resulting therefrom, or (y) a sale, assignment, lease, conveyance or other disposition of all or substantially all of the assets of Employer or WRL, in one transaction or a series of related transactions, to any Person other than WRL or an Affiliate,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provided, however, that no such Transaction shall constitute a “Change in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 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spacing w:after="0" w:line="80"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69" w:lineRule="exact"/>
        <w:rPr>
          <w:sz w:val="20"/>
          <w:szCs w:val="20"/>
          <w:color w:val="auto"/>
        </w:rPr>
      </w:pPr>
    </w:p>
    <w:p>
      <w:pPr>
        <w:ind w:right="620" w:firstLine="443"/>
        <w:spacing w:after="0" w:line="282" w:lineRule="auto"/>
        <w:tabs>
          <w:tab w:leader="none" w:pos="683"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color w:val="auto"/>
        </w:rPr>
        <w:t>”- means the inability of Employee, due to illness or accident or other mental or physical incapacity, to perform Employee’s obligations under this Agreement for a period as defined by Employer’s disability plan or plans.</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74" w:right="279" w:bottom="1440" w:gutter="0" w:footer="0" w:header="0"/>
        </w:sectPr>
      </w:pPr>
    </w:p>
    <w:bookmarkStart w:id="150" w:name="page151"/>
    <w:bookmarkEnd w:id="150"/>
    <w:p>
      <w:pPr>
        <w:ind w:firstLine="443"/>
        <w:spacing w:after="0" w:line="268" w:lineRule="auto"/>
        <w:tabs>
          <w:tab w:leader="none" w:pos="663" w:val="left"/>
        </w:tabs>
        <w:numPr>
          <w:ilvl w:val="0"/>
          <w:numId w:val="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u w:val="single" w:color="auto"/>
          <w:color w:val="auto"/>
        </w:rPr>
        <w:t>Confidential Information</w:t>
      </w:r>
      <w:r>
        <w:rPr>
          <w:rFonts w:ascii="Arial" w:cs="Arial" w:eastAsia="Arial" w:hAnsi="Arial"/>
          <w:sz w:val="17"/>
          <w:szCs w:val="17"/>
          <w:color w:val="auto"/>
        </w:rPr>
        <w:t>” -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 No materials or information shall be considered Confidential Information if Employee can prove that the materials or information are: (1) already known to Employee at the time that they are disclosed; or (2) publicly known at the time of the disclosure to Employee. Additionally, the confidential obligations herein will cease as to particular information that: (1) has become publicly known through no fault of Employee; (2) is received by Employee properly and lawfully from a third party without restriction on disclosure and without knowledge or reasonable suspicion that the third party’s disclosure is in breach of any obligations to Employer or its Affiliate; (3) has been developed by Employee completely independent of the delivery of Confidential Information hereunder; or (4) has been approved for public release by written authorization of Employer or its Affiliate.</w:t>
      </w:r>
    </w:p>
    <w:p>
      <w:pPr>
        <w:spacing w:after="0" w:line="70" w:lineRule="exact"/>
        <w:rPr>
          <w:rFonts w:ascii="Arial" w:cs="Arial" w:eastAsia="Arial" w:hAnsi="Arial"/>
          <w:sz w:val="17"/>
          <w:szCs w:val="17"/>
          <w:color w:val="auto"/>
        </w:rPr>
      </w:pPr>
    </w:p>
    <w:p>
      <w:pPr>
        <w:ind w:left="700" w:hanging="257"/>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November 4, 2013.</w:t>
      </w:r>
    </w:p>
    <w:p>
      <w:pPr>
        <w:spacing w:after="0" w:line="117" w:lineRule="exact"/>
        <w:rPr>
          <w:rFonts w:ascii="Arial" w:cs="Arial" w:eastAsia="Arial" w:hAnsi="Arial"/>
          <w:sz w:val="18"/>
          <w:szCs w:val="18"/>
          <w:color w:val="auto"/>
        </w:rPr>
      </w:pPr>
    </w:p>
    <w:p>
      <w:pPr>
        <w:ind w:right="120" w:firstLine="443"/>
        <w:spacing w:after="0" w:line="266" w:lineRule="auto"/>
        <w:tabs>
          <w:tab w:leader="none" w:pos="693"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72" w:lineRule="exact"/>
        <w:rPr>
          <w:rFonts w:ascii="Arial" w:cs="Arial" w:eastAsia="Arial" w:hAnsi="Arial"/>
          <w:sz w:val="18"/>
          <w:szCs w:val="18"/>
          <w:color w:val="auto"/>
        </w:rPr>
      </w:pPr>
    </w:p>
    <w:p>
      <w:pPr>
        <w:ind w:left="1100" w:hanging="219"/>
        <w:spacing w:after="0"/>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Section 7(a) below);</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70" w:right="279" w:bottom="1440" w:gutter="0" w:footer="0" w:header="0"/>
        </w:sectPr>
      </w:pPr>
    </w:p>
    <w:bookmarkStart w:id="151" w:name="page152"/>
    <w:bookmarkEnd w:id="151"/>
    <w:p>
      <w:pPr>
        <w:ind w:left="460" w:right="60" w:firstLine="421"/>
        <w:spacing w:after="0" w:line="312" w:lineRule="auto"/>
        <w:tabs>
          <w:tab w:leader="none" w:pos="1145"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38" w:lineRule="exact"/>
        <w:rPr>
          <w:rFonts w:ascii="Arial" w:cs="Arial" w:eastAsia="Arial" w:hAnsi="Arial"/>
          <w:sz w:val="16"/>
          <w:szCs w:val="16"/>
          <w:color w:val="auto"/>
        </w:rPr>
      </w:pPr>
    </w:p>
    <w:p>
      <w:pPr>
        <w:ind w:left="460" w:right="260" w:firstLine="421"/>
        <w:spacing w:after="0" w:line="277" w:lineRule="auto"/>
        <w:tabs>
          <w:tab w:leader="none" w:pos="11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and perquisites to Employee from those being provided immediately before the Change in Control;</w:t>
      </w:r>
    </w:p>
    <w:p>
      <w:pPr>
        <w:spacing w:after="0" w:line="62" w:lineRule="exact"/>
        <w:rPr>
          <w:rFonts w:ascii="Arial" w:cs="Arial" w:eastAsia="Arial" w:hAnsi="Arial"/>
          <w:sz w:val="18"/>
          <w:szCs w:val="18"/>
          <w:color w:val="auto"/>
        </w:rPr>
      </w:pPr>
    </w:p>
    <w:p>
      <w:pPr>
        <w:ind w:left="460" w:firstLine="421"/>
        <w:spacing w:after="0" w:line="308" w:lineRule="auto"/>
        <w:tabs>
          <w:tab w:leader="none" w:pos="1185" w:val="left"/>
        </w:tabs>
        <w:numPr>
          <w:ilvl w:val="0"/>
          <w:numId w:val="59"/>
        </w:numPr>
        <w:rPr>
          <w:rFonts w:ascii="Arial" w:cs="Arial" w:eastAsia="Arial" w:hAnsi="Arial"/>
          <w:sz w:val="17"/>
          <w:szCs w:val="17"/>
          <w:color w:val="auto"/>
        </w:rPr>
      </w:pPr>
      <w:r>
        <w:rPr>
          <w:rFonts w:ascii="Arial" w:cs="Arial" w:eastAsia="Arial" w:hAnsi="Arial"/>
          <w:sz w:val="17"/>
          <w:szCs w:val="17"/>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38" w:lineRule="exact"/>
        <w:rPr>
          <w:rFonts w:ascii="Arial" w:cs="Arial" w:eastAsia="Arial" w:hAnsi="Arial"/>
          <w:sz w:val="17"/>
          <w:szCs w:val="17"/>
          <w:color w:val="auto"/>
        </w:rPr>
      </w:pPr>
    </w:p>
    <w:p>
      <w:pPr>
        <w:ind w:left="460" w:right="620" w:firstLine="421"/>
        <w:spacing w:after="0" w:line="277" w:lineRule="auto"/>
        <w:tabs>
          <w:tab w:leader="none" w:pos="11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62" w:lineRule="exact"/>
        <w:rPr>
          <w:rFonts w:ascii="Arial" w:cs="Arial" w:eastAsia="Arial" w:hAnsi="Arial"/>
          <w:sz w:val="18"/>
          <w:szCs w:val="18"/>
          <w:color w:val="auto"/>
        </w:rPr>
      </w:pPr>
    </w:p>
    <w:p>
      <w:pPr>
        <w:ind w:left="1180" w:hanging="299"/>
        <w:spacing w:after="0"/>
        <w:tabs>
          <w:tab w:leader="none" w:pos="11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successor to Employer fails or refuses expressly to assume in writing the obligations of Employer under this Agreement.</w:t>
      </w:r>
    </w:p>
    <w:p>
      <w:pPr>
        <w:spacing w:after="0" w:line="129" w:lineRule="exact"/>
        <w:rPr>
          <w:sz w:val="20"/>
          <w:szCs w:val="20"/>
          <w:color w:val="auto"/>
        </w:rPr>
      </w:pPr>
    </w:p>
    <w:p>
      <w:pPr>
        <w:ind w:right="260" w:firstLine="438"/>
        <w:spacing w:after="0" w:line="277"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58" w:lineRule="exact"/>
        <w:rPr>
          <w:sz w:val="20"/>
          <w:szCs w:val="20"/>
          <w:color w:val="auto"/>
        </w:rPr>
      </w:pPr>
    </w:p>
    <w:p>
      <w:pPr>
        <w:ind w:right="20" w:firstLine="443"/>
        <w:spacing w:after="0" w:line="261" w:lineRule="auto"/>
        <w:tabs>
          <w:tab w:leader="none" w:pos="6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Separation Payment</w:t>
      </w:r>
      <w:r>
        <w:rPr>
          <w:rFonts w:ascii="Arial" w:cs="Arial" w:eastAsia="Arial" w:hAnsi="Arial"/>
          <w:sz w:val="18"/>
          <w:szCs w:val="18"/>
          <w:color w:val="auto"/>
        </w:rPr>
        <w:t>” - means a lump sum equal to (A) Employee’s Base Salary (as defined in Section 7(a) of this Agreement) for the remainder of the Term, but not less than one (1) year of Base Salary, plus (B) the bonus that was paid to Employee under Section 7(b) for the preceding bonus period, projected over the remainder of the Term (but not less than the preceding bonus that was paid), plus (C) any accrued but unpaid vacation pay.</w:t>
      </w:r>
    </w:p>
    <w:p>
      <w:pPr>
        <w:spacing w:after="0" w:line="72" w:lineRule="exact"/>
        <w:rPr>
          <w:sz w:val="20"/>
          <w:szCs w:val="20"/>
          <w:color w:val="auto"/>
        </w:rPr>
      </w:pPr>
    </w:p>
    <w:p>
      <w:pPr>
        <w:ind w:right="40" w:firstLine="443"/>
        <w:spacing w:after="0" w:line="266" w:lineRule="auto"/>
        <w:tabs>
          <w:tab w:leader="none" w:pos="6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Trade Secrets</w:t>
      </w:r>
      <w:r>
        <w:rPr>
          <w:rFonts w:ascii="Arial" w:cs="Arial" w:eastAsia="Arial" w:hAnsi="Arial"/>
          <w:sz w:val="18"/>
          <w:szCs w:val="18"/>
          <w:color w:val="auto"/>
        </w:rPr>
        <w:t>”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74" w:right="279" w:bottom="1440" w:gutter="0" w:footer="0" w:header="0"/>
        </w:sectPr>
      </w:pPr>
    </w:p>
    <w:bookmarkStart w:id="152" w:name="page153"/>
    <w:bookmarkEnd w:id="152"/>
    <w:p>
      <w:pPr>
        <w:ind w:left="460"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69" w:lineRule="exact"/>
        <w:rPr>
          <w:sz w:val="20"/>
          <w:szCs w:val="20"/>
          <w:color w:val="auto"/>
        </w:rPr>
      </w:pPr>
    </w:p>
    <w:p>
      <w:pPr>
        <w:ind w:left="460" w:right="260" w:firstLine="443"/>
        <w:spacing w:after="0" w:line="277" w:lineRule="auto"/>
        <w:tabs>
          <w:tab w:leader="none" w:pos="1113" w:val="left"/>
        </w:tabs>
        <w:numPr>
          <w:ilvl w:val="1"/>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Work of Authorship</w:t>
      </w:r>
      <w:r>
        <w:rPr>
          <w:rFonts w:ascii="Arial" w:cs="Arial" w:eastAsia="Arial" w:hAnsi="Arial"/>
          <w:sz w:val="17"/>
          <w:szCs w:val="17"/>
          <w:color w:val="auto"/>
        </w:rPr>
        <w:t>” -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72" w:lineRule="exact"/>
        <w:rPr>
          <w:rFonts w:ascii="Arial" w:cs="Arial" w:eastAsia="Arial" w:hAnsi="Arial"/>
          <w:sz w:val="17"/>
          <w:szCs w:val="17"/>
          <w:color w:val="auto"/>
        </w:rPr>
      </w:pPr>
    </w:p>
    <w:p>
      <w:pPr>
        <w:ind w:firstLine="464"/>
        <w:spacing w:after="0" w:line="291" w:lineRule="auto"/>
        <w:tabs>
          <w:tab w:leader="none" w:pos="636" w:val="left"/>
        </w:tabs>
        <w:numPr>
          <w:ilvl w:val="0"/>
          <w:numId w:val="6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BASIC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 set forth, Employer hereby employs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during the Term hereinafter specified to serve in an executive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reduction in the level of Employee’s duties as in effect prior to the change. Notwithstanding anything to the contrary contained herein, nothing in this Agreement shall be interpreted so as to permit Employer to required Employee to relocate his primary residence or his primary office outside of Las Vegas, Nevada metropolitan area; provided however, that Employee acknowledges and agrees that Employee’s duties may require Employee to occasionally travel to locations where Employer has operations or is investigating development opportunities.</w:t>
      </w:r>
    </w:p>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Agreement supersedes and replaces any and all prior employment agreements (including the Prior Agreement), consulting agreements, change of control agreements and severance plans or agreements, whether written or oral, by and between Employee, on the one side, and Employer or any of Employer’s Affiliates, on the other side, or under which Employee is a participant. From and after the Effective Date, Employee shall be the employee of Employer under the terms and pursuant to the conditions set forth in this Agreement.</w:t>
      </w:r>
    </w:p>
    <w:p>
      <w:pPr>
        <w:spacing w:after="0" w:line="187" w:lineRule="exact"/>
        <w:rPr>
          <w:sz w:val="20"/>
          <w:szCs w:val="20"/>
          <w:color w:val="auto"/>
        </w:rPr>
      </w:pPr>
    </w:p>
    <w:p>
      <w:pPr>
        <w:ind w:right="60" w:firstLine="464"/>
        <w:spacing w:after="0" w:line="302" w:lineRule="auto"/>
        <w:tabs>
          <w:tab w:leader="none" w:pos="636" w:val="left"/>
        </w:tabs>
        <w:numPr>
          <w:ilvl w:val="0"/>
          <w:numId w:val="6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DUTIES OF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shall perform such duties assigned to Employee by Employer as are generally associated with the duties of</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President and Chief Financial Officer </w:t>
      </w:r>
      <w:r>
        <w:rPr>
          <w:rFonts w:ascii="Arial" w:cs="Arial" w:eastAsia="Arial" w:hAnsi="Arial"/>
          <w:sz w:val="16"/>
          <w:szCs w:val="16"/>
          <w:color w:val="auto"/>
        </w:rPr>
        <w:t>for Employer or such similar duties as may be assigned to Employee by Employer as Employer may determine.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duties shall include, but not be limited to: (i) the efficient and continuous operation of Employer and its Affiliates; (ii) the preparation of relevant budgets and allocation of relevant funds; (iii) the selection and delegation of duties and responsibilities of subordinates; (iv) the direction, review and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53" w:name="page154"/>
    <w:bookmarkEnd w:id="15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oversight of all programs under Employee’s supervision; and (v) such other and related duties as specifically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spacing w:after="0" w:line="181" w:lineRule="exact"/>
        <w:rPr>
          <w:sz w:val="20"/>
          <w:szCs w:val="20"/>
          <w:color w:val="auto"/>
        </w:rPr>
      </w:pPr>
    </w:p>
    <w:p>
      <w:pPr>
        <w:ind w:right="100" w:firstLine="464"/>
        <w:spacing w:after="0" w:line="257" w:lineRule="auto"/>
        <w:tabs>
          <w:tab w:leader="none" w:pos="636"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ACCEPTANCE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hereby unconditionally accepts the employment set forth hereunder, under the terms and pursuant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other organization not owned by Employer or any of Employer’s Affiliates.</w:t>
      </w:r>
    </w:p>
    <w:p>
      <w:pPr>
        <w:spacing w:after="0" w:line="188" w:lineRule="exact"/>
        <w:rPr>
          <w:rFonts w:ascii="Arial" w:cs="Arial" w:eastAsia="Arial" w:hAnsi="Arial"/>
          <w:sz w:val="18"/>
          <w:szCs w:val="18"/>
          <w:b w:val="1"/>
          <w:bCs w:val="1"/>
          <w:i w:val="1"/>
          <w:iCs w:val="1"/>
          <w:color w:val="auto"/>
        </w:rPr>
      </w:pPr>
    </w:p>
    <w:p>
      <w:pPr>
        <w:ind w:left="640" w:hanging="176"/>
        <w:spacing w:after="0"/>
        <w:tabs>
          <w:tab w:leader="none" w:pos="64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effective as of the Execution Date.</w:t>
      </w:r>
    </w:p>
    <w:p>
      <w:pPr>
        <w:spacing w:after="0" w:line="22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commence on the Effective Date of this Agreement and shall terminate on December 31, 2016 at which time the terms of this Agreement shall expire and shall not apply to any continued employment of Employee by Employer, except for those obligations under Sections 9 and 10.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92" w:lineRule="exact"/>
        <w:rPr>
          <w:sz w:val="20"/>
          <w:szCs w:val="20"/>
          <w:color w:val="auto"/>
        </w:rPr>
      </w:pPr>
    </w:p>
    <w:p>
      <w:pPr>
        <w:jc w:val="both"/>
        <w:ind w:right="500" w:firstLine="456"/>
        <w:spacing w:after="0" w:line="286" w:lineRule="auto"/>
        <w:rPr>
          <w:sz w:val="20"/>
          <w:szCs w:val="20"/>
          <w:color w:val="auto"/>
        </w:rPr>
      </w:pPr>
      <w:r>
        <w:rPr>
          <w:rFonts w:ascii="Arial" w:cs="Arial" w:eastAsia="Arial" w:hAnsi="Arial"/>
          <w:sz w:val="17"/>
          <w:szCs w:val="17"/>
          <w:color w:val="auto"/>
        </w:rPr>
        <w:t>Concurrent with Employee’s resignation from Employer or upon the termination of Employee’s employment with Employer, Employee agrees to resign, and shall be deemed to have resigned, all other positions (including but not limited to board of director memberships and position with affiliated companies) that Employee may have held immediately prior to Employee’s resignation or termination.</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provisions of Section 5, this Agreement shall terminate upon the occurrence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following events:</w:t>
      </w:r>
    </w:p>
    <w:p>
      <w:pPr>
        <w:spacing w:after="0" w:line="58" w:lineRule="exact"/>
        <w:rPr>
          <w:sz w:val="20"/>
          <w:szCs w:val="20"/>
          <w:color w:val="auto"/>
        </w:rPr>
      </w:pPr>
    </w:p>
    <w:p>
      <w:pPr>
        <w:ind w:left="1140" w:hanging="237"/>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giving of written notice from Employer to Employee of the termination of this Agreement upon the Complete Disability of Employee;</w:t>
      </w:r>
    </w:p>
    <w:p>
      <w:pPr>
        <w:spacing w:after="0" w:line="128" w:lineRule="exact"/>
        <w:rPr>
          <w:rFonts w:ascii="Arial" w:cs="Arial" w:eastAsia="Arial" w:hAnsi="Arial"/>
          <w:sz w:val="17"/>
          <w:szCs w:val="17"/>
          <w:color w:val="auto"/>
        </w:rPr>
      </w:pPr>
    </w:p>
    <w:p>
      <w:pPr>
        <w:ind w:left="460" w:right="1060" w:firstLine="443"/>
        <w:spacing w:after="0" w:line="308" w:lineRule="auto"/>
        <w:tabs>
          <w:tab w:leader="none" w:pos="114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giving of written notice by Employer to Employee of the termination of this Agreement upon the discharge of Employee for Cause(Employer’s right to terminate for Cause (as defined in Section 1(c) shall survive the expiration of this Agreement);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54" w:name="page155"/>
    <w:bookmarkEnd w:id="154"/>
    <w:p>
      <w:pPr>
        <w:ind w:left="460" w:right="380" w:firstLine="443"/>
        <w:spacing w:after="0" w:line="277" w:lineRule="auto"/>
        <w:tabs>
          <w:tab w:leader="none" w:pos="1153" w:val="left"/>
        </w:tabs>
        <w:numPr>
          <w:ilvl w:val="1"/>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giving of written notice by Employer to Employee of the termination of this Agreement following a disapproval of this Agreement or denial, suspension, limitation or revocation of Employee’s License (as defined in Section 8(b) of this Agreement).</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giving of written notice by Employer to Employee of the termination of this Agreement without Cause, provided, however, that, six</w:t>
      </w:r>
    </w:p>
    <w:p>
      <w:pPr>
        <w:spacing w:after="0" w:line="34" w:lineRule="exact"/>
        <w:rPr>
          <w:rFonts w:ascii="Arial" w:cs="Arial" w:eastAsia="Arial" w:hAnsi="Arial"/>
          <w:sz w:val="17"/>
          <w:szCs w:val="17"/>
          <w:color w:val="auto"/>
        </w:rPr>
      </w:pPr>
    </w:p>
    <w:p>
      <w:pPr>
        <w:ind w:left="720" w:hanging="256"/>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months after such notice, Employer must tender the Separation Payment to Employee;</w:t>
      </w:r>
    </w:p>
    <w:p>
      <w:pPr>
        <w:spacing w:after="0" w:line="102" w:lineRule="exact"/>
        <w:rPr>
          <w:rFonts w:ascii="Arial" w:cs="Arial" w:eastAsia="Arial" w:hAnsi="Arial"/>
          <w:sz w:val="18"/>
          <w:szCs w:val="18"/>
          <w:color w:val="auto"/>
        </w:rPr>
      </w:pPr>
    </w:p>
    <w:p>
      <w:pPr>
        <w:ind w:left="460" w:firstLine="443"/>
        <w:spacing w:after="0" w:line="276" w:lineRule="auto"/>
        <w:tabs>
          <w:tab w:leader="none" w:pos="1123"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giving of written notice by Employee to Employer upon a material breach of this Agreement by Employer, which material breach remains uncured for a period of thirty (30) days after the giving of such notice, provided, however, that, six (6) months after the expiration of such cure period without the cure having been effected, Employer must tender the Separation Payment to Employee. Material breach” under this Section 6(f) shall not be construed to include temporary suspension of the Employee from duty, pursuant to Employer’s policy, pending investigation by Employer of any incident or occurrence that could give rise to discipline or termination of employment;</w:t>
      </w:r>
    </w:p>
    <w:p>
      <w:pPr>
        <w:spacing w:after="0" w:line="64" w:lineRule="exact"/>
        <w:rPr>
          <w:rFonts w:ascii="Arial" w:cs="Arial" w:eastAsia="Arial" w:hAnsi="Arial"/>
          <w:sz w:val="17"/>
          <w:szCs w:val="17"/>
          <w:color w:val="auto"/>
        </w:rPr>
      </w:pPr>
    </w:p>
    <w:p>
      <w:pPr>
        <w:ind w:left="460" w:firstLine="443"/>
        <w:spacing w:after="0" w:line="264" w:lineRule="auto"/>
        <w:tabs>
          <w:tab w:leader="none" w:pos="115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at Employee’s sole election in writing as provided in Section 16 of this Agreement, after both a Change of Control and as a result of Good Reason, provided, however, that, six (6) months after Employer’s receipt of Employee’s written election, Employer must tender the Separation Payment to Employee.</w:t>
      </w:r>
    </w:p>
    <w:p>
      <w:pPr>
        <w:spacing w:after="0" w:line="18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event of a termination of this Agreement pursuant to the provisions of Sections 6(a), (b), (c) or (d), Employer shall not be required to make any payments to Employee other than payment of Base Salary and vacation pay accrued but unpaid through the termination date. In the event of a termination of this Agreement pursuant to the provisions of Section (e),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Section 6 shall continue until the earlier of (x) the expiration of the period for which the Separation Payment is paid, (y) the date Employee becomes covered under any other group health plan not maintained by Employer or any of its Affiliates; provided, however, that if such other group health plan excludes any pre-existing condition that Employee or Employee’s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55" w:name="page156"/>
    <w:bookmarkEnd w:id="15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dependents may have when coverage under such group health plan would otherwise begin, coverage under this Section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Section 6, the obligations of Employer and its Affiliates under this Section 6 shall be conditioned upon Employee’s timely making such an election. In the event of a termination of this Agreement pursuant to any of the provisions of this Section 6, Employee shall not be entitled to any benefits pursuant to any severance plan in effect by Employer or any of Employer’s Affiliates</w:t>
      </w:r>
    </w:p>
    <w:p>
      <w:pPr>
        <w:spacing w:after="0" w:line="189" w:lineRule="exact"/>
        <w:rPr>
          <w:sz w:val="20"/>
          <w:szCs w:val="20"/>
          <w:color w:val="auto"/>
        </w:rPr>
      </w:pPr>
    </w:p>
    <w:p>
      <w:pPr>
        <w:ind w:right="240" w:firstLine="464"/>
        <w:spacing w:after="0" w:line="264" w:lineRule="auto"/>
        <w:tabs>
          <w:tab w:leader="none" w:pos="636"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Employer hereby covenants and agrees to pay to Employee, and Employee hereby covenants and agrees to accept from Employer, the following items of compensation:</w:t>
      </w:r>
    </w:p>
    <w:p>
      <w:pPr>
        <w:spacing w:after="0" w:line="69" w:lineRule="exact"/>
        <w:rPr>
          <w:rFonts w:ascii="Arial" w:cs="Arial" w:eastAsia="Arial" w:hAnsi="Arial"/>
          <w:sz w:val="18"/>
          <w:szCs w:val="18"/>
          <w:b w:val="1"/>
          <w:bCs w:val="1"/>
          <w:i w:val="1"/>
          <w:iCs w:val="1"/>
          <w:color w:val="auto"/>
        </w:rPr>
      </w:pPr>
    </w:p>
    <w:p>
      <w:pPr>
        <w:ind w:left="460" w:right="40" w:firstLine="443"/>
        <w:spacing w:after="0" w:line="255" w:lineRule="auto"/>
        <w:tabs>
          <w:tab w:leader="none" w:pos="1143" w:val="left"/>
        </w:tabs>
        <w:numPr>
          <w:ilvl w:val="1"/>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hereby covenants and agrees to pay to Employee, and Employee hereby covenants and agrees to accept from</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a base salary at the rate of One Million Five Hundred Thousand Dollars ($1,500,000.00) per annum, payable in such installments as shall be convenient to Employer (the “</w:t>
      </w:r>
      <w:r>
        <w:rPr>
          <w:rFonts w:ascii="Arial" w:cs="Arial" w:eastAsia="Arial" w:hAnsi="Arial"/>
          <w:sz w:val="18"/>
          <w:szCs w:val="18"/>
          <w:b w:val="1"/>
          <w:bCs w:val="1"/>
          <w:color w:val="auto"/>
        </w:rPr>
        <w:t>Base Salary”</w:t>
      </w:r>
      <w:r>
        <w:rPr>
          <w:rFonts w:ascii="Arial" w:cs="Arial" w:eastAsia="Arial" w:hAnsi="Arial"/>
          <w:sz w:val="18"/>
          <w:szCs w:val="18"/>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but not limited to, any discretionary bonus, profit sharing plan, pension plan, retirement plan, disability or life insurance plan, medical and/or hospitalization plan, or any and all other benefit plans which may be in effect during the Term. Employee’s Base Salary shall be subject to merit review by Employer’s Board of Directors periodically, and may be increased, but not decreased, as a result of any such review</w:t>
      </w:r>
    </w:p>
    <w:p>
      <w:pPr>
        <w:spacing w:after="0" w:line="77" w:lineRule="exact"/>
        <w:rPr>
          <w:rFonts w:ascii="Arial" w:cs="Arial" w:eastAsia="Arial" w:hAnsi="Arial"/>
          <w:sz w:val="18"/>
          <w:szCs w:val="18"/>
          <w:color w:val="auto"/>
        </w:rPr>
      </w:pPr>
    </w:p>
    <w:p>
      <w:pPr>
        <w:ind w:left="460" w:right="80" w:firstLine="443"/>
        <w:spacing w:after="0" w:line="289" w:lineRule="auto"/>
        <w:tabs>
          <w:tab w:leader="none" w:pos="1153" w:val="left"/>
        </w:tabs>
        <w:numPr>
          <w:ilvl w:val="1"/>
          <w:numId w:val="69"/>
        </w:numPr>
        <w:rPr>
          <w:rFonts w:ascii="Arial" w:cs="Arial" w:eastAsia="Arial" w:hAnsi="Arial"/>
          <w:sz w:val="17"/>
          <w:szCs w:val="17"/>
          <w:color w:val="auto"/>
        </w:rPr>
      </w:pPr>
      <w:r>
        <w:rPr>
          <w:rFonts w:ascii="Arial" w:cs="Arial" w:eastAsia="Arial" w:hAnsi="Arial"/>
          <w:sz w:val="17"/>
          <w:szCs w:val="17"/>
          <w:b w:val="1"/>
          <w:bCs w:val="1"/>
          <w:u w:val="single" w:color="auto"/>
          <w:color w:val="auto"/>
        </w:rPr>
        <w:t>Bonus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will participate in the Employer’s Amended and Restated Annual Performance Based Incentive Plan for</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Officers and shall also be eligible to receive a bonus at such times and in such amounts as Employer in its sole and exclusive discretion may determine. Employer retains the discretion to adopt, amend or terminate any bonus plan at any time prior to a Change of Control.</w:t>
      </w:r>
    </w:p>
    <w:p>
      <w:pPr>
        <w:spacing w:after="0" w:line="50" w:lineRule="exact"/>
        <w:rPr>
          <w:rFonts w:ascii="Arial" w:cs="Arial" w:eastAsia="Arial" w:hAnsi="Arial"/>
          <w:sz w:val="17"/>
          <w:szCs w:val="17"/>
          <w:color w:val="auto"/>
        </w:rPr>
      </w:pPr>
    </w:p>
    <w:p>
      <w:pPr>
        <w:jc w:val="both"/>
        <w:ind w:left="460" w:right="220" w:firstLine="443"/>
        <w:spacing w:after="0" w:line="266" w:lineRule="auto"/>
        <w:tabs>
          <w:tab w:leader="none" w:pos="1143" w:val="left"/>
        </w:tabs>
        <w:numPr>
          <w:ilvl w:val="1"/>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 Plans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hereby covenants and agrees that it shall include Employee, if otherwise eligible, in any profit sharing</w:t>
      </w:r>
      <w:r>
        <w:rPr>
          <w:rFonts w:ascii="Arial" w:cs="Arial" w:eastAsia="Arial" w:hAnsi="Arial"/>
          <w:sz w:val="18"/>
          <w:szCs w:val="18"/>
          <w:b w:val="1"/>
          <w:bCs w:val="1"/>
          <w:color w:val="auto"/>
        </w:rPr>
        <w:t xml:space="preserve"> </w:t>
      </w:r>
      <w:r>
        <w:rPr>
          <w:rFonts w:ascii="Arial" w:cs="Arial" w:eastAsia="Arial" w:hAnsi="Arial"/>
          <w:sz w:val="18"/>
          <w:szCs w:val="18"/>
          <w:color w:val="auto"/>
        </w:rPr>
        <w:t>plan, executive stock option plan, pension plan, retirement plan, disability or life insurance plan, Executive Medical Plan and/or hospitalization plan, and any other benefit plan which may be placed in effect by Employer</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56" w:name="page157"/>
    <w:bookmarkEnd w:id="15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any of its Affiliates and generally available to Employer’s executives during the Term. Employee’s eligibility for medical and/or hospitalization benefits shall commence on the Effective Date of this Agreement.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Employee shall also participate in the senior executive health program.</w:t>
      </w:r>
    </w:p>
    <w:p>
      <w:pPr>
        <w:spacing w:after="0" w:line="113" w:lineRule="exact"/>
        <w:rPr>
          <w:sz w:val="20"/>
          <w:szCs w:val="20"/>
          <w:color w:val="auto"/>
        </w:rPr>
      </w:pPr>
    </w:p>
    <w:p>
      <w:pPr>
        <w:jc w:val="both"/>
        <w:ind w:right="80" w:firstLine="443"/>
        <w:spacing w:after="0" w:line="261" w:lineRule="auto"/>
        <w:tabs>
          <w:tab w:leader="none" w:pos="693"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Equity Grant</w:t>
      </w:r>
      <w:r>
        <w:rPr>
          <w:rFonts w:ascii="Arial" w:cs="Arial" w:eastAsia="Arial" w:hAnsi="Arial"/>
          <w:sz w:val="18"/>
          <w:szCs w:val="18"/>
          <w:color w:val="auto"/>
        </w:rPr>
        <w:t>. Effective as of the Execution Date, Employee be granted 10,000 shares of restricted stock of Wynn Resorts, Limited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pursuant to the Wynn Resorts, Limited 2002 Stock Incentive Plan. The Employee and Wynn Resorts, Limited will enter into a separate restricted stock agreement for the grant of the 10,000 shares and will provide that such shares vest immediately upon the execution of such restricted stock agreement.</w:t>
      </w:r>
    </w:p>
    <w:p>
      <w:pPr>
        <w:spacing w:after="0" w:line="71" w:lineRule="exact"/>
        <w:rPr>
          <w:rFonts w:ascii="Arial" w:cs="Arial" w:eastAsia="Arial" w:hAnsi="Arial"/>
          <w:sz w:val="18"/>
          <w:szCs w:val="18"/>
          <w:color w:val="auto"/>
        </w:rPr>
      </w:pPr>
    </w:p>
    <w:p>
      <w:pPr>
        <w:ind w:right="40" w:firstLine="443"/>
        <w:spacing w:after="0" w:line="274" w:lineRule="auto"/>
        <w:tabs>
          <w:tab w:leader="none" w:pos="683" w:val="left"/>
        </w:tabs>
        <w:numPr>
          <w:ilvl w:val="0"/>
          <w:numId w:val="70"/>
        </w:numPr>
        <w:rPr>
          <w:rFonts w:ascii="Arial" w:cs="Arial" w:eastAsia="Arial" w:hAnsi="Arial"/>
          <w:sz w:val="17"/>
          <w:szCs w:val="17"/>
          <w:color w:val="auto"/>
        </w:rPr>
      </w:pPr>
      <w:r>
        <w:rPr>
          <w:rFonts w:ascii="Arial" w:cs="Arial" w:eastAsia="Arial" w:hAnsi="Arial"/>
          <w:sz w:val="17"/>
          <w:szCs w:val="17"/>
          <w:b w:val="1"/>
          <w:bCs w:val="1"/>
          <w:u w:val="single" w:color="auto"/>
          <w:color w:val="auto"/>
        </w:rPr>
        <w:t>Expense Reimbursement</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and provided the same are authorized by Employer, Employer shall either pay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and (iv) the like. Prior to such payment or reimbursement, Employee shall provide Employer with sufficient detailed invoices of such expenses as may be required by Employer’s policy.</w:t>
      </w:r>
    </w:p>
    <w:p>
      <w:pPr>
        <w:spacing w:after="0" w:line="65" w:lineRule="exact"/>
        <w:rPr>
          <w:rFonts w:ascii="Arial" w:cs="Arial" w:eastAsia="Arial" w:hAnsi="Arial"/>
          <w:sz w:val="17"/>
          <w:szCs w:val="17"/>
          <w:color w:val="auto"/>
        </w:rPr>
      </w:pPr>
    </w:p>
    <w:p>
      <w:pPr>
        <w:ind w:right="40" w:firstLine="443"/>
        <w:spacing w:after="0" w:line="282" w:lineRule="auto"/>
        <w:tabs>
          <w:tab w:leader="none" w:pos="663"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Vacations and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entitled to annual paid vacation, which in no event shall be less than four (4) weeks per year, and</w:t>
      </w:r>
      <w:r>
        <w:rPr>
          <w:rFonts w:ascii="Arial" w:cs="Arial" w:eastAsia="Arial" w:hAnsi="Arial"/>
          <w:sz w:val="18"/>
          <w:szCs w:val="18"/>
          <w:b w:val="1"/>
          <w:bCs w:val="1"/>
          <w:color w:val="auto"/>
        </w:rPr>
        <w:t xml:space="preserve"> </w:t>
      </w:r>
      <w:r>
        <w:rPr>
          <w:rFonts w:ascii="Arial" w:cs="Arial" w:eastAsia="Arial" w:hAnsi="Arial"/>
          <w:sz w:val="18"/>
          <w:szCs w:val="18"/>
          <w:color w:val="auto"/>
        </w:rPr>
        <w:t>paid holidays in accordance with Employer’s standard policies.</w:t>
      </w:r>
    </w:p>
    <w:p>
      <w:pPr>
        <w:spacing w:after="0" w:line="53" w:lineRule="exact"/>
        <w:rPr>
          <w:rFonts w:ascii="Arial" w:cs="Arial" w:eastAsia="Arial" w:hAnsi="Arial"/>
          <w:sz w:val="18"/>
          <w:szCs w:val="18"/>
          <w:color w:val="auto"/>
        </w:rPr>
      </w:pPr>
    </w:p>
    <w:p>
      <w:pPr>
        <w:ind w:right="20" w:firstLine="443"/>
        <w:spacing w:after="0" w:line="303" w:lineRule="auto"/>
        <w:tabs>
          <w:tab w:leader="none" w:pos="693" w:val="left"/>
        </w:tabs>
        <w:numPr>
          <w:ilvl w:val="0"/>
          <w:numId w:val="70"/>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409A Provision</w:t>
      </w:r>
      <w:r>
        <w:rPr>
          <w:rFonts w:ascii="Arial" w:cs="Arial" w:eastAsia="Arial" w:hAnsi="Arial"/>
          <w:sz w:val="16"/>
          <w:szCs w:val="16"/>
          <w:color w:val="auto"/>
        </w:rPr>
        <w:t>. Notwithstanding any provision of the Agreement to the contrary, if, at the time of Employee’s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w:t>
      </w:r>
    </w:p>
    <w:p>
      <w:pPr>
        <w:spacing w:after="0" w:line="8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57" w:name="page158"/>
    <w:bookmarkEnd w:id="157"/>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60" w:lineRule="exact"/>
        <w:rPr>
          <w:sz w:val="20"/>
          <w:szCs w:val="20"/>
          <w:color w:val="auto"/>
        </w:rPr>
      </w:pPr>
    </w:p>
    <w:p>
      <w:pPr>
        <w:ind w:right="160" w:firstLine="443"/>
        <w:spacing w:after="0" w:line="266" w:lineRule="auto"/>
        <w:tabs>
          <w:tab w:leader="none" w:pos="693" w:val="left"/>
        </w:tabs>
        <w:numPr>
          <w:ilvl w:val="1"/>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compensation provided to Employee by Employer under this Section 7 shall be subject to applicable withholdings for</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or local income or other taxes, Social Security Tax, Medicare Tax, State Unemployment Insurance, State Disability Insurance, charitable contributions and the like.</w:t>
      </w:r>
    </w:p>
    <w:p>
      <w:pPr>
        <w:spacing w:after="0" w:line="288" w:lineRule="exact"/>
        <w:rPr>
          <w:rFonts w:ascii="Arial" w:cs="Arial" w:eastAsia="Arial" w:hAnsi="Arial"/>
          <w:sz w:val="18"/>
          <w:szCs w:val="18"/>
          <w:color w:val="auto"/>
        </w:rPr>
      </w:pPr>
    </w:p>
    <w:p>
      <w:pPr>
        <w:ind w:left="180" w:hanging="176"/>
        <w:spacing w:after="0"/>
        <w:tabs>
          <w:tab w:leader="none" w:pos="18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i w:val="1"/>
          <w:iCs w:val="1"/>
          <w:color w:val="auto"/>
        </w:rPr>
        <w:t>.</w:t>
      </w:r>
    </w:p>
    <w:p>
      <w:pPr>
        <w:spacing w:after="0" w:line="117" w:lineRule="exact"/>
        <w:rPr>
          <w:rFonts w:ascii="Arial" w:cs="Arial" w:eastAsia="Arial" w:hAnsi="Arial"/>
          <w:sz w:val="18"/>
          <w:szCs w:val="18"/>
          <w:b w:val="1"/>
          <w:bCs w:val="1"/>
          <w:i w:val="1"/>
          <w:iCs w:val="1"/>
          <w:color w:val="auto"/>
        </w:rPr>
      </w:pPr>
    </w:p>
    <w:p>
      <w:pPr>
        <w:ind w:right="40" w:firstLine="443"/>
        <w:spacing w:after="0" w:line="254" w:lineRule="auto"/>
        <w:tabs>
          <w:tab w:leader="none" w:pos="683" w:val="left"/>
        </w:tabs>
        <w:numPr>
          <w:ilvl w:val="1"/>
          <w:numId w:val="72"/>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this Agreement and/or Employee’s employment may be subject to the approval of one or more gaming regulatory authorities (the “</w:t>
      </w:r>
      <w:r>
        <w:rPr>
          <w:rFonts w:ascii="Arial" w:cs="Arial" w:eastAsia="Arial" w:hAnsi="Arial"/>
          <w:sz w:val="18"/>
          <w:szCs w:val="18"/>
          <w:b w:val="1"/>
          <w:bCs w:val="1"/>
          <w:color w:val="auto"/>
        </w:rPr>
        <w:t>Authorities</w:t>
      </w:r>
      <w:r>
        <w:rPr>
          <w:rFonts w:ascii="Arial" w:cs="Arial" w:eastAsia="Arial" w:hAnsi="Arial"/>
          <w:sz w:val="18"/>
          <w:szCs w:val="18"/>
          <w:color w:val="auto"/>
        </w:rPr>
        <w:t>”) pursuant to the provisions of the relevant gaming regulatory statutes (the “</w:t>
      </w:r>
      <w:r>
        <w:rPr>
          <w:rFonts w:ascii="Arial" w:cs="Arial" w:eastAsia="Arial" w:hAnsi="Arial"/>
          <w:sz w:val="18"/>
          <w:szCs w:val="18"/>
          <w:b w:val="1"/>
          <w:bCs w:val="1"/>
          <w:color w:val="auto"/>
        </w:rPr>
        <w:t>Gaming</w:t>
      </w:r>
      <w:r>
        <w:rPr>
          <w:rFonts w:ascii="Arial" w:cs="Arial" w:eastAsia="Arial" w:hAnsi="Arial"/>
          <w:sz w:val="18"/>
          <w:szCs w:val="18"/>
          <w:color w:val="auto"/>
        </w:rPr>
        <w:t xml:space="preserve"> </w:t>
      </w:r>
      <w:r>
        <w:rPr>
          <w:rFonts w:ascii="Arial" w:cs="Arial" w:eastAsia="Arial" w:hAnsi="Arial"/>
          <w:sz w:val="18"/>
          <w:szCs w:val="18"/>
          <w:b w:val="1"/>
          <w:bCs w:val="1"/>
          <w:color w:val="auto"/>
        </w:rPr>
        <w:t>Acts</w:t>
      </w:r>
      <w:r>
        <w:rPr>
          <w:rFonts w:ascii="Arial" w:cs="Arial" w:eastAsia="Arial" w:hAnsi="Arial"/>
          <w:sz w:val="18"/>
          <w:szCs w:val="18"/>
          <w:color w:val="auto"/>
        </w:rPr>
        <w:t>”) and the regulations promulgated thereunder (the “</w:t>
      </w:r>
      <w:r>
        <w:rPr>
          <w:rFonts w:ascii="Arial" w:cs="Arial" w:eastAsia="Arial" w:hAnsi="Arial"/>
          <w:sz w:val="18"/>
          <w:szCs w:val="18"/>
          <w:b w:val="1"/>
          <w:bCs w:val="1"/>
          <w:color w:val="auto"/>
        </w:rPr>
        <w:t>Gaming Regulations</w:t>
      </w:r>
      <w:r>
        <w:rPr>
          <w:rFonts w:ascii="Arial" w:cs="Arial" w:eastAsia="Arial" w:hAnsi="Arial"/>
          <w:sz w:val="18"/>
          <w:szCs w:val="18"/>
          <w:color w:val="auto"/>
        </w:rPr>
        <w:t>”). Employer and Employee hereby covenant and agree to use their best</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to obtain any and all approvals required by the Gaming Acts and/or Gaming Regulations. In the event that (i) an approval of this Agreement or Employee’s employment by the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Authorities, then this Agreement shall immediately terminate and shall be null and void, thus extinguishing any and all obligations of Employer and Employee.</w:t>
      </w:r>
    </w:p>
    <w:p>
      <w:pPr>
        <w:spacing w:after="0" w:line="84" w:lineRule="exact"/>
        <w:rPr>
          <w:rFonts w:ascii="Arial" w:cs="Arial" w:eastAsia="Arial" w:hAnsi="Arial"/>
          <w:sz w:val="18"/>
          <w:szCs w:val="18"/>
          <w:color w:val="auto"/>
        </w:rPr>
      </w:pPr>
    </w:p>
    <w:p>
      <w:pPr>
        <w:ind w:right="160" w:firstLine="443"/>
        <w:spacing w:after="0" w:line="273" w:lineRule="auto"/>
        <w:tabs>
          <w:tab w:leader="none" w:pos="693" w:val="left"/>
        </w:tabs>
        <w:numPr>
          <w:ilvl w:val="1"/>
          <w:numId w:val="72"/>
        </w:numPr>
        <w:rPr>
          <w:rFonts w:ascii="Arial" w:cs="Arial" w:eastAsia="Arial" w:hAnsi="Arial"/>
          <w:sz w:val="17"/>
          <w:szCs w:val="17"/>
          <w:color w:val="auto"/>
        </w:rPr>
      </w:pPr>
      <w:r>
        <w:rPr>
          <w:rFonts w:ascii="Arial" w:cs="Arial" w:eastAsia="Arial" w:hAnsi="Arial"/>
          <w:sz w:val="17"/>
          <w:szCs w:val="17"/>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17"/>
          <w:szCs w:val="17"/>
          <w:b w:val="1"/>
          <w:bCs w:val="1"/>
          <w:color w:val="auto"/>
        </w:rPr>
        <w:t>License</w:t>
      </w:r>
      <w:r>
        <w:rPr>
          <w:rFonts w:ascii="Arial" w:cs="Arial" w:eastAsia="Arial" w:hAnsi="Arial"/>
          <w:sz w:val="17"/>
          <w:szCs w:val="17"/>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74" w:right="239" w:bottom="1440" w:gutter="0" w:footer="0" w:header="0"/>
        </w:sectPr>
      </w:pPr>
    </w:p>
    <w:bookmarkStart w:id="158" w:name="page159"/>
    <w:bookmarkEnd w:id="158"/>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refusal to renew or maintain Employee’s License arise as a result of any of the events described in Subsection 1(c) of this Agreement, then Employer’s obligations under this Section 8 also shall not be operative and Employee shall promptly reimburse Employer upon demand for any expenses incurred by Employer pursuant to this Section 8.</w:t>
      </w:r>
    </w:p>
    <w:p>
      <w:pPr>
        <w:spacing w:after="0" w:line="73" w:lineRule="exact"/>
        <w:rPr>
          <w:sz w:val="20"/>
          <w:szCs w:val="20"/>
          <w:color w:val="auto"/>
        </w:rPr>
      </w:pPr>
    </w:p>
    <w:p>
      <w:pPr>
        <w:ind w:right="260" w:firstLine="443"/>
        <w:spacing w:after="0" w:line="277" w:lineRule="auto"/>
        <w:tabs>
          <w:tab w:leader="none" w:pos="683" w:val="left"/>
        </w:tabs>
        <w:numPr>
          <w:ilvl w:val="1"/>
          <w:numId w:val="73"/>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278" w:lineRule="exact"/>
        <w:rPr>
          <w:rFonts w:ascii="Arial" w:cs="Arial" w:eastAsia="Arial" w:hAnsi="Arial"/>
          <w:sz w:val="18"/>
          <w:szCs w:val="18"/>
          <w:color w:val="auto"/>
        </w:rPr>
      </w:pPr>
    </w:p>
    <w:p>
      <w:pPr>
        <w:ind w:left="180" w:hanging="176"/>
        <w:spacing w:after="0"/>
        <w:tabs>
          <w:tab w:leader="none" w:pos="1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CONFIDENTIALITY</w:t>
      </w:r>
      <w:r>
        <w:rPr>
          <w:rFonts w:ascii="Arial" w:cs="Arial" w:eastAsia="Arial" w:hAnsi="Arial"/>
          <w:sz w:val="18"/>
          <w:szCs w:val="18"/>
          <w:b w:val="1"/>
          <w:bCs w:val="1"/>
          <w:i w:val="1"/>
          <w:iCs w:val="1"/>
          <w:color w:val="auto"/>
        </w:rPr>
        <w:t>.</w:t>
      </w:r>
    </w:p>
    <w:p>
      <w:pPr>
        <w:spacing w:after="0" w:line="117" w:lineRule="exact"/>
        <w:rPr>
          <w:rFonts w:ascii="Arial" w:cs="Arial" w:eastAsia="Arial" w:hAnsi="Arial"/>
          <w:sz w:val="18"/>
          <w:szCs w:val="18"/>
          <w:b w:val="1"/>
          <w:bCs w:val="1"/>
          <w:color w:val="auto"/>
        </w:rPr>
      </w:pPr>
    </w:p>
    <w:p>
      <w:pPr>
        <w:ind w:right="120" w:firstLine="443"/>
        <w:spacing w:after="0" w:line="297" w:lineRule="auto"/>
        <w:tabs>
          <w:tab w:leader="none" w:pos="683" w:val="left"/>
        </w:tabs>
        <w:numPr>
          <w:ilvl w:val="1"/>
          <w:numId w:val="74"/>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directly or indirectly use or disclose any Confidential Information, Trade Secrets, or Works of Authorship, whether in written, verbal, electronic,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50" w:lineRule="exact"/>
        <w:rPr>
          <w:rFonts w:ascii="Arial" w:cs="Arial" w:eastAsia="Arial" w:hAnsi="Arial"/>
          <w:sz w:val="16"/>
          <w:szCs w:val="16"/>
          <w:color w:val="auto"/>
        </w:rPr>
      </w:pPr>
    </w:p>
    <w:p>
      <w:pPr>
        <w:ind w:firstLine="443"/>
        <w:spacing w:after="0" w:line="259" w:lineRule="auto"/>
        <w:tabs>
          <w:tab w:leader="none" w:pos="693" w:val="left"/>
        </w:tabs>
        <w:numPr>
          <w:ilvl w:val="1"/>
          <w:numId w:val="74"/>
        </w:numPr>
        <w:rPr>
          <w:rFonts w:ascii="Arial" w:cs="Arial" w:eastAsia="Arial" w:hAnsi="Arial"/>
          <w:sz w:val="18"/>
          <w:szCs w:val="18"/>
          <w:color w:val="auto"/>
        </w:rPr>
      </w:pPr>
      <w:r>
        <w:rPr>
          <w:rFonts w:ascii="Arial" w:cs="Arial" w:eastAsia="Arial" w:hAnsi="Arial"/>
          <w:sz w:val="18"/>
          <w:szCs w:val="18"/>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78" w:lineRule="exact"/>
        <w:rPr>
          <w:rFonts w:ascii="Arial" w:cs="Arial" w:eastAsia="Arial" w:hAnsi="Arial"/>
          <w:sz w:val="18"/>
          <w:szCs w:val="18"/>
          <w:color w:val="auto"/>
        </w:rPr>
      </w:pPr>
    </w:p>
    <w:p>
      <w:pPr>
        <w:ind w:right="20" w:firstLine="443"/>
        <w:spacing w:after="0" w:line="272" w:lineRule="auto"/>
        <w:tabs>
          <w:tab w:leader="none" w:pos="683" w:val="left"/>
        </w:tabs>
        <w:numPr>
          <w:ilvl w:val="1"/>
          <w:numId w:val="74"/>
        </w:numPr>
        <w:rPr>
          <w:rFonts w:ascii="Arial" w:cs="Arial" w:eastAsia="Arial" w:hAnsi="Arial"/>
          <w:sz w:val="17"/>
          <w:szCs w:val="17"/>
          <w:color w:val="auto"/>
        </w:rPr>
      </w:pPr>
      <w:r>
        <w:rPr>
          <w:rFonts w:ascii="Arial" w:cs="Arial" w:eastAsia="Arial" w:hAnsi="Arial"/>
          <w:sz w:val="17"/>
          <w:szCs w:val="17"/>
          <w:color w:val="auto"/>
        </w:rPr>
        <w:t>Upon termination of Employee’s employment with Employer for any reason,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74" w:right="259" w:bottom="1440" w:gutter="0" w:footer="0" w:header="0"/>
        </w:sectPr>
      </w:pPr>
    </w:p>
    <w:bookmarkStart w:id="159" w:name="page160"/>
    <w:bookmarkEnd w:id="159"/>
    <w:p>
      <w:pPr>
        <w:ind w:firstLine="443"/>
        <w:spacing w:after="0" w:line="257" w:lineRule="auto"/>
        <w:tabs>
          <w:tab w:leader="none" w:pos="693" w:val="left"/>
        </w:tabs>
        <w:numPr>
          <w:ilvl w:val="1"/>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“Restricted Information”). In the event Employer requests Restricted Information from Employee, Employee shall advise Employer that the information requested is Restricted Information and may not be disclosed by Employee.</w:t>
      </w:r>
    </w:p>
    <w:p>
      <w:pPr>
        <w:spacing w:after="0" w:line="80" w:lineRule="exact"/>
        <w:rPr>
          <w:rFonts w:ascii="Arial" w:cs="Arial" w:eastAsia="Arial" w:hAnsi="Arial"/>
          <w:sz w:val="18"/>
          <w:szCs w:val="18"/>
          <w:color w:val="auto"/>
        </w:rPr>
      </w:pPr>
    </w:p>
    <w:p>
      <w:pPr>
        <w:ind w:left="680" w:hanging="237"/>
        <w:spacing w:after="0"/>
        <w:tabs>
          <w:tab w:leader="none" w:pos="6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obligations of this Section 9 are continuing and shall survive the termination of Employee’s employment with Employer for any reason.</w:t>
      </w:r>
    </w:p>
    <w:p>
      <w:pPr>
        <w:spacing w:after="0" w:line="356" w:lineRule="exact"/>
        <w:rPr>
          <w:rFonts w:ascii="Arial" w:cs="Arial" w:eastAsia="Arial" w:hAnsi="Arial"/>
          <w:sz w:val="16"/>
          <w:szCs w:val="16"/>
          <w:color w:val="auto"/>
        </w:rPr>
      </w:pPr>
    </w:p>
    <w:p>
      <w:pPr>
        <w:ind w:left="280" w:hanging="276"/>
        <w:spacing w:after="0"/>
        <w:tabs>
          <w:tab w:leader="none" w:pos="28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117" w:lineRule="exact"/>
        <w:rPr>
          <w:rFonts w:ascii="Arial" w:cs="Arial" w:eastAsia="Arial" w:hAnsi="Arial"/>
          <w:sz w:val="18"/>
          <w:szCs w:val="18"/>
          <w:b w:val="1"/>
          <w:bCs w:val="1"/>
          <w:i w:val="1"/>
          <w:iCs w:val="1"/>
          <w:color w:val="auto"/>
        </w:rPr>
      </w:pPr>
    </w:p>
    <w:p>
      <w:pPr>
        <w:ind w:right="60" w:firstLine="443"/>
        <w:spacing w:after="0" w:line="293" w:lineRule="auto"/>
        <w:tabs>
          <w:tab w:leader="none" w:pos="683" w:val="left"/>
        </w:tabs>
        <w:numPr>
          <w:ilvl w:val="1"/>
          <w:numId w:val="76"/>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period as Employer continues to employ or compensate Employee, whichever is longer,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its Affiliates, in or about any market in which Employer or its Affiliates currently operate or have announced, publicly or otherwise, a plan to have hotel or gaming operations.</w:t>
      </w:r>
    </w:p>
    <w:p>
      <w:pPr>
        <w:spacing w:after="0" w:line="56" w:lineRule="exact"/>
        <w:rPr>
          <w:rFonts w:ascii="Arial" w:cs="Arial" w:eastAsia="Arial" w:hAnsi="Arial"/>
          <w:sz w:val="16"/>
          <w:szCs w:val="16"/>
          <w:color w:val="auto"/>
        </w:rPr>
      </w:pPr>
    </w:p>
    <w:p>
      <w:pPr>
        <w:ind w:right="180" w:firstLine="443"/>
        <w:spacing w:after="0" w:line="257" w:lineRule="auto"/>
        <w:tabs>
          <w:tab w:leader="none" w:pos="693" w:val="left"/>
        </w:tabs>
        <w:numPr>
          <w:ilvl w:val="1"/>
          <w:numId w:val="76"/>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during the Term and for a period of one (1) year following the expiration of the Term, Employee shall not, directly or indirectly, solicit or attempt to solicit for employment any management level employee of Employer or its Affiliates with or on behalf of any business that is in competition in any manner whatsoever with the principal business activity of Employer or its Affiliates, in or about any market in which Employer or its Affiliates operate have publicly announced, publicly or otherwise, a plan to have hotel or gaming operations.</w:t>
      </w:r>
    </w:p>
    <w:p>
      <w:pPr>
        <w:spacing w:after="0" w:line="80" w:lineRule="exact"/>
        <w:rPr>
          <w:rFonts w:ascii="Arial" w:cs="Arial" w:eastAsia="Arial" w:hAnsi="Arial"/>
          <w:sz w:val="18"/>
          <w:szCs w:val="18"/>
          <w:color w:val="auto"/>
        </w:rPr>
      </w:pPr>
    </w:p>
    <w:p>
      <w:pPr>
        <w:ind w:right="140" w:firstLine="443"/>
        <w:spacing w:after="0" w:line="277" w:lineRule="auto"/>
        <w:tabs>
          <w:tab w:leader="none" w:pos="683" w:val="left"/>
        </w:tabs>
        <w:numPr>
          <w:ilvl w:val="1"/>
          <w:numId w:val="76"/>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the restrictive covenants contained in this Section 10 are reasonable as to duration, terms and geographical area and that they protect the legitimate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74" w:right="259" w:bottom="1440" w:gutter="0" w:footer="0" w:header="0"/>
        </w:sectPr>
      </w:pPr>
    </w:p>
    <w:bookmarkStart w:id="160" w:name="page161"/>
    <w:bookmarkEnd w:id="16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295" w:lineRule="exact"/>
        <w:rPr>
          <w:sz w:val="20"/>
          <w:szCs w:val="20"/>
          <w:color w:val="auto"/>
        </w:rPr>
      </w:pPr>
    </w:p>
    <w:p>
      <w:pPr>
        <w:ind w:firstLine="443"/>
        <w:spacing w:after="0" w:line="287" w:lineRule="auto"/>
        <w:tabs>
          <w:tab w:leader="none" w:pos="698" w:val="left"/>
        </w:tabs>
        <w:numPr>
          <w:ilvl w:val="0"/>
          <w:numId w:val="7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REMEDIES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acknowledges that Employer has and will continue to deliver, provide and expose Employee to certain knowledge,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for breach of any of Employee’s representations, warranties or covenants shall accrue until Employer or its Affiliate has actual notice of such breach.</w:t>
      </w:r>
    </w:p>
    <w:p>
      <w:pPr>
        <w:spacing w:after="0" w:line="280" w:lineRule="exact"/>
        <w:rPr>
          <w:rFonts w:ascii="Arial" w:cs="Arial" w:eastAsia="Arial" w:hAnsi="Arial"/>
          <w:sz w:val="16"/>
          <w:szCs w:val="16"/>
          <w:b w:val="1"/>
          <w:bCs w:val="1"/>
          <w:i w:val="1"/>
          <w:iCs w:val="1"/>
          <w:color w:val="auto"/>
        </w:rPr>
      </w:pPr>
    </w:p>
    <w:p>
      <w:pPr>
        <w:ind w:right="720" w:firstLine="443"/>
        <w:spacing w:after="0" w:line="277" w:lineRule="auto"/>
        <w:tabs>
          <w:tab w:leader="none" w:pos="708"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BEST EVIDENCE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executed in original and “Xerox” or photostatic copies and each copy bearing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signatures in ink shall be deemed an original.</w:t>
      </w:r>
    </w:p>
    <w:p>
      <w:pPr>
        <w:spacing w:after="0" w:line="278" w:lineRule="exact"/>
        <w:rPr>
          <w:rFonts w:ascii="Arial" w:cs="Arial" w:eastAsia="Arial" w:hAnsi="Arial"/>
          <w:sz w:val="18"/>
          <w:szCs w:val="18"/>
          <w:b w:val="1"/>
          <w:bCs w:val="1"/>
          <w:i w:val="1"/>
          <w:iCs w:val="1"/>
          <w:color w:val="auto"/>
        </w:rPr>
      </w:pPr>
    </w:p>
    <w:p>
      <w:pPr>
        <w:ind w:right="260" w:firstLine="443"/>
        <w:spacing w:after="0" w:line="277" w:lineRule="auto"/>
        <w:tabs>
          <w:tab w:leader="none" w:pos="708"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SUCCESSION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binding upon and inure to the benefit of Employer and Employee and their respective successors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assigns.</w:t>
      </w:r>
    </w:p>
    <w:p>
      <w:pPr>
        <w:spacing w:after="0" w:line="278" w:lineRule="exact"/>
        <w:rPr>
          <w:rFonts w:ascii="Arial" w:cs="Arial" w:eastAsia="Arial" w:hAnsi="Arial"/>
          <w:sz w:val="18"/>
          <w:szCs w:val="18"/>
          <w:b w:val="1"/>
          <w:bCs w:val="1"/>
          <w:i w:val="1"/>
          <w:iCs w:val="1"/>
          <w:color w:val="auto"/>
        </w:rPr>
      </w:pPr>
    </w:p>
    <w:p>
      <w:pPr>
        <w:ind w:right="160" w:firstLine="443"/>
        <w:spacing w:after="0" w:line="255" w:lineRule="auto"/>
        <w:tabs>
          <w:tab w:leader="none" w:pos="708"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Employee’s duties hereunder without the express written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 of Employer thereto. Any purported assignment by Employee in violation of this Section 14 shall be null and void and of no force or effect. Employer shall have the right to assign this Agreement freely to any successor in interest to Employer’s business, including without limitation Employee’s obligations under Section 10, and Employee hereby acknowledges receipt of consideration in exchange for Employee’s consent to the assignability of Employee’s obligations under Section 10 that is additional to and separate from the consideration provided to Employee exchange for the other covenants in this Agreement.</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74" w:right="259" w:bottom="1440" w:gutter="0" w:footer="0" w:header="0"/>
        </w:sectPr>
      </w:pPr>
    </w:p>
    <w:bookmarkStart w:id="161" w:name="page162"/>
    <w:bookmarkEnd w:id="161"/>
    <w:p>
      <w:pPr>
        <w:ind w:right="280" w:firstLine="464"/>
        <w:spacing w:after="0" w:line="277" w:lineRule="auto"/>
        <w:tabs>
          <w:tab w:leader="none" w:pos="726"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278" w:lineRule="exact"/>
        <w:rPr>
          <w:rFonts w:ascii="Arial" w:cs="Arial" w:eastAsia="Arial" w:hAnsi="Arial"/>
          <w:sz w:val="18"/>
          <w:szCs w:val="18"/>
          <w:b w:val="1"/>
          <w:bCs w:val="1"/>
          <w:i w:val="1"/>
          <w:iCs w:val="1"/>
          <w:color w:val="auto"/>
        </w:rPr>
      </w:pPr>
    </w:p>
    <w:p>
      <w:pPr>
        <w:ind w:right="280" w:firstLine="464"/>
        <w:spacing w:after="0" w:line="277" w:lineRule="auto"/>
        <w:tabs>
          <w:tab w:leader="none" w:pos="726"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State of Nevada, without regard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conflict of laws principles.</w:t>
      </w:r>
    </w:p>
    <w:p>
      <w:pPr>
        <w:spacing w:after="0" w:line="278" w:lineRule="exact"/>
        <w:rPr>
          <w:rFonts w:ascii="Arial" w:cs="Arial" w:eastAsia="Arial" w:hAnsi="Arial"/>
          <w:sz w:val="18"/>
          <w:szCs w:val="18"/>
          <w:b w:val="1"/>
          <w:bCs w:val="1"/>
          <w:i w:val="1"/>
          <w:iCs w:val="1"/>
          <w:color w:val="auto"/>
        </w:rPr>
      </w:pPr>
    </w:p>
    <w:p>
      <w:pPr>
        <w:ind w:firstLine="464"/>
        <w:spacing w:after="0" w:line="277" w:lineRule="auto"/>
        <w:tabs>
          <w:tab w:leader="none" w:pos="726"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820" w:type="dxa"/>
            <w:vAlign w:val="bottom"/>
            <w:gridSpan w:val="3"/>
          </w:tcPr>
          <w:p>
            <w:pPr>
              <w:spacing w:after="0"/>
              <w:rPr>
                <w:sz w:val="20"/>
                <w:szCs w:val="20"/>
                <w:color w:val="auto"/>
              </w:rPr>
            </w:pPr>
            <w:r>
              <w:rPr>
                <w:rFonts w:ascii="Arial" w:cs="Arial" w:eastAsia="Arial" w:hAnsi="Arial"/>
                <w:sz w:val="18"/>
                <w:szCs w:val="18"/>
                <w:color w:val="auto"/>
              </w:rPr>
              <w:t>TO EMPLOYER:</w:t>
            </w:r>
          </w:p>
        </w:tc>
        <w:tc>
          <w:tcPr>
            <w:tcW w:w="2900" w:type="dxa"/>
            <w:vAlign w:val="bottom"/>
          </w:tcPr>
          <w:p>
            <w:pPr>
              <w:ind w:left="500"/>
              <w:spacing w:after="0"/>
              <w:rPr>
                <w:sz w:val="20"/>
                <w:szCs w:val="20"/>
                <w:color w:val="auto"/>
              </w:rPr>
            </w:pPr>
            <w:r>
              <w:rPr>
                <w:rFonts w:ascii="Arial" w:cs="Arial" w:eastAsia="Arial" w:hAnsi="Arial"/>
                <w:sz w:val="18"/>
                <w:szCs w:val="18"/>
                <w:color w:val="auto"/>
              </w:rPr>
              <w:t>Wynn Resorts, Limited</w:t>
            </w:r>
          </w:p>
        </w:tc>
      </w:tr>
      <w:tr>
        <w:trPr>
          <w:trHeight w:val="222"/>
        </w:trPr>
        <w:tc>
          <w:tcPr>
            <w:tcW w:w="1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900" w:type="dxa"/>
            <w:vAlign w:val="bottom"/>
          </w:tcPr>
          <w:p>
            <w:pPr>
              <w:ind w:left="500"/>
              <w:spacing w:after="0"/>
              <w:rPr>
                <w:sz w:val="20"/>
                <w:szCs w:val="20"/>
                <w:color w:val="auto"/>
              </w:rPr>
            </w:pPr>
            <w:r>
              <w:rPr>
                <w:rFonts w:ascii="Arial" w:cs="Arial" w:eastAsia="Arial" w:hAnsi="Arial"/>
                <w:sz w:val="18"/>
                <w:szCs w:val="18"/>
                <w:color w:val="auto"/>
                <w:w w:val="88"/>
              </w:rPr>
              <w:t>3131 Las Vegas Boulevard South</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00" w:type="dxa"/>
            <w:vAlign w:val="bottom"/>
          </w:tcPr>
          <w:p>
            <w:pPr>
              <w:ind w:left="500"/>
              <w:spacing w:after="0"/>
              <w:rPr>
                <w:sz w:val="20"/>
                <w:szCs w:val="20"/>
                <w:color w:val="auto"/>
              </w:rPr>
            </w:pPr>
            <w:r>
              <w:rPr>
                <w:rFonts w:ascii="Arial" w:cs="Arial" w:eastAsia="Arial" w:hAnsi="Arial"/>
                <w:sz w:val="18"/>
                <w:szCs w:val="18"/>
                <w:color w:val="auto"/>
              </w:rPr>
              <w:t>Las Vegas, Nevada 89109</w:t>
            </w:r>
          </w:p>
        </w:tc>
      </w:tr>
      <w:tr>
        <w:trPr>
          <w:trHeight w:val="230"/>
        </w:trPr>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00" w:type="dxa"/>
            <w:vAlign w:val="bottom"/>
          </w:tcPr>
          <w:p>
            <w:pPr>
              <w:ind w:left="500"/>
              <w:spacing w:after="0"/>
              <w:rPr>
                <w:sz w:val="20"/>
                <w:szCs w:val="20"/>
                <w:color w:val="auto"/>
              </w:rPr>
            </w:pPr>
            <w:r>
              <w:rPr>
                <w:rFonts w:ascii="Arial" w:cs="Arial" w:eastAsia="Arial" w:hAnsi="Arial"/>
                <w:sz w:val="18"/>
                <w:szCs w:val="18"/>
                <w:color w:val="auto"/>
              </w:rPr>
              <w:t>Attn: Legal Department</w:t>
            </w:r>
          </w:p>
        </w:tc>
      </w:tr>
      <w:tr>
        <w:trPr>
          <w:trHeight w:val="392"/>
        </w:trPr>
        <w:tc>
          <w:tcPr>
            <w:tcW w:w="1820" w:type="dxa"/>
            <w:vAlign w:val="bottom"/>
            <w:gridSpan w:val="3"/>
          </w:tcPr>
          <w:p>
            <w:pPr>
              <w:spacing w:after="0"/>
              <w:rPr>
                <w:sz w:val="20"/>
                <w:szCs w:val="20"/>
                <w:color w:val="auto"/>
              </w:rPr>
            </w:pPr>
            <w:r>
              <w:rPr>
                <w:rFonts w:ascii="Arial" w:cs="Arial" w:eastAsia="Arial" w:hAnsi="Arial"/>
                <w:sz w:val="18"/>
                <w:szCs w:val="18"/>
                <w:color w:val="auto"/>
              </w:rPr>
              <w:t>TO EMPLOYEE:</w:t>
            </w:r>
          </w:p>
        </w:tc>
        <w:tc>
          <w:tcPr>
            <w:tcW w:w="2900" w:type="dxa"/>
            <w:vAlign w:val="bottom"/>
          </w:tcPr>
          <w:p>
            <w:pPr>
              <w:ind w:left="500"/>
              <w:spacing w:after="0"/>
              <w:rPr>
                <w:sz w:val="20"/>
                <w:szCs w:val="20"/>
                <w:color w:val="auto"/>
              </w:rPr>
            </w:pPr>
            <w:r>
              <w:rPr>
                <w:rFonts w:ascii="Arial" w:cs="Arial" w:eastAsia="Arial" w:hAnsi="Arial"/>
                <w:sz w:val="18"/>
                <w:szCs w:val="18"/>
                <w:color w:val="auto"/>
              </w:rPr>
              <w:t>Matt Maddox</w:t>
            </w:r>
          </w:p>
        </w:tc>
      </w:tr>
      <w:tr>
        <w:trPr>
          <w:trHeight w:val="236"/>
        </w:trPr>
        <w:tc>
          <w:tcPr>
            <w:tcW w:w="12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00" w:type="dxa"/>
            <w:vAlign w:val="bottom"/>
          </w:tcPr>
          <w:p>
            <w:pPr>
              <w:ind w:left="500"/>
              <w:spacing w:after="0"/>
              <w:rPr>
                <w:sz w:val="20"/>
                <w:szCs w:val="20"/>
                <w:color w:val="auto"/>
              </w:rPr>
            </w:pPr>
            <w:r>
              <w:rPr>
                <w:rFonts w:ascii="Arial" w:cs="Arial" w:eastAsia="Arial" w:hAnsi="Arial"/>
                <w:sz w:val="18"/>
                <w:szCs w:val="18"/>
                <w:color w:val="auto"/>
              </w:rPr>
              <w:t>[intentionally omitted]</w:t>
            </w:r>
          </w:p>
        </w:tc>
      </w:tr>
      <w:tr>
        <w:trPr>
          <w:trHeight w:val="230"/>
        </w:trPr>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00" w:type="dxa"/>
            <w:vAlign w:val="bottom"/>
          </w:tcPr>
          <w:p>
            <w:pPr>
              <w:ind w:left="500"/>
              <w:spacing w:after="0"/>
              <w:rPr>
                <w:sz w:val="20"/>
                <w:szCs w:val="20"/>
                <w:color w:val="auto"/>
              </w:rPr>
            </w:pPr>
            <w:r>
              <w:rPr>
                <w:rFonts w:ascii="Arial" w:cs="Arial" w:eastAsia="Arial" w:hAnsi="Arial"/>
                <w:sz w:val="18"/>
                <w:szCs w:val="18"/>
                <w:color w:val="auto"/>
              </w:rPr>
              <w:t>[intentionally omitted]</w:t>
            </w:r>
          </w:p>
        </w:tc>
      </w:tr>
    </w:tbl>
    <w:p>
      <w:pPr>
        <w:spacing w:after="0" w:line="21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255" w:lineRule="exact"/>
        <w:rPr>
          <w:sz w:val="20"/>
          <w:szCs w:val="20"/>
          <w:color w:val="auto"/>
        </w:rPr>
      </w:pPr>
    </w:p>
    <w:p>
      <w:pPr>
        <w:ind w:right="40" w:firstLine="464"/>
        <w:spacing w:after="0" w:line="277" w:lineRule="auto"/>
        <w:tabs>
          <w:tab w:leader="none" w:pos="726"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278" w:lineRule="exact"/>
        <w:rPr>
          <w:rFonts w:ascii="Arial" w:cs="Arial" w:eastAsia="Arial" w:hAnsi="Arial"/>
          <w:sz w:val="18"/>
          <w:szCs w:val="18"/>
          <w:b w:val="1"/>
          <w:bCs w:val="1"/>
          <w:i w:val="1"/>
          <w:iCs w:val="1"/>
          <w:color w:val="auto"/>
        </w:rPr>
      </w:pPr>
    </w:p>
    <w:p>
      <w:pPr>
        <w:ind w:right="60" w:firstLine="464"/>
        <w:spacing w:after="0" w:line="308" w:lineRule="auto"/>
        <w:tabs>
          <w:tab w:leader="none" w:pos="726" w:val="left"/>
        </w:tabs>
        <w:numPr>
          <w:ilvl w:val="0"/>
          <w:numId w:val="7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SEVERABILITY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event any one or more provisions of this Agreement is declared judicially void or otherwise unenforceable, the remainder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this Agreement shall survive and such provision(s) shall be deemed modified or amended so as to fulfill the intent of the parties hereto.</w:t>
      </w:r>
    </w:p>
    <w:p>
      <w:pPr>
        <w:spacing w:after="0" w:line="254" w:lineRule="exact"/>
        <w:rPr>
          <w:rFonts w:ascii="Arial" w:cs="Arial" w:eastAsia="Arial" w:hAnsi="Arial"/>
          <w:sz w:val="17"/>
          <w:szCs w:val="17"/>
          <w:b w:val="1"/>
          <w:bCs w:val="1"/>
          <w:i w:val="1"/>
          <w:iCs w:val="1"/>
          <w:color w:val="auto"/>
        </w:rPr>
      </w:pPr>
    </w:p>
    <w:p>
      <w:pPr>
        <w:ind w:right="200" w:firstLine="464"/>
        <w:spacing w:after="0" w:line="264" w:lineRule="auto"/>
        <w:tabs>
          <w:tab w:leader="none" w:pos="726"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or any term, right or remedy hereunder, shall be deemed waived unless such waiver is in writing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signed by the party to be charged therewith and in no event by reason of any failure to assert or delay in asserting any such term, right or remedy or similar term, right or remedy hereunder.</w:t>
      </w:r>
    </w:p>
    <w:p>
      <w:pPr>
        <w:spacing w:after="0" w:line="289" w:lineRule="exact"/>
        <w:rPr>
          <w:rFonts w:ascii="Arial" w:cs="Arial" w:eastAsia="Arial" w:hAnsi="Arial"/>
          <w:sz w:val="18"/>
          <w:szCs w:val="18"/>
          <w:b w:val="1"/>
          <w:bCs w:val="1"/>
          <w:i w:val="1"/>
          <w:iCs w:val="1"/>
          <w:color w:val="auto"/>
        </w:rPr>
      </w:pPr>
    </w:p>
    <w:p>
      <w:pPr>
        <w:ind w:right="80" w:firstLine="464"/>
        <w:spacing w:after="0" w:line="259" w:lineRule="auto"/>
        <w:tabs>
          <w:tab w:leader="none" w:pos="726"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DISPUTE RESOLUTION</w:t>
      </w:r>
      <w:r>
        <w:rPr>
          <w:rFonts w:ascii="Arial" w:cs="Arial" w:eastAsia="Arial" w:hAnsi="Arial"/>
          <w:sz w:val="18"/>
          <w:szCs w:val="18"/>
          <w:color w:val="auto"/>
        </w:rPr>
        <w:t>. Except for a claim by either Employee or Employer for injunctive relief where such would be otherwise authorized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 to enforce Sections 9, 10 and/or 11 of this Agreement, any controversy or claim arising out of or relating to this Agreement, the breach hereof, or Employee’s employment by Employer, including without limitation any claim involving the interpretation or application of this Agreement, or claims for wrongful termination, discrimination, or other claims based upon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162" w:name="page163"/>
    <w:bookmarkEnd w:id="162"/>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statutory or common law, shall be submitted to binding arbitration in accordance with the employment arbitration rules then in effect of the American Arbitration Association (“AAA”), to the extent not inconsistent with this Section as set forth below. This Section 21 applies to any claim Employee might have against any officer, director, employee, or agent of Employer or its Affiliate, and all successors and assigns of any of them. These arbitration provisions shall survive the termination of Employee’s employment with Employer and the expiration of the Agreement.</w:t>
      </w:r>
    </w:p>
    <w:p>
      <w:pPr>
        <w:spacing w:after="0" w:line="63" w:lineRule="exact"/>
        <w:rPr>
          <w:sz w:val="20"/>
          <w:szCs w:val="20"/>
          <w:color w:val="auto"/>
        </w:rPr>
      </w:pPr>
    </w:p>
    <w:p>
      <w:pPr>
        <w:ind w:left="460" w:firstLine="443"/>
        <w:spacing w:after="0" w:line="269" w:lineRule="auto"/>
        <w:tabs>
          <w:tab w:leader="none" w:pos="1143"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Coverage of Arbitration Agreement: The promises by Employer and Employee to arbitrate differences, rather than litigate them before courts or other bodies, provide consideration for each other, in addition to other consideration provided under the Agreement. The parties contemplate by this Section 21 arbitration of all claims against each of them to the fullest extent permitted by law except as specifically excluded by this Agreement. Only claims that are justiciable or arguably justiciable under applicable federal, state or local law are covered by this Section, and include, without limitation, any and all alleged violations of any federal, state or local law whether common law, statutory, arising under regulation or ordinance, or any other law, brought by any current or former employee. Such claims may include, but are not limited to, claims for: wages or other compensation; breach of contract; torts; work-related injury claims not covered under workers’ compensation laws; wrongful discharge; and any and all unlawful employment discrimination and/or harassment claims. 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and claims for injunctive or equitable relief for violations of non-competition and/or confidentiality agreements in Sections 9, 10 and 11.</w:t>
      </w:r>
    </w:p>
    <w:p>
      <w:pPr>
        <w:spacing w:after="0" w:line="74" w:lineRule="exact"/>
        <w:rPr>
          <w:rFonts w:ascii="Arial" w:cs="Arial" w:eastAsia="Arial" w:hAnsi="Arial"/>
          <w:sz w:val="17"/>
          <w:szCs w:val="17"/>
          <w:color w:val="auto"/>
        </w:rPr>
      </w:pPr>
    </w:p>
    <w:p>
      <w:pPr>
        <w:ind w:left="460" w:firstLine="443"/>
        <w:spacing w:after="0" w:line="255" w:lineRule="auto"/>
        <w:tabs>
          <w:tab w:leader="none" w:pos="11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this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63" w:name="page164"/>
    <w:bookmarkEnd w:id="163"/>
    <w:p>
      <w:pPr>
        <w:ind w:right="40" w:firstLine="443"/>
        <w:spacing w:after="0" w:line="273" w:lineRule="auto"/>
        <w:tabs>
          <w:tab w:leader="none" w:pos="683" w:val="left"/>
        </w:tabs>
        <w:numPr>
          <w:ilvl w:val="1"/>
          <w:numId w:val="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w:t>
      </w:r>
    </w:p>
    <w:p>
      <w:pPr>
        <w:spacing w:after="0" w:line="70" w:lineRule="exact"/>
        <w:rPr>
          <w:rFonts w:ascii="Arial" w:cs="Arial" w:eastAsia="Arial" w:hAnsi="Arial"/>
          <w:sz w:val="17"/>
          <w:szCs w:val="17"/>
          <w:color w:val="auto"/>
        </w:rPr>
      </w:pPr>
    </w:p>
    <w:p>
      <w:pPr>
        <w:ind w:firstLine="443"/>
        <w:spacing w:after="0" w:line="273" w:lineRule="auto"/>
        <w:tabs>
          <w:tab w:leader="none" w:pos="693" w:val="left"/>
        </w:tabs>
        <w:numPr>
          <w:ilvl w:val="1"/>
          <w:numId w:val="81"/>
        </w:numPr>
        <w:rPr>
          <w:rFonts w:ascii="Arial" w:cs="Arial" w:eastAsia="Arial" w:hAnsi="Arial"/>
          <w:sz w:val="17"/>
          <w:szCs w:val="17"/>
          <w:color w:val="auto"/>
        </w:rPr>
      </w:pPr>
      <w:r>
        <w:rPr>
          <w:rFonts w:ascii="Arial" w:cs="Arial" w:eastAsia="Arial" w:hAnsi="Arial"/>
          <w:sz w:val="17"/>
          <w:szCs w:val="17"/>
          <w:color w:val="auto"/>
        </w:rPr>
        <w:t>Time Limit to Initiate Arbitration: To ensure timely resolution of disputes, Employee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w:t>
      </w:r>
    </w:p>
    <w:p>
      <w:pPr>
        <w:spacing w:after="0" w:line="70" w:lineRule="exact"/>
        <w:rPr>
          <w:rFonts w:ascii="Arial" w:cs="Arial" w:eastAsia="Arial" w:hAnsi="Arial"/>
          <w:sz w:val="17"/>
          <w:szCs w:val="17"/>
          <w:color w:val="auto"/>
        </w:rPr>
      </w:pPr>
    </w:p>
    <w:p>
      <w:pPr>
        <w:ind w:right="80" w:firstLine="443"/>
        <w:spacing w:after="0" w:line="255" w:lineRule="auto"/>
        <w:tabs>
          <w:tab w:leader="none" w:pos="683" w:val="left"/>
        </w:tabs>
        <w:numPr>
          <w:ilvl w:val="1"/>
          <w:numId w:val="81"/>
        </w:numPr>
        <w:rPr>
          <w:rFonts w:ascii="Arial" w:cs="Arial" w:eastAsia="Arial" w:hAnsi="Arial"/>
          <w:sz w:val="18"/>
          <w:szCs w:val="18"/>
          <w:color w:val="auto"/>
        </w:rPr>
      </w:pPr>
      <w:r>
        <w:rPr>
          <w:rFonts w:ascii="Arial" w:cs="Arial" w:eastAsia="Arial" w:hAnsi="Arial"/>
          <w:sz w:val="18"/>
          <w:szCs w:val="18"/>
          <w:color w:val="auto"/>
        </w:rPr>
        <w:t>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spacing w:after="0" w:line="85" w:lineRule="exact"/>
        <w:rPr>
          <w:rFonts w:ascii="Arial" w:cs="Arial" w:eastAsia="Arial" w:hAnsi="Arial"/>
          <w:sz w:val="18"/>
          <w:szCs w:val="18"/>
          <w:color w:val="auto"/>
        </w:rPr>
      </w:pPr>
    </w:p>
    <w:p>
      <w:pPr>
        <w:ind w:right="20" w:firstLine="443"/>
        <w:spacing w:after="0" w:line="302" w:lineRule="auto"/>
        <w:tabs>
          <w:tab w:leader="none" w:pos="663" w:val="left"/>
        </w:tabs>
        <w:numPr>
          <w:ilvl w:val="1"/>
          <w:numId w:val="81"/>
        </w:numPr>
        <w:rPr>
          <w:rFonts w:ascii="Arial" w:cs="Arial" w:eastAsia="Arial" w:hAnsi="Arial"/>
          <w:sz w:val="16"/>
          <w:szCs w:val="16"/>
          <w:color w:val="auto"/>
        </w:rPr>
      </w:pPr>
      <w:r>
        <w:rPr>
          <w:rFonts w:ascii="Arial" w:cs="Arial" w:eastAsia="Arial" w:hAnsi="Arial"/>
          <w:sz w:val="16"/>
          <w:szCs w:val="16"/>
          <w:color w:val="auto"/>
        </w:rPr>
        <w:t>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when applicable. The arbitrator is without power or jurisdiction to apply any different substantive law or law of remedies or to modify any term or condition of this Agreement. The</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74" w:right="259" w:bottom="1440" w:gutter="0" w:footer="0" w:header="0"/>
        </w:sectPr>
      </w:pPr>
    </w:p>
    <w:bookmarkStart w:id="164" w:name="page165"/>
    <w:bookmarkEnd w:id="16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spacing w:after="0" w:line="75" w:lineRule="exact"/>
        <w:rPr>
          <w:sz w:val="20"/>
          <w:szCs w:val="20"/>
          <w:color w:val="auto"/>
        </w:rPr>
      </w:pPr>
    </w:p>
    <w:p>
      <w:pPr>
        <w:ind w:firstLine="443"/>
        <w:spacing w:after="0" w:line="257" w:lineRule="auto"/>
        <w:tabs>
          <w:tab w:leader="none" w:pos="683" w:val="left"/>
        </w:tabs>
        <w:numPr>
          <w:ilvl w:val="1"/>
          <w:numId w:val="82"/>
        </w:numPr>
        <w:rPr>
          <w:rFonts w:ascii="Arial" w:cs="Arial" w:eastAsia="Arial" w:hAnsi="Arial"/>
          <w:sz w:val="18"/>
          <w:szCs w:val="18"/>
          <w:color w:val="auto"/>
        </w:rPr>
      </w:pPr>
      <w:r>
        <w:rPr>
          <w:rFonts w:ascii="Arial" w:cs="Arial" w:eastAsia="Arial" w:hAnsi="Arial"/>
          <w:sz w:val="18"/>
          <w:szCs w:val="18"/>
          <w:color w:val="auto"/>
        </w:rPr>
        <w:t>Arbitrator’s Award: The arbitrator will issue a written decision containing the specific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80" w:lineRule="exact"/>
        <w:rPr>
          <w:rFonts w:ascii="Arial" w:cs="Arial" w:eastAsia="Arial" w:hAnsi="Arial"/>
          <w:sz w:val="18"/>
          <w:szCs w:val="18"/>
          <w:color w:val="auto"/>
        </w:rPr>
      </w:pPr>
    </w:p>
    <w:p>
      <w:pPr>
        <w:ind w:right="20" w:firstLine="443"/>
        <w:spacing w:after="0" w:line="255" w:lineRule="auto"/>
        <w:tabs>
          <w:tab w:leader="none" w:pos="693" w:val="left"/>
        </w:tabs>
        <w:numPr>
          <w:ilvl w:val="1"/>
          <w:numId w:val="82"/>
        </w:numPr>
        <w:rPr>
          <w:rFonts w:ascii="Arial" w:cs="Arial" w:eastAsia="Arial" w:hAnsi="Arial"/>
          <w:sz w:val="18"/>
          <w:szCs w:val="18"/>
          <w:color w:val="auto"/>
        </w:rPr>
      </w:pPr>
      <w:r>
        <w:rPr>
          <w:rFonts w:ascii="Arial" w:cs="Arial" w:eastAsia="Arial" w:hAnsi="Arial"/>
          <w:sz w:val="18"/>
          <w:szCs w:val="18"/>
          <w:color w:val="auto"/>
        </w:rPr>
        <w:t>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Employee and Employer shall each pay his/her/its own expenses for presentation of their cases, including but not limited to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spacing w:after="0" w:line="193" w:lineRule="exact"/>
        <w:rPr>
          <w:rFonts w:ascii="Arial" w:cs="Arial" w:eastAsia="Arial" w:hAnsi="Arial"/>
          <w:sz w:val="18"/>
          <w:szCs w:val="18"/>
          <w:color w:val="auto"/>
        </w:rPr>
      </w:pPr>
    </w:p>
    <w:p>
      <w:pPr>
        <w:ind w:left="5160" w:right="60" w:hanging="5156"/>
        <w:spacing w:after="0" w:line="449" w:lineRule="auto"/>
        <w:tabs>
          <w:tab w:leader="none" w:pos="271"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PAROL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between Employer and Employee, and supersedes any prior understandings,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w:t>
      </w:r>
    </w:p>
    <w:p>
      <w:pPr>
        <w:sectPr>
          <w:pgSz w:w="11900" w:h="16838" w:orient="portrait"/>
          <w:cols w:equalWidth="0" w:num="1">
            <w:col w:w="10940"/>
          </w:cols>
          <w:pgMar w:left="700" w:top="274" w:right="259" w:bottom="1440" w:gutter="0" w:footer="0" w:header="0"/>
        </w:sectPr>
      </w:pPr>
    </w:p>
    <w:bookmarkStart w:id="165" w:name="page166"/>
    <w:bookmarkEnd w:id="165"/>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undertakings or severance policies or plans by and between Employer or its Affiliates, on the one side, and Employee, on the other side, with respect to its subject matter or Employee’s employment with Employer or its Affiliates.</w:t>
      </w:r>
    </w:p>
    <w:p>
      <w:pPr>
        <w:spacing w:after="0" w:line="170" w:lineRule="exact"/>
        <w:rPr>
          <w:sz w:val="20"/>
          <w:szCs w:val="20"/>
          <w:color w:val="auto"/>
        </w:rPr>
      </w:pPr>
    </w:p>
    <w:p>
      <w:pPr>
        <w:ind w:firstLine="464"/>
        <w:spacing w:after="0" w:line="268" w:lineRule="auto"/>
        <w:tabs>
          <w:tab w:leader="none" w:pos="726" w:val="left"/>
        </w:tabs>
        <w:numPr>
          <w:ilvl w:val="0"/>
          <w:numId w:val="8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FCPA COMPLIANCE</w:t>
      </w:r>
      <w:r>
        <w:rPr>
          <w:rFonts w:ascii="Arial" w:cs="Arial" w:eastAsia="Arial" w:hAnsi="Arial"/>
          <w:sz w:val="17"/>
          <w:szCs w:val="17"/>
          <w:color w:val="auto"/>
        </w:rPr>
        <w:t>. Employer advises Employee that the United States Foreign Corrupt Practices Act (“FCPA”) prohibits offering, providing,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promising anything of value (including money, preferential treatment, and any other sort of advantage), either directly or indirectly, by a United States company, or any of its employees, subsidiaries, affiliates, or agents, to an official of a foreign government, a foreign political party, party official, or candidate for foreign political office (or any family members of any of these real persons),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Employee understands that Employee may not directly or indirectly offer, promise, grant, or authorize the giving of money or anything else of value to a government official to influence official action or obtain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will act in accordance with all applicable laws regarding anti-corruption, including the FCPA, the U.K. Bribery Act, and all other state, federal, and international laws related to anti-corruption. Employee agrees that he or she will not take any action which would cause Employer to be in violation of the FCPA or any other applicable anti-corruption law, regulation, or Company policy or procedure. Employee further represents and warrants that Employee will know and understand, and act in accordance with, all Company policies and procedures related to anti-corruption and business conduct. Employee agrees to attend mandatory compliance training. Employee undertakes to duly notify Employer if Employee becomes aware of any such violation of Company policies or procedures, or any other violation of law, committed by Employee or any other person or entity, and to indemnify Employer for any losses, damages, fines, and/or penalties which Employer may suffer or incur arising out of or incidental to any such violation committed by Employee.</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Employee also represents and warrants that Employee will disclose to the Employer if Employee or any member of Employee’s family is an official of a foreign government or foreign political party, or is a candidate for foreign political office.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case of breach of this provision, the Employer may suspend or terminate this Agreement at any time without notice or indemnity.</w:t>
      </w:r>
    </w:p>
    <w:p>
      <w:pPr>
        <w:spacing w:after="0" w:line="225" w:lineRule="exact"/>
        <w:rPr>
          <w:sz w:val="20"/>
          <w:szCs w:val="20"/>
          <w:color w:val="auto"/>
        </w:rPr>
      </w:pPr>
    </w:p>
    <w:p>
      <w:pPr>
        <w:ind w:right="140" w:firstLine="464"/>
        <w:spacing w:after="0" w:line="264" w:lineRule="auto"/>
        <w:tabs>
          <w:tab w:leader="none" w:pos="726"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REVIEW BY PARTIES AND THEIR LEGAL COUNSEL. </w:t>
      </w:r>
      <w:r>
        <w:rPr>
          <w:rFonts w:ascii="Arial" w:cs="Arial" w:eastAsia="Arial" w:hAnsi="Arial"/>
          <w:sz w:val="18"/>
          <w:szCs w:val="18"/>
          <w:color w:val="auto"/>
        </w:rPr>
        <w:t>The parties represent that they have read this Agreement and acknowledge that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discussed its contents with their respective legal counsel or have been afforded the opportunity to avail themselves of the opportunity to the extent they each wished to do so.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66" w:name="page167"/>
    <w:bookmarkEnd w:id="166"/>
    <w:p>
      <w:pPr>
        <w:ind w:right="780" w:firstLine="456"/>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AND INTENDING TO BE LEGALLY BOUND THEREBY, </w:t>
      </w:r>
      <w:r>
        <w:rPr>
          <w:rFonts w:ascii="Arial" w:cs="Arial" w:eastAsia="Arial" w:hAnsi="Arial"/>
          <w:sz w:val="18"/>
          <w:szCs w:val="18"/>
          <w:color w:val="auto"/>
        </w:rPr>
        <w:t>the parties hereto have executed and delivered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as of the year and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62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Sinatra</w:t>
            </w:r>
          </w:p>
        </w:tc>
        <w:tc>
          <w:tcPr>
            <w:tcW w:w="162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23"/>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c>
          <w:tcPr>
            <w:tcW w:w="16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Matt Maddox</w:t>
            </w:r>
          </w:p>
        </w:tc>
      </w:tr>
      <w:tr>
        <w:trPr>
          <w:trHeight w:val="372"/>
        </w:trPr>
        <w:tc>
          <w:tcPr>
            <w:tcW w:w="4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20" w:type="dxa"/>
            <w:vAlign w:val="bottom"/>
          </w:tcPr>
          <w:p>
            <w:pPr>
              <w:jc w:val="right"/>
              <w:ind w:right="750"/>
              <w:spacing w:after="0"/>
              <w:rPr>
                <w:sz w:val="20"/>
                <w:szCs w:val="20"/>
                <w:color w:val="auto"/>
              </w:rPr>
            </w:pPr>
            <w:r>
              <w:rPr>
                <w:rFonts w:ascii="Arial" w:cs="Arial" w:eastAsia="Arial" w:hAnsi="Arial"/>
                <w:sz w:val="18"/>
                <w:szCs w:val="18"/>
                <w:color w:val="auto"/>
              </w:rPr>
              <w:t>22</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140335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10.1.6.0</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 by and between -</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WYNN RESORTS, LIMITED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(“Employer”)</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JOHN STRZEMP</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as of August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40"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252095</wp:posOffset>
            </wp:positionV>
            <wp:extent cx="15176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17650" cy="8890"/>
                    </a:xfrm>
                    <a:prstGeom prst="rect">
                      <a:avLst/>
                    </a:prstGeom>
                    <a:noFill/>
                  </pic:spPr>
                </pic:pic>
              </a:graphicData>
            </a:graphic>
          </wp:anchor>
        </w:drawing>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760" w:firstLine="456"/>
        <w:spacing w:after="0" w:line="282"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31 day of August 2005, by and between</w:t>
      </w:r>
      <w:r>
        <w:rPr>
          <w:rFonts w:ascii="Arial" w:cs="Arial" w:eastAsia="Arial" w:hAnsi="Arial"/>
          <w:sz w:val="18"/>
          <w:szCs w:val="18"/>
          <w:b w:val="1"/>
          <w:bCs w:val="1"/>
          <w:color w:val="auto"/>
        </w:rPr>
        <w:t xml:space="preserve"> WYNN RESORTS, LIMITED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John Strzemp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b w:val="1"/>
          <w:bCs w:val="1"/>
          <w:i w:val="1"/>
          <w:iCs w:val="1"/>
          <w:color w:val="auto"/>
        </w:rPr>
        <w:t xml:space="preserve">WHEREAS, </w:t>
      </w:r>
      <w:r>
        <w:rPr>
          <w:rFonts w:ascii="Arial" w:cs="Arial" w:eastAsia="Arial" w:hAnsi="Arial"/>
          <w:sz w:val="16"/>
          <w:szCs w:val="16"/>
          <w:color w:val="auto"/>
        </w:rPr>
        <w:t>Employer is a corporation duly organized and existing under the laws of the State of Nevada, maintains its principal place of business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3131 Las Vegas Blvd. South, Las Vegas, Nevada 89109, and is engaged in the business of developing, constructing and operating a casino resorts; and,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in furtherance of its business, Employer has need of qualified, experienced executive management; and,</w:t>
      </w:r>
    </w:p>
    <w:p>
      <w:pPr>
        <w:spacing w:after="0" w:line="221" w:lineRule="exact"/>
        <w:rPr>
          <w:sz w:val="20"/>
          <w:szCs w:val="20"/>
          <w:color w:val="auto"/>
        </w:rPr>
      </w:pPr>
    </w:p>
    <w:p>
      <w:pPr>
        <w:ind w:right="520" w:firstLine="45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currently serves as the Executive Vice President - Chief Financial Officer of the Employer pursuant to the terms of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dated as of September 9, 2002 (the “2002 Agreement”) between Employee and Employer as amended by that certain First Amendment to Employment Agreement dated December 11, 2002 (the “Amendment”) between Employee and Employer (the 2002 Agreement and the Amendment are collectively referred to herein as, the “</w:t>
      </w:r>
      <w:r>
        <w:rPr>
          <w:rFonts w:ascii="Arial" w:cs="Arial" w:eastAsia="Arial" w:hAnsi="Arial"/>
          <w:sz w:val="18"/>
          <w:szCs w:val="18"/>
          <w:u w:val="single" w:color="auto"/>
          <w:color w:val="auto"/>
        </w:rPr>
        <w:t>Prior Agreement</w:t>
      </w:r>
      <w:r>
        <w:rPr>
          <w:rFonts w:ascii="Arial" w:cs="Arial" w:eastAsia="Arial" w:hAnsi="Arial"/>
          <w:sz w:val="18"/>
          <w:szCs w:val="18"/>
          <w:color w:val="auto"/>
        </w:rPr>
        <w:t>”); and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and Employer desire to terminate the Prior Agreement and replace it with this Agreement; and</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and expertise in order to fulfill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employment stated in this Agreement; and,</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continue to employ Employee, and Employee is desirous of continuing his employment with the Employer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and pursuant to the conditions set forth herein;</w:t>
      </w:r>
    </w:p>
    <w:p>
      <w:pPr>
        <w:spacing w:after="0" w:line="17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hereby covenant and agree as follows: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12" w:right="239" w:bottom="1440" w:gutter="0" w:footer="0" w:header="0"/>
        </w:sectPr>
      </w:pPr>
    </w:p>
    <w:bookmarkStart w:id="169" w:name="page170"/>
    <w:bookmarkEnd w:id="169"/>
    <w:p>
      <w:pPr>
        <w:ind w:left="-100" w:firstLine="464"/>
        <w:spacing w:after="0" w:line="277" w:lineRule="auto"/>
        <w:tabs>
          <w:tab w:leader="none" w:pos="536"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herein,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meaning clearly appears from the context:</w:t>
      </w:r>
    </w:p>
    <w:p>
      <w:pPr>
        <w:spacing w:after="0" w:line="58" w:lineRule="exact"/>
        <w:rPr>
          <w:rFonts w:ascii="Arial" w:cs="Arial" w:eastAsia="Arial" w:hAnsi="Arial"/>
          <w:sz w:val="18"/>
          <w:szCs w:val="18"/>
          <w:b w:val="1"/>
          <w:bCs w:val="1"/>
          <w:i w:val="1"/>
          <w:iCs w:val="1"/>
          <w:color w:val="auto"/>
        </w:rPr>
      </w:pPr>
    </w:p>
    <w:p>
      <w:pPr>
        <w:ind w:left="360" w:right="20" w:firstLine="443"/>
        <w:spacing w:after="0" w:line="277" w:lineRule="auto"/>
        <w:tabs>
          <w:tab w:leader="none" w:pos="1043" w:val="left"/>
        </w:tabs>
        <w:numPr>
          <w:ilvl w:val="1"/>
          <w:numId w:val="8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Affiliate”</w:t>
      </w:r>
      <w:r>
        <w:rPr>
          <w:rFonts w:ascii="Arial" w:cs="Arial" w:eastAsia="Arial" w:hAnsi="Arial"/>
          <w:sz w:val="17"/>
          <w:szCs w:val="17"/>
          <w:color w:val="auto"/>
        </w:rPr>
        <w:t xml:space="preserve">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60" w:lineRule="exact"/>
        <w:rPr>
          <w:rFonts w:ascii="Arial" w:cs="Arial" w:eastAsia="Arial" w:hAnsi="Arial"/>
          <w:sz w:val="17"/>
          <w:szCs w:val="17"/>
          <w:color w:val="auto"/>
        </w:rPr>
      </w:pPr>
    </w:p>
    <w:p>
      <w:pPr>
        <w:ind w:left="1060" w:hanging="257"/>
        <w:spacing w:after="0"/>
        <w:tabs>
          <w:tab w:leader="none" w:pos="1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121" w:lineRule="exact"/>
        <w:rPr>
          <w:rFonts w:ascii="Arial" w:cs="Arial" w:eastAsia="Arial" w:hAnsi="Arial"/>
          <w:sz w:val="18"/>
          <w:szCs w:val="18"/>
          <w:color w:val="auto"/>
        </w:rPr>
      </w:pPr>
    </w:p>
    <w:p>
      <w:pPr>
        <w:ind w:left="1460" w:hanging="219"/>
        <w:spacing w:after="0"/>
        <w:tabs>
          <w:tab w:leader="none" w:pos="1460" w:val="left"/>
        </w:tabs>
        <w:numPr>
          <w:ilvl w:val="2"/>
          <w:numId w:val="86"/>
        </w:numPr>
        <w:rPr>
          <w:rFonts w:ascii="Arial" w:cs="Arial" w:eastAsia="Arial" w:hAnsi="Arial"/>
          <w:sz w:val="17"/>
          <w:szCs w:val="17"/>
          <w:color w:val="auto"/>
        </w:rPr>
      </w:pPr>
      <w:r>
        <w:rPr>
          <w:rFonts w:ascii="Arial" w:cs="Arial" w:eastAsia="Arial" w:hAnsi="Arial"/>
          <w:sz w:val="17"/>
          <w:szCs w:val="17"/>
          <w:color w:val="auto"/>
        </w:rPr>
        <w:t>the willful destruction by Employee of the property of Employer or an Affiliate having a material value to Employer or such Affiliate;</w:t>
      </w:r>
    </w:p>
    <w:p>
      <w:pPr>
        <w:spacing w:after="0" w:line="128" w:lineRule="exact"/>
        <w:rPr>
          <w:rFonts w:ascii="Arial" w:cs="Arial" w:eastAsia="Arial" w:hAnsi="Arial"/>
          <w:sz w:val="17"/>
          <w:szCs w:val="17"/>
          <w:color w:val="auto"/>
        </w:rPr>
      </w:pPr>
    </w:p>
    <w:p>
      <w:pPr>
        <w:ind w:left="820" w:right="260" w:firstLine="421"/>
        <w:spacing w:after="0" w:line="277" w:lineRule="auto"/>
        <w:tabs>
          <w:tab w:leader="none" w:pos="1505" w:val="left"/>
        </w:tabs>
        <w:numPr>
          <w:ilvl w:val="2"/>
          <w:numId w:val="86"/>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62" w:lineRule="exact"/>
        <w:rPr>
          <w:rFonts w:ascii="Arial" w:cs="Arial" w:eastAsia="Arial" w:hAnsi="Arial"/>
          <w:sz w:val="18"/>
          <w:szCs w:val="18"/>
          <w:color w:val="auto"/>
        </w:rPr>
      </w:pPr>
    </w:p>
    <w:p>
      <w:pPr>
        <w:ind w:left="820" w:right="140" w:firstLine="421"/>
        <w:spacing w:after="0" w:line="342" w:lineRule="auto"/>
        <w:tabs>
          <w:tab w:leader="none" w:pos="1555" w:val="left"/>
        </w:tabs>
        <w:numPr>
          <w:ilvl w:val="2"/>
          <w:numId w:val="86"/>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15" w:lineRule="exact"/>
        <w:rPr>
          <w:rFonts w:ascii="Arial" w:cs="Arial" w:eastAsia="Arial" w:hAnsi="Arial"/>
          <w:sz w:val="16"/>
          <w:szCs w:val="16"/>
          <w:color w:val="auto"/>
        </w:rPr>
      </w:pPr>
    </w:p>
    <w:p>
      <w:pPr>
        <w:ind w:left="820" w:right="160" w:firstLine="421"/>
        <w:spacing w:after="0" w:line="264" w:lineRule="auto"/>
        <w:tabs>
          <w:tab w:leader="none" w:pos="1545" w:val="left"/>
        </w:tabs>
        <w:numPr>
          <w:ilvl w:val="2"/>
          <w:numId w:val="86"/>
        </w:numPr>
        <w:rPr>
          <w:rFonts w:ascii="Arial" w:cs="Arial" w:eastAsia="Arial" w:hAnsi="Arial"/>
          <w:sz w:val="18"/>
          <w:szCs w:val="18"/>
          <w:color w:val="auto"/>
        </w:rPr>
      </w:pPr>
      <w:r>
        <w:rPr>
          <w:rFonts w:ascii="Arial" w:cs="Arial" w:eastAsia="Arial" w:hAnsi="Arial"/>
          <w:sz w:val="18"/>
          <w:szCs w:val="18"/>
          <w:color w:val="auto"/>
        </w:rPr>
        <w:t>Employee’s breach, neglect, refusal, or failure to materially discharge his duties (other than due to physical or mental illness) commensurate with his title and function, or Employee’s failure to comply with the lawful directions of Employer’s Board of Directors, that is not cured within fifteen (15) days after Employee has received written notice thereof from the Board;</w:t>
      </w:r>
    </w:p>
    <w:p>
      <w:pPr>
        <w:spacing w:after="0" w:line="73" w:lineRule="exact"/>
        <w:rPr>
          <w:rFonts w:ascii="Arial" w:cs="Arial" w:eastAsia="Arial" w:hAnsi="Arial"/>
          <w:sz w:val="18"/>
          <w:szCs w:val="18"/>
          <w:color w:val="auto"/>
        </w:rPr>
      </w:pPr>
    </w:p>
    <w:p>
      <w:pPr>
        <w:ind w:left="1500" w:hanging="259"/>
        <w:spacing w:after="0"/>
        <w:tabs>
          <w:tab w:leader="none" w:pos="1500" w:val="left"/>
        </w:tabs>
        <w:numPr>
          <w:ilvl w:val="2"/>
          <w:numId w:val="86"/>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Board of Directors;</w:t>
      </w:r>
    </w:p>
    <w:p>
      <w:pPr>
        <w:spacing w:after="0" w:line="117" w:lineRule="exact"/>
        <w:rPr>
          <w:rFonts w:ascii="Arial" w:cs="Arial" w:eastAsia="Arial" w:hAnsi="Arial"/>
          <w:sz w:val="18"/>
          <w:szCs w:val="18"/>
          <w:color w:val="auto"/>
        </w:rPr>
      </w:pPr>
    </w:p>
    <w:p>
      <w:pPr>
        <w:ind w:left="820" w:right="580" w:firstLine="421"/>
        <w:spacing w:after="0" w:line="277" w:lineRule="auto"/>
        <w:tabs>
          <w:tab w:leader="none" w:pos="1545" w:val="left"/>
        </w:tabs>
        <w:numPr>
          <w:ilvl w:val="2"/>
          <w:numId w:val="86"/>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which does or could result in material harm to Employer or to Employer’s reputation;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40" w:top="274" w:right="319" w:bottom="1440" w:gutter="0" w:footer="0" w:header="0"/>
        </w:sectPr>
      </w:pPr>
    </w:p>
    <w:bookmarkStart w:id="170" w:name="page171"/>
    <w:bookmarkEnd w:id="17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 Employee’s material violation of a statutory or common law duty of loyalty or fiduciary duty to Employer,</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herein.</w:t>
      </w:r>
    </w:p>
    <w:p>
      <w:pPr>
        <w:spacing w:after="0" w:line="58" w:lineRule="exact"/>
        <w:rPr>
          <w:sz w:val="20"/>
          <w:szCs w:val="20"/>
          <w:color w:val="auto"/>
        </w:rPr>
      </w:pPr>
    </w:p>
    <w:p>
      <w:pPr>
        <w:ind w:left="680" w:hanging="237"/>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 means the occurrence, after the Effective Date, of any of the following events:</w:t>
      </w:r>
    </w:p>
    <w:p>
      <w:pPr>
        <w:spacing w:after="0" w:line="121" w:lineRule="exact"/>
        <w:rPr>
          <w:rFonts w:ascii="Arial" w:cs="Arial" w:eastAsia="Arial" w:hAnsi="Arial"/>
          <w:sz w:val="18"/>
          <w:szCs w:val="18"/>
          <w:color w:val="auto"/>
        </w:rPr>
      </w:pPr>
    </w:p>
    <w:p>
      <w:pPr>
        <w:ind w:left="460" w:right="140" w:firstLine="421"/>
        <w:spacing w:after="0" w:line="257" w:lineRule="auto"/>
        <w:tabs>
          <w:tab w:leader="none" w:pos="10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Employer, or of any entity resulting from a merger or consolidation involving Employer, representing more than fifty percent (50%) of the combined voting power of the then outstanding securities of Employer or such entity;</w:t>
      </w:r>
    </w:p>
    <w:p>
      <w:pPr>
        <w:spacing w:after="0" w:line="80" w:lineRule="exact"/>
        <w:rPr>
          <w:rFonts w:ascii="Arial" w:cs="Arial" w:eastAsia="Arial" w:hAnsi="Arial"/>
          <w:sz w:val="18"/>
          <w:szCs w:val="18"/>
          <w:color w:val="auto"/>
        </w:rPr>
      </w:pPr>
    </w:p>
    <w:p>
      <w:pPr>
        <w:ind w:left="460" w:right="40" w:firstLine="421"/>
        <w:spacing w:after="0" w:line="271" w:lineRule="auto"/>
        <w:tabs>
          <w:tab w:leader="none" w:pos="1145"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individuals who, as of the Effective Date, are members of Employer’s Board of Directors (the “</w:t>
      </w:r>
      <w:r>
        <w:rPr>
          <w:rFonts w:ascii="Arial" w:cs="Arial" w:eastAsia="Arial" w:hAnsi="Arial"/>
          <w:sz w:val="17"/>
          <w:szCs w:val="17"/>
          <w:u w:val="single" w:color="auto"/>
          <w:color w:val="auto"/>
        </w:rPr>
        <w:t>Existing Directors</w:t>
      </w:r>
      <w:r>
        <w:rPr>
          <w:rFonts w:ascii="Arial" w:cs="Arial" w:eastAsia="Arial" w:hAnsi="Arial"/>
          <w:sz w:val="17"/>
          <w:szCs w:val="17"/>
          <w:color w:val="auto"/>
        </w:rPr>
        <w:t xml:space="preserve">”) cease, for any reason, to constitute more than fifty percent (50%) of the number of authorized directors of Employer as determined in the manner prescribed in Employer’s Articles of Incorporation and Bylaws;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if the election, or nomination for election, by Employer’s stockholders of any new director was approved by a vote of at least fifty percent (50%) of the Existing Directors, such new director shall be considered an Existing Director; </w:t>
      </w:r>
      <w:r>
        <w:rPr>
          <w:rFonts w:ascii="Arial" w:cs="Arial" w:eastAsia="Arial" w:hAnsi="Arial"/>
          <w:sz w:val="17"/>
          <w:szCs w:val="17"/>
          <w:i w:val="1"/>
          <w:iCs w:val="1"/>
          <w:u w:val="single" w:color="auto"/>
          <w:color w:val="auto"/>
        </w:rPr>
        <w:t>provided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70" w:lineRule="exact"/>
        <w:rPr>
          <w:rFonts w:ascii="Arial" w:cs="Arial" w:eastAsia="Arial" w:hAnsi="Arial"/>
          <w:sz w:val="17"/>
          <w:szCs w:val="17"/>
          <w:color w:val="auto"/>
        </w:rPr>
      </w:pPr>
    </w:p>
    <w:p>
      <w:pPr>
        <w:ind w:left="460" w:firstLine="421"/>
        <w:spacing w:after="0" w:line="342" w:lineRule="auto"/>
        <w:tabs>
          <w:tab w:leader="none" w:pos="1195"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consummation of (x) a merger, consolidation or reorganization to which Employer is a party, whether or not Employer is the Person surviving or resulting therefrom, or (y) a sale, assignment, lease, conveyance or other disposition of all or substantially all of the assets of</w:t>
      </w:r>
    </w:p>
    <w:p>
      <w:pPr>
        <w:spacing w:after="0" w:line="5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171" w:name="page172"/>
    <w:bookmarkEnd w:id="171"/>
    <w:p>
      <w:pPr>
        <w:ind w:left="4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Employer, in one transaction or a series of related transactions, to any Person other than Employer,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 such Transaction shall constitute a “Change in Control” under this subparagraph (iii) if the 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69" w:lineRule="exact"/>
        <w:rPr>
          <w:sz w:val="20"/>
          <w:szCs w:val="20"/>
          <w:color w:val="auto"/>
        </w:rPr>
      </w:pPr>
    </w:p>
    <w:p>
      <w:pPr>
        <w:ind w:right="340" w:firstLine="443"/>
        <w:spacing w:after="0" w:line="282" w:lineRule="auto"/>
        <w:tabs>
          <w:tab w:leader="none" w:pos="693"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color w:val="auto"/>
        </w:rPr>
        <w:t>” - means the inability of Employee, due to illness or accident or other mental or physical incapacity, to perform his obligations under this Agreement for a period as defined by Employer’s disability plan or plans.</w:t>
      </w:r>
    </w:p>
    <w:p>
      <w:pPr>
        <w:spacing w:after="0" w:line="53" w:lineRule="exact"/>
        <w:rPr>
          <w:rFonts w:ascii="Arial" w:cs="Arial" w:eastAsia="Arial" w:hAnsi="Arial"/>
          <w:sz w:val="18"/>
          <w:szCs w:val="18"/>
          <w:color w:val="auto"/>
        </w:rPr>
      </w:pPr>
    </w:p>
    <w:p>
      <w:pPr>
        <w:ind w:right="40" w:firstLine="443"/>
        <w:spacing w:after="0" w:line="274" w:lineRule="auto"/>
        <w:tabs>
          <w:tab w:leader="none" w:pos="683" w:val="left"/>
        </w:tabs>
        <w:numPr>
          <w:ilvl w:val="0"/>
          <w:numId w:val="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Confidential Information</w:t>
      </w:r>
      <w:r>
        <w:rPr>
          <w:rFonts w:ascii="Arial" w:cs="Arial" w:eastAsia="Arial" w:hAnsi="Arial"/>
          <w:sz w:val="17"/>
          <w:szCs w:val="17"/>
          <w:color w:val="auto"/>
        </w:rPr>
        <w:t>” -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72" w:name="page173"/>
    <w:bookmarkEnd w:id="172"/>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60" w:lineRule="exact"/>
        <w:rPr>
          <w:sz w:val="20"/>
          <w:szCs w:val="20"/>
          <w:color w:val="auto"/>
        </w:rPr>
      </w:pPr>
    </w:p>
    <w:p>
      <w:pPr>
        <w:ind w:left="660" w:hanging="217"/>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August 1, 2005.</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“Original Hire Date</w:t>
      </w:r>
      <w:r>
        <w:rPr>
          <w:rFonts w:ascii="Arial" w:cs="Arial" w:eastAsia="Arial" w:hAnsi="Arial"/>
          <w:sz w:val="18"/>
          <w:szCs w:val="18"/>
          <w:color w:val="auto"/>
        </w:rPr>
        <w:t>” – means November 1, 2000.</w:t>
      </w:r>
    </w:p>
    <w:p>
      <w:pPr>
        <w:spacing w:after="0" w:line="117" w:lineRule="exact"/>
        <w:rPr>
          <w:rFonts w:ascii="Arial" w:cs="Arial" w:eastAsia="Arial" w:hAnsi="Arial"/>
          <w:sz w:val="18"/>
          <w:szCs w:val="18"/>
          <w:color w:val="auto"/>
        </w:rPr>
      </w:pPr>
    </w:p>
    <w:p>
      <w:pPr>
        <w:ind w:right="120" w:firstLine="443"/>
        <w:spacing w:after="0" w:line="266" w:lineRule="auto"/>
        <w:tabs>
          <w:tab w:leader="none" w:pos="693"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72" w:lineRule="exact"/>
        <w:rPr>
          <w:rFonts w:ascii="Arial" w:cs="Arial" w:eastAsia="Arial" w:hAnsi="Arial"/>
          <w:sz w:val="18"/>
          <w:szCs w:val="18"/>
          <w:color w:val="auto"/>
        </w:rPr>
      </w:pPr>
    </w:p>
    <w:p>
      <w:pPr>
        <w:ind w:left="1100" w:hanging="219"/>
        <w:spacing w:after="0"/>
        <w:tabs>
          <w:tab w:leader="none" w:pos="11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Subparagraph 8(a) below);</w:t>
      </w:r>
    </w:p>
    <w:p>
      <w:pPr>
        <w:spacing w:after="0" w:line="117" w:lineRule="exact"/>
        <w:rPr>
          <w:rFonts w:ascii="Arial" w:cs="Arial" w:eastAsia="Arial" w:hAnsi="Arial"/>
          <w:sz w:val="18"/>
          <w:szCs w:val="18"/>
          <w:color w:val="auto"/>
        </w:rPr>
      </w:pPr>
    </w:p>
    <w:p>
      <w:pPr>
        <w:ind w:left="460" w:right="60" w:firstLine="421"/>
        <w:spacing w:after="0" w:line="312" w:lineRule="auto"/>
        <w:tabs>
          <w:tab w:leader="none" w:pos="1145" w:val="left"/>
        </w:tabs>
        <w:numPr>
          <w:ilvl w:val="1"/>
          <w:numId w:val="89"/>
        </w:numPr>
        <w:rPr>
          <w:rFonts w:ascii="Arial" w:cs="Arial" w:eastAsia="Arial" w:hAnsi="Arial"/>
          <w:sz w:val="16"/>
          <w:szCs w:val="16"/>
          <w:color w:val="auto"/>
        </w:rPr>
      </w:pPr>
      <w:r>
        <w:rPr>
          <w:rFonts w:ascii="Arial" w:cs="Arial" w:eastAsia="Arial" w:hAnsi="Arial"/>
          <w:sz w:val="16"/>
          <w:szCs w:val="16"/>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38" w:lineRule="exact"/>
        <w:rPr>
          <w:rFonts w:ascii="Arial" w:cs="Arial" w:eastAsia="Arial" w:hAnsi="Arial"/>
          <w:sz w:val="16"/>
          <w:szCs w:val="16"/>
          <w:color w:val="auto"/>
        </w:rPr>
      </w:pPr>
    </w:p>
    <w:p>
      <w:pPr>
        <w:ind w:left="460" w:right="260" w:firstLine="421"/>
        <w:spacing w:after="0" w:line="277" w:lineRule="auto"/>
        <w:tabs>
          <w:tab w:leader="none" w:pos="1195" w:val="left"/>
        </w:tabs>
        <w:numPr>
          <w:ilvl w:val="1"/>
          <w:numId w:val="89"/>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and perquisites to Employee from those being provided immediately before the Change in Control;</w:t>
      </w:r>
    </w:p>
    <w:p>
      <w:pPr>
        <w:spacing w:after="0" w:line="62" w:lineRule="exact"/>
        <w:rPr>
          <w:rFonts w:ascii="Arial" w:cs="Arial" w:eastAsia="Arial" w:hAnsi="Arial"/>
          <w:sz w:val="18"/>
          <w:szCs w:val="18"/>
          <w:color w:val="auto"/>
        </w:rPr>
      </w:pPr>
    </w:p>
    <w:p>
      <w:pPr>
        <w:ind w:left="460" w:firstLine="421"/>
        <w:spacing w:after="0" w:line="308" w:lineRule="auto"/>
        <w:tabs>
          <w:tab w:leader="none" w:pos="1185" w:val="left"/>
        </w:tabs>
        <w:numPr>
          <w:ilvl w:val="1"/>
          <w:numId w:val="89"/>
        </w:numPr>
        <w:rPr>
          <w:rFonts w:ascii="Arial" w:cs="Arial" w:eastAsia="Arial" w:hAnsi="Arial"/>
          <w:sz w:val="17"/>
          <w:szCs w:val="17"/>
          <w:color w:val="auto"/>
        </w:rPr>
      </w:pPr>
      <w:r>
        <w:rPr>
          <w:rFonts w:ascii="Arial" w:cs="Arial" w:eastAsia="Arial" w:hAnsi="Arial"/>
          <w:sz w:val="17"/>
          <w:szCs w:val="17"/>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38" w:lineRule="exact"/>
        <w:rPr>
          <w:rFonts w:ascii="Arial" w:cs="Arial" w:eastAsia="Arial" w:hAnsi="Arial"/>
          <w:sz w:val="17"/>
          <w:szCs w:val="17"/>
          <w:color w:val="auto"/>
        </w:rPr>
      </w:pPr>
    </w:p>
    <w:p>
      <w:pPr>
        <w:ind w:left="460" w:right="620" w:firstLine="421"/>
        <w:spacing w:after="0" w:line="277" w:lineRule="auto"/>
        <w:tabs>
          <w:tab w:leader="none" w:pos="1135" w:val="left"/>
        </w:tabs>
        <w:numPr>
          <w:ilvl w:val="1"/>
          <w:numId w:val="89"/>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74" w:right="279" w:bottom="1440" w:gutter="0" w:footer="0" w:header="0"/>
        </w:sectPr>
      </w:pPr>
    </w:p>
    <w:bookmarkStart w:id="173" w:name="page174"/>
    <w:bookmarkEnd w:id="173"/>
    <w:p>
      <w:pPr>
        <w:ind w:left="13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 the successor to Employer fails or refuses expressly to assume in writing the obligations of Employer under this Agreement.</w:t>
      </w:r>
    </w:p>
    <w:p>
      <w:pPr>
        <w:spacing w:after="0" w:line="129" w:lineRule="exact"/>
        <w:rPr>
          <w:sz w:val="20"/>
          <w:szCs w:val="20"/>
          <w:color w:val="auto"/>
        </w:rPr>
      </w:pPr>
    </w:p>
    <w:p>
      <w:pPr>
        <w:ind w:left="440" w:right="740"/>
        <w:spacing w:after="0" w:line="277"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58" w:lineRule="exact"/>
        <w:rPr>
          <w:sz w:val="20"/>
          <w:szCs w:val="20"/>
          <w:color w:val="auto"/>
        </w:rPr>
      </w:pPr>
    </w:p>
    <w:p>
      <w:pPr>
        <w:ind w:left="440" w:right="20" w:firstLine="443"/>
        <w:spacing w:after="0" w:line="303" w:lineRule="auto"/>
        <w:tabs>
          <w:tab w:leader="none" w:pos="1093" w:val="left"/>
        </w:tabs>
        <w:numPr>
          <w:ilvl w:val="1"/>
          <w:numId w:val="90"/>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Separation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means a lump sum equal to (A) Employee’s Base Salary (as defined in Subparagraph 8(a) of this Agreement)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remainder of the Term, but not less than one (1) year of Base Salary, plus (B) the bonus that was paid to Employee under Subparagraph 8(b) for the preceding bonus period, projected over the remainder of the Term (but not less than the preceding bonus that was paid), plus (C) any accrued but unpaid vacation pay, plus (D) any Gross-Up Payment required by Exhibit 1 to this Agreement, which is incorporated herein by reference.</w:t>
      </w:r>
    </w:p>
    <w:p>
      <w:pPr>
        <w:spacing w:after="0" w:line="43" w:lineRule="exact"/>
        <w:rPr>
          <w:rFonts w:ascii="Arial" w:cs="Arial" w:eastAsia="Arial" w:hAnsi="Arial"/>
          <w:sz w:val="16"/>
          <w:szCs w:val="16"/>
          <w:color w:val="auto"/>
        </w:rPr>
      </w:pPr>
    </w:p>
    <w:p>
      <w:pPr>
        <w:ind w:left="440" w:firstLine="443"/>
        <w:spacing w:after="0" w:line="258" w:lineRule="auto"/>
        <w:tabs>
          <w:tab w:leader="none" w:pos="1093"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Trade Secrets</w:t>
      </w:r>
      <w:r>
        <w:rPr>
          <w:rFonts w:ascii="Arial" w:cs="Arial" w:eastAsia="Arial" w:hAnsi="Arial"/>
          <w:sz w:val="18"/>
          <w:szCs w:val="18"/>
          <w:color w:val="auto"/>
        </w:rPr>
        <w:t>”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75" w:lineRule="exact"/>
        <w:rPr>
          <w:rFonts w:ascii="Arial" w:cs="Arial" w:eastAsia="Arial" w:hAnsi="Arial"/>
          <w:sz w:val="18"/>
          <w:szCs w:val="18"/>
          <w:color w:val="auto"/>
        </w:rPr>
      </w:pPr>
    </w:p>
    <w:p>
      <w:pPr>
        <w:ind w:left="440" w:right="240" w:firstLine="443"/>
        <w:spacing w:after="0" w:line="277" w:lineRule="auto"/>
        <w:tabs>
          <w:tab w:leader="none" w:pos="1133" w:val="left"/>
        </w:tabs>
        <w:numPr>
          <w:ilvl w:val="1"/>
          <w:numId w:val="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Work of Authorship</w:t>
      </w:r>
      <w:r>
        <w:rPr>
          <w:rFonts w:ascii="Arial" w:cs="Arial" w:eastAsia="Arial" w:hAnsi="Arial"/>
          <w:sz w:val="17"/>
          <w:szCs w:val="17"/>
          <w:color w:val="auto"/>
        </w:rPr>
        <w:t>” -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280" w:lineRule="exact"/>
        <w:rPr>
          <w:rFonts w:ascii="Arial" w:cs="Arial" w:eastAsia="Arial" w:hAnsi="Arial"/>
          <w:sz w:val="17"/>
          <w:szCs w:val="17"/>
          <w:color w:val="auto"/>
        </w:rPr>
      </w:pPr>
    </w:p>
    <w:p>
      <w:pPr>
        <w:jc w:val="both"/>
        <w:ind w:left="-20" w:right="360" w:firstLine="464"/>
        <w:spacing w:after="0" w:line="264" w:lineRule="auto"/>
        <w:tabs>
          <w:tab w:leader="none" w:pos="616"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PRIOR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supersedes and replaces any and all prior employment agreements, change in control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plans or agreements, whether written or oral, by and between Employee, on the one side, and Employer or any of Employer’s Affiliates, on the other side, or under which Employee is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174" w:name="page175"/>
    <w:bookmarkEnd w:id="174"/>
    <w:p>
      <w:pPr>
        <w:jc w:val="both"/>
        <w:ind w:right="6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with the exception of any agreement pertaining to the issuance of stock options or restricted stock to Employee by Employer or any of its Affiliates. From and after the Effective Date, Employee and Employer agree that the Prior Agreement shall be terminated and Employee shall be the employee of Employer under the terms and pursuant to the conditions set forth in this Agreement.</w:t>
      </w:r>
    </w:p>
    <w:p>
      <w:pPr>
        <w:spacing w:after="0" w:line="274" w:lineRule="exact"/>
        <w:rPr>
          <w:sz w:val="20"/>
          <w:szCs w:val="20"/>
          <w:color w:val="auto"/>
        </w:rPr>
      </w:pPr>
    </w:p>
    <w:p>
      <w:pPr>
        <w:ind w:right="140" w:firstLine="464"/>
        <w:spacing w:after="0" w:line="257" w:lineRule="auto"/>
        <w:tabs>
          <w:tab w:leader="none" w:pos="636"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BASIC EMPLOYMENT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terms and pursuant to the conditions hereinafter set forth, Employer hereby employs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during the Term hereinafter specified to serve in a managerial or executive capacity, under a title and with such duties not inconsistent with those set forth in Paragraph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w:t>
      </w:r>
    </w:p>
    <w:p>
      <w:pPr>
        <w:spacing w:after="0" w:line="296" w:lineRule="exact"/>
        <w:rPr>
          <w:rFonts w:ascii="Arial" w:cs="Arial" w:eastAsia="Arial" w:hAnsi="Arial"/>
          <w:sz w:val="18"/>
          <w:szCs w:val="18"/>
          <w:b w:val="1"/>
          <w:bCs w:val="1"/>
          <w:i w:val="1"/>
          <w:iCs w:val="1"/>
          <w:color w:val="auto"/>
        </w:rPr>
      </w:pPr>
    </w:p>
    <w:p>
      <w:pPr>
        <w:ind w:firstLine="464"/>
        <w:spacing w:after="0" w:line="269" w:lineRule="auto"/>
        <w:tabs>
          <w:tab w:leader="none" w:pos="636" w:val="left"/>
        </w:tabs>
        <w:numPr>
          <w:ilvl w:val="0"/>
          <w:numId w:val="9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DUTIES OF EMPLOYEE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shall perform such duties assigned to Employee by Employer as are generally associated with the duties of</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 xml:space="preserve">Executive Vice President - Chief Financial Officer </w:t>
      </w:r>
      <w:r>
        <w:rPr>
          <w:rFonts w:ascii="Arial" w:cs="Arial" w:eastAsia="Arial" w:hAnsi="Arial"/>
          <w:sz w:val="17"/>
          <w:szCs w:val="17"/>
          <w:color w:val="auto"/>
        </w:rPr>
        <w:t>of Employer or such similar duties as may be assigned to Employee by Employer as Employer may</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 including, but not limited to (a) the efficient and continuous operation of Employer and Employer’s Affiliates, (b) the preparation of relevant budgets and allocation or relevant funds, (c) conducting a search for an individual qualified to assume the duties of the chief financial officer of the Company as may be directed by management or Employer’s Board of Director, and to educate such individual about Employee’s duties and Employer’s operations (following the selection of such qualified individual, Employee shall assume such other title and responsibilities as may be assigned by Employer; provided that such title and responsibilities shall be commensurate with Employee’s professional status and shall be based in Las Vegas, Nevada), (d) the selection and delegation of duties and responsibilities of subordinates, (e) the direction, review and oversight of all programs and projects under Employee’s supervision, and (f) such other and further related duties as specifically assigned by Employer to Employee. The foregoing notwithstanding, Employee shall devote such time to Employer’s Affiliates as may be required by Employer, provided such duties are not inconsistent with Employee’s primary duties to Employer hereunder.</w:t>
      </w:r>
    </w:p>
    <w:p>
      <w:pPr>
        <w:spacing w:after="0" w:line="291" w:lineRule="exact"/>
        <w:rPr>
          <w:rFonts w:ascii="Arial" w:cs="Arial" w:eastAsia="Arial" w:hAnsi="Arial"/>
          <w:sz w:val="17"/>
          <w:szCs w:val="17"/>
          <w:b w:val="1"/>
          <w:bCs w:val="1"/>
          <w:i w:val="1"/>
          <w:iCs w:val="1"/>
          <w:color w:val="auto"/>
        </w:rPr>
      </w:pPr>
    </w:p>
    <w:p>
      <w:pPr>
        <w:ind w:right="40" w:firstLine="464"/>
        <w:spacing w:after="0" w:line="257" w:lineRule="auto"/>
        <w:tabs>
          <w:tab w:leader="none" w:pos="636"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ACCEPTANCE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hereby unconditionally accepts the employment set forth hereunder, under the terms and pursuant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292" w:lineRule="exact"/>
        <w:rPr>
          <w:rFonts w:ascii="Arial" w:cs="Arial" w:eastAsia="Arial" w:hAnsi="Arial"/>
          <w:sz w:val="18"/>
          <w:szCs w:val="18"/>
          <w:b w:val="1"/>
          <w:bCs w:val="1"/>
          <w:i w:val="1"/>
          <w:iCs w:val="1"/>
          <w:color w:val="auto"/>
        </w:rPr>
      </w:pPr>
    </w:p>
    <w:p>
      <w:pPr>
        <w:ind w:right="240" w:firstLine="464"/>
        <w:spacing w:after="0" w:line="282" w:lineRule="auto"/>
        <w:tabs>
          <w:tab w:leader="none" w:pos="636"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commence on the Effective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terminate at the end of the day on August 1, 2008. Following the Term, unless the parties enter into a</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175" w:name="page176"/>
    <w:bookmarkEnd w:id="17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289" w:lineRule="exact"/>
        <w:rPr>
          <w:sz w:val="20"/>
          <w:szCs w:val="20"/>
          <w:color w:val="auto"/>
        </w:rPr>
      </w:pPr>
    </w:p>
    <w:p>
      <w:pPr>
        <w:ind w:right="60" w:firstLine="464"/>
        <w:spacing w:after="0" w:line="277" w:lineRule="auto"/>
        <w:tabs>
          <w:tab w:leader="none" w:pos="636"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provisions of Paragraph 6 of this Agreement, this Agreement shall terminate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occurrence of any of the following events:</w:t>
      </w:r>
    </w:p>
    <w:p>
      <w:pPr>
        <w:spacing w:after="0" w:line="62" w:lineRule="exact"/>
        <w:rPr>
          <w:rFonts w:ascii="Arial" w:cs="Arial" w:eastAsia="Arial" w:hAnsi="Arial"/>
          <w:sz w:val="18"/>
          <w:szCs w:val="18"/>
          <w:b w:val="1"/>
          <w:bCs w:val="1"/>
          <w:i w:val="1"/>
          <w:iCs w:val="1"/>
          <w:color w:val="auto"/>
        </w:rPr>
      </w:pPr>
    </w:p>
    <w:p>
      <w:pPr>
        <w:ind w:left="1140" w:hanging="237"/>
        <w:spacing w:after="0"/>
        <w:tabs>
          <w:tab w:leader="none" w:pos="1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the giving of written notice from Employer to Employee of the termination of this Agreement upon the Complete Disability of Employee;</w:t>
      </w:r>
    </w:p>
    <w:p>
      <w:pPr>
        <w:spacing w:after="0" w:line="128" w:lineRule="exact"/>
        <w:rPr>
          <w:rFonts w:ascii="Arial" w:cs="Arial" w:eastAsia="Arial" w:hAnsi="Arial"/>
          <w:sz w:val="17"/>
          <w:szCs w:val="17"/>
          <w:color w:val="auto"/>
        </w:rPr>
      </w:pPr>
    </w:p>
    <w:p>
      <w:pPr>
        <w:ind w:left="1140" w:hanging="237"/>
        <w:spacing w:after="0"/>
        <w:tabs>
          <w:tab w:leader="none" w:pos="11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the giving of written notice by Employer to Employee of the termination of this Agreement upon the discharge of Employee for Cause;</w:t>
      </w:r>
    </w:p>
    <w:p>
      <w:pPr>
        <w:spacing w:after="0" w:line="128" w:lineRule="exact"/>
        <w:rPr>
          <w:rFonts w:ascii="Arial" w:cs="Arial" w:eastAsia="Arial" w:hAnsi="Arial"/>
          <w:sz w:val="17"/>
          <w:szCs w:val="17"/>
          <w:color w:val="auto"/>
        </w:rPr>
      </w:pPr>
    </w:p>
    <w:p>
      <w:pPr>
        <w:ind w:left="460" w:right="220" w:firstLine="443"/>
        <w:spacing w:after="0" w:line="277" w:lineRule="auto"/>
        <w:tabs>
          <w:tab w:leader="none" w:pos="1153"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following a denial or revocation of Employee’s License (as defined in Subparagraph 9(b) of this Agreement).</w:t>
      </w:r>
    </w:p>
    <w:p>
      <w:pPr>
        <w:spacing w:after="0" w:line="62" w:lineRule="exact"/>
        <w:rPr>
          <w:rFonts w:ascii="Arial" w:cs="Arial" w:eastAsia="Arial" w:hAnsi="Arial"/>
          <w:sz w:val="18"/>
          <w:szCs w:val="18"/>
          <w:color w:val="auto"/>
        </w:rPr>
      </w:pPr>
    </w:p>
    <w:p>
      <w:pPr>
        <w:ind w:left="460" w:firstLine="443"/>
        <w:spacing w:after="0" w:line="277" w:lineRule="auto"/>
        <w:tabs>
          <w:tab w:leader="none" w:pos="1143"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Employer to Employee of the termination of this Agreement without Cause,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that, within ten (10) calendar days after such notice, Employer must tender the Separation Payment to Employee;</w:t>
      </w:r>
    </w:p>
    <w:p>
      <w:pPr>
        <w:spacing w:after="0" w:line="62" w:lineRule="exact"/>
        <w:rPr>
          <w:rFonts w:ascii="Arial" w:cs="Arial" w:eastAsia="Arial" w:hAnsi="Arial"/>
          <w:sz w:val="18"/>
          <w:szCs w:val="18"/>
          <w:color w:val="auto"/>
        </w:rPr>
      </w:pPr>
    </w:p>
    <w:p>
      <w:pPr>
        <w:ind w:left="460" w:right="80" w:firstLine="443"/>
        <w:spacing w:after="0" w:line="264" w:lineRule="auto"/>
        <w:tabs>
          <w:tab w:leader="none" w:pos="1123"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that, within ten (10) days after the expiration of such cure period without the cure having been effected, Employer must tender the Separation Payment to Employee; or</w:t>
      </w:r>
    </w:p>
    <w:p>
      <w:pPr>
        <w:spacing w:after="0" w:line="73" w:lineRule="exact"/>
        <w:rPr>
          <w:rFonts w:ascii="Arial" w:cs="Arial" w:eastAsia="Arial" w:hAnsi="Arial"/>
          <w:sz w:val="18"/>
          <w:szCs w:val="18"/>
          <w:color w:val="auto"/>
        </w:rPr>
      </w:pPr>
    </w:p>
    <w:p>
      <w:pPr>
        <w:ind w:left="460" w:right="100" w:firstLine="443"/>
        <w:spacing w:after="0" w:line="264" w:lineRule="auto"/>
        <w:tabs>
          <w:tab w:leader="none" w:pos="1153"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at Employee’s sole election in writing as provided in Paragraph 17 of this Agreement, after both a Change of Control and as a result of Good Reason,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that, within ten (10) calendar days after Employer’s receipt of Employee’s written election, Employer must tender the Separation Payment to Employee.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event of a termination of this Agreement pursuant to the provisions of Subparagraph 7(a), (b), (c) or (d), Employer shall not be required to make any payments to Employee other than payment of Base Salary and vacation pay accrued but unpaid through the termination date. In the event of a termination of this Agreement pursuant to the provisions of Subparagraph (e), (f) or (g), Employee will also be entitled to receive health benefits coverage for Employee and Employee’s dependents under the same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76" w:name="page177"/>
    <w:bookmarkEnd w:id="176"/>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7 shall continue until the earlier of (x) the expiration of the period for which the Separation Payment is paid, (y) the date Employee becomes covered under any other group health plan not maintained by Employer or any of its Affiliates;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such other group health plan excludes any pre-existing condition that Employee or Employee’s dependents may have when coverage under</w:t>
      </w:r>
      <w:r>
        <w:rPr>
          <w:rFonts w:ascii="Arial" w:cs="Arial" w:eastAsia="Arial" w:hAnsi="Arial"/>
          <w:sz w:val="16"/>
          <w:szCs w:val="16"/>
          <w:i w:val="1"/>
          <w:iCs w:val="1"/>
          <w:color w:val="auto"/>
        </w:rPr>
        <w:t xml:space="preserve"> </w:t>
      </w:r>
      <w:r>
        <w:rPr>
          <w:rFonts w:ascii="Arial" w:cs="Arial" w:eastAsia="Arial" w:hAnsi="Arial"/>
          <w:sz w:val="16"/>
          <w:szCs w:val="16"/>
          <w:color w:val="auto"/>
        </w:rPr>
        <w:t>such group health plan would otherwise begin, coverage under this Paragraph 7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7, the obligations of Employer and its Affiliates under this Paragraph 7 shall be conditioned upon Employee’s timely making such an election. In the event of a termination of this Agreement pursuant to any of the provisions of this Paragraph 7, Employee shall not be entitled to any benefits pursuant to any severance plan in effect by Employer or any of Employer’s Affiliates.</w:t>
      </w:r>
    </w:p>
    <w:p>
      <w:pPr>
        <w:spacing w:after="0" w:line="277" w:lineRule="exact"/>
        <w:rPr>
          <w:sz w:val="20"/>
          <w:szCs w:val="20"/>
          <w:color w:val="auto"/>
        </w:rPr>
      </w:pPr>
    </w:p>
    <w:p>
      <w:pPr>
        <w:ind w:right="260" w:firstLine="464"/>
        <w:spacing w:after="0" w:line="264" w:lineRule="auto"/>
        <w:tabs>
          <w:tab w:leader="none" w:pos="636"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Employer hereby covenants and agrees to pay to Employee, and Employee hereby covenants and agrees to accept from Employer, the following items of compensation:</w:t>
      </w:r>
    </w:p>
    <w:p>
      <w:pPr>
        <w:spacing w:after="0" w:line="69" w:lineRule="exact"/>
        <w:rPr>
          <w:rFonts w:ascii="Arial" w:cs="Arial" w:eastAsia="Arial" w:hAnsi="Arial"/>
          <w:sz w:val="18"/>
          <w:szCs w:val="18"/>
          <w:b w:val="1"/>
          <w:bCs w:val="1"/>
          <w:i w:val="1"/>
          <w:iCs w:val="1"/>
          <w:color w:val="auto"/>
        </w:rPr>
      </w:pPr>
    </w:p>
    <w:p>
      <w:pPr>
        <w:ind w:left="460" w:firstLine="443"/>
        <w:spacing w:after="0" w:line="274" w:lineRule="auto"/>
        <w:tabs>
          <w:tab w:leader="none" w:pos="1143" w:val="left"/>
        </w:tabs>
        <w:numPr>
          <w:ilvl w:val="1"/>
          <w:numId w:val="94"/>
        </w:numPr>
        <w:rPr>
          <w:rFonts w:ascii="Arial" w:cs="Arial" w:eastAsia="Arial" w:hAnsi="Arial"/>
          <w:sz w:val="17"/>
          <w:szCs w:val="17"/>
          <w:color w:val="auto"/>
        </w:rPr>
      </w:pPr>
      <w:r>
        <w:rPr>
          <w:rFonts w:ascii="Arial" w:cs="Arial" w:eastAsia="Arial" w:hAnsi="Arial"/>
          <w:sz w:val="17"/>
          <w:szCs w:val="17"/>
          <w:b w:val="1"/>
          <w:bCs w:val="1"/>
          <w:u w:val="single" w:color="auto"/>
          <w:color w:val="auto"/>
        </w:rPr>
        <w:t>BASE SALARY</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hereby covenants and agrees to pay to Employee, and Employee hereby covenants and agrees to accept from</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a base salary at the rate of Six Hundred Thousand Dollars ($600,000.00) per annum during the Term, payable in such weekly, bi-weekly or semi-monthly installments as shall be convenient to Employer (the “</w:t>
      </w:r>
      <w:r>
        <w:rPr>
          <w:rFonts w:ascii="Arial" w:cs="Arial" w:eastAsia="Arial" w:hAnsi="Arial"/>
          <w:sz w:val="17"/>
          <w:szCs w:val="17"/>
          <w:b w:val="1"/>
          <w:bCs w:val="1"/>
          <w:color w:val="auto"/>
        </w:rPr>
        <w:t>Base Salary</w:t>
      </w:r>
      <w:r>
        <w:rPr>
          <w:rFonts w:ascii="Arial" w:cs="Arial" w:eastAsia="Arial" w:hAnsi="Arial"/>
          <w:sz w:val="17"/>
          <w:szCs w:val="17"/>
          <w:color w:val="auto"/>
        </w:rPr>
        <w:t>”). Employee’s Base Salary shall be exclusive of and in addition to any other benefits which Employer, in its sole discretion, may make available to Employee, including, but not limited to, those benefits described in Subparagraphs 8(b) through (e) of this Agreement. Employee’s Base Salary shall be subject to merit review by Employer’s Board of Directors periodically, and may be increased, but not decreased, as a result of any such review.</w:t>
      </w:r>
    </w:p>
    <w:p>
      <w:pPr>
        <w:spacing w:after="0" w:line="65" w:lineRule="exact"/>
        <w:rPr>
          <w:rFonts w:ascii="Arial" w:cs="Arial" w:eastAsia="Arial" w:hAnsi="Arial"/>
          <w:sz w:val="17"/>
          <w:szCs w:val="17"/>
          <w:color w:val="auto"/>
        </w:rPr>
      </w:pPr>
    </w:p>
    <w:p>
      <w:pPr>
        <w:jc w:val="both"/>
        <w:ind w:left="460" w:right="180" w:firstLine="443"/>
        <w:spacing w:after="0" w:line="289" w:lineRule="auto"/>
        <w:tabs>
          <w:tab w:leader="none" w:pos="1153" w:val="left"/>
        </w:tabs>
        <w:numPr>
          <w:ilvl w:val="1"/>
          <w:numId w:val="94"/>
        </w:numPr>
        <w:rPr>
          <w:rFonts w:ascii="Arial" w:cs="Arial" w:eastAsia="Arial" w:hAnsi="Arial"/>
          <w:sz w:val="17"/>
          <w:szCs w:val="17"/>
          <w:color w:val="auto"/>
        </w:rPr>
      </w:pPr>
      <w:r>
        <w:rPr>
          <w:rFonts w:ascii="Arial" w:cs="Arial" w:eastAsia="Arial" w:hAnsi="Arial"/>
          <w:sz w:val="17"/>
          <w:szCs w:val="17"/>
          <w:b w:val="1"/>
          <w:bCs w:val="1"/>
          <w:u w:val="single" w:color="auto"/>
          <w:color w:val="auto"/>
        </w:rPr>
        <w:t>BONUS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also will be eligible to receive a bonus at such times and in such amounts as Employer’s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in its sole and exclusive discretion, may determine, but in no event shall Employee’s bonus for the fiscal year ended December 31, 2005 be less than Two Hundred Thousand Dollars ($200,000.00). For fiscal year 2006 and thereafter, Employee’s bonus shall be determined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77" w:name="page178"/>
    <w:bookmarkEnd w:id="177"/>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the Employer’s Section 162 Performance Based Bonus Plan. Nothing in this Agreement shall limit the Board’s discretion to adopt, amend or terminate any performance-based bonus plan at any time prior to a Change of Control.</w:t>
      </w:r>
    </w:p>
    <w:p>
      <w:pPr>
        <w:spacing w:after="0" w:line="58" w:lineRule="exact"/>
        <w:rPr>
          <w:sz w:val="20"/>
          <w:szCs w:val="20"/>
          <w:color w:val="auto"/>
        </w:rPr>
      </w:pPr>
    </w:p>
    <w:p>
      <w:pPr>
        <w:ind w:firstLine="443"/>
        <w:spacing w:after="0" w:line="271" w:lineRule="auto"/>
        <w:tabs>
          <w:tab w:leader="none" w:pos="683" w:val="left"/>
        </w:tabs>
        <w:numPr>
          <w:ilvl w:val="0"/>
          <w:numId w:val="95"/>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EMPLOYEE BENEFIT PLANS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hereby covenants and agrees that it shall include Employee, if otherwise eligible, in any profit</w:t>
      </w:r>
      <w:r>
        <w:rPr>
          <w:rFonts w:ascii="Arial" w:cs="Arial" w:eastAsia="Arial" w:hAnsi="Arial"/>
          <w:sz w:val="17"/>
          <w:szCs w:val="17"/>
          <w:b w:val="1"/>
          <w:bCs w:val="1"/>
          <w:color w:val="auto"/>
        </w:rPr>
        <w:t xml:space="preserve"> </w:t>
      </w:r>
      <w:r>
        <w:rPr>
          <w:rFonts w:ascii="Arial" w:cs="Arial" w:eastAsia="Arial" w:hAnsi="Arial"/>
          <w:sz w:val="17"/>
          <w:szCs w:val="17"/>
          <w:color w:val="auto"/>
        </w:rPr>
        <w:t>sharing plan, executive stock option plan, pension plan, retirement plan, disability or life insurance plan, medical and/or hospitalization plan, and/or any and all other benefit plans which may be placed in effect by Employer or any of its Affiliates for the benefit of Employer’s executives during the Term. Nothing in this Agreement shall limit (i) Employer’s ability to exercise the discretion provided to it under any such benefit plan, or (ii) Employer’s or its Affiliates’ discretion to adopt, amend or terminate any such benefit plan, at any time prior to a Change of Control. Subject to and effective upon the approval of the Compensation Committee of Wynn Resorts, Limited, Employee shall at the earliest possible time after the Effective Date be granted 50,000 stock options of Wynn Resorts, Limited common stock under the Wynn Resorts, Limited 2002 Stock Incentive Plan. Nothing in this Agreement shall limit Employer’s or any of its Affiliates’ ability to exercise the discretion provided to it under any employee benefit plan, or to adopt, amend or terminate any benefit plan at any time.</w:t>
      </w:r>
    </w:p>
    <w:p>
      <w:pPr>
        <w:spacing w:after="0" w:line="66" w:lineRule="exact"/>
        <w:rPr>
          <w:rFonts w:ascii="Arial" w:cs="Arial" w:eastAsia="Arial" w:hAnsi="Arial"/>
          <w:sz w:val="17"/>
          <w:szCs w:val="17"/>
          <w:color w:val="auto"/>
        </w:rPr>
      </w:pPr>
    </w:p>
    <w:p>
      <w:pPr>
        <w:ind w:right="20" w:firstLine="443"/>
        <w:spacing w:after="0" w:line="274" w:lineRule="auto"/>
        <w:tabs>
          <w:tab w:leader="none" w:pos="693" w:val="left"/>
        </w:tabs>
        <w:numPr>
          <w:ilvl w:val="0"/>
          <w:numId w:val="95"/>
        </w:numPr>
        <w:rPr>
          <w:rFonts w:ascii="Arial" w:cs="Arial" w:eastAsia="Arial" w:hAnsi="Arial"/>
          <w:sz w:val="17"/>
          <w:szCs w:val="17"/>
          <w:color w:val="auto"/>
        </w:rPr>
      </w:pPr>
      <w:r>
        <w:rPr>
          <w:rFonts w:ascii="Arial" w:cs="Arial" w:eastAsia="Arial" w:hAnsi="Arial"/>
          <w:sz w:val="17"/>
          <w:szCs w:val="17"/>
          <w:b w:val="1"/>
          <w:bCs w:val="1"/>
          <w:u w:val="single" w:color="auto"/>
          <w:color w:val="auto"/>
        </w:rPr>
        <w:t>EXPENSE REIMBURSEMENT</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and provided the same are authorized by Employer, Employer shall either pay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and (iv) the like. Prior to reimbursement, Employee shall provide Employer with sufficient detailed invoices of such expenses as may be required by Employer’s expense reimbursement policy.</w:t>
      </w:r>
    </w:p>
    <w:p>
      <w:pPr>
        <w:spacing w:after="0" w:line="65" w:lineRule="exact"/>
        <w:rPr>
          <w:rFonts w:ascii="Arial" w:cs="Arial" w:eastAsia="Arial" w:hAnsi="Arial"/>
          <w:sz w:val="17"/>
          <w:szCs w:val="17"/>
          <w:color w:val="auto"/>
        </w:rPr>
      </w:pPr>
    </w:p>
    <w:p>
      <w:pPr>
        <w:ind w:right="100" w:firstLine="443"/>
        <w:spacing w:after="0" w:line="261" w:lineRule="auto"/>
        <w:tabs>
          <w:tab w:leader="none" w:pos="683"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VACATIONS AND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as of the Effective Date of this Agreement, Employee shall be entitled to (i) annual paid</w:t>
      </w:r>
      <w:r>
        <w:rPr>
          <w:rFonts w:ascii="Arial" w:cs="Arial" w:eastAsia="Arial" w:hAnsi="Arial"/>
          <w:sz w:val="18"/>
          <w:szCs w:val="18"/>
          <w:b w:val="1"/>
          <w:bCs w:val="1"/>
          <w:color w:val="auto"/>
        </w:rPr>
        <w:t xml:space="preserve"> </w:t>
      </w:r>
      <w:r>
        <w:rPr>
          <w:rFonts w:ascii="Arial" w:cs="Arial" w:eastAsia="Arial" w:hAnsi="Arial"/>
          <w:sz w:val="18"/>
          <w:szCs w:val="18"/>
          <w:color w:val="auto"/>
        </w:rPr>
        <w:t>vacation 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71" w:lineRule="exact"/>
        <w:rPr>
          <w:rFonts w:ascii="Arial" w:cs="Arial" w:eastAsia="Arial" w:hAnsi="Arial"/>
          <w:sz w:val="18"/>
          <w:szCs w:val="18"/>
          <w:color w:val="auto"/>
        </w:rPr>
      </w:pPr>
    </w:p>
    <w:p>
      <w:pPr>
        <w:ind w:left="5160" w:right="20" w:hanging="4717"/>
        <w:spacing w:after="0" w:line="45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color w:val="auto"/>
        </w:rPr>
        <w:t>. All compensation to Employee identified in this Paragraph 8 shall be subject to applicable withholdings for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11</w:t>
      </w:r>
    </w:p>
    <w:p>
      <w:pPr>
        <w:sectPr>
          <w:pgSz w:w="11900" w:h="16838" w:orient="portrait"/>
          <w:cols w:equalWidth="0" w:num="1">
            <w:col w:w="10960"/>
          </w:cols>
          <w:pgMar w:left="700" w:top="274" w:right="239" w:bottom="1440" w:gutter="0" w:footer="0" w:header="0"/>
        </w:sectPr>
      </w:pPr>
    </w:p>
    <w:bookmarkStart w:id="178" w:name="page179"/>
    <w:bookmarkEnd w:id="178"/>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local income or other taxes, Social Security Tax, Medicare Tax, State Unemployment Insurance, State Disability Insurance, voluntary charitable contributions and the like.</w:t>
      </w:r>
    </w:p>
    <w:p>
      <w:pPr>
        <w:spacing w:after="0" w:line="58" w:lineRule="exact"/>
        <w:rPr>
          <w:sz w:val="20"/>
          <w:szCs w:val="20"/>
          <w:color w:val="auto"/>
        </w:rPr>
      </w:pPr>
    </w:p>
    <w:p>
      <w:pPr>
        <w:ind w:left="700" w:hanging="257"/>
        <w:spacing w:after="0"/>
        <w:tabs>
          <w:tab w:leader="none" w:pos="700" w:val="left"/>
        </w:tabs>
        <w:numPr>
          <w:ilvl w:val="1"/>
          <w:numId w:val="96"/>
        </w:numPr>
        <w:rPr>
          <w:rFonts w:ascii="Arial" w:cs="Arial" w:eastAsia="Arial" w:hAnsi="Arial"/>
          <w:sz w:val="17"/>
          <w:szCs w:val="17"/>
          <w:color w:val="auto"/>
        </w:rPr>
      </w:pPr>
      <w:r>
        <w:rPr>
          <w:rFonts w:ascii="Arial" w:cs="Arial" w:eastAsia="Arial" w:hAnsi="Arial"/>
          <w:sz w:val="17"/>
          <w:szCs w:val="17"/>
          <w:b w:val="1"/>
          <w:bCs w:val="1"/>
          <w:u w:val="single" w:color="auto"/>
          <w:color w:val="auto"/>
        </w:rPr>
        <w:t>Original Hire Date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Original Hire Date shall be used for determining benefits not otherwise set forth in this Agreement.</w:t>
      </w:r>
    </w:p>
    <w:p>
      <w:pPr>
        <w:spacing w:after="0" w:line="240" w:lineRule="exact"/>
        <w:rPr>
          <w:rFonts w:ascii="Arial" w:cs="Arial" w:eastAsia="Arial" w:hAnsi="Arial"/>
          <w:sz w:val="17"/>
          <w:szCs w:val="17"/>
          <w:color w:val="auto"/>
        </w:rPr>
      </w:pPr>
    </w:p>
    <w:p>
      <w:pPr>
        <w:ind w:left="180" w:hanging="176"/>
        <w:spacing w:after="0"/>
        <w:tabs>
          <w:tab w:leader="none" w:pos="180" w:val="left"/>
        </w:tabs>
        <w:numPr>
          <w:ilvl w:val="0"/>
          <w:numId w:val="9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i w:val="1"/>
          <w:iCs w:val="1"/>
          <w:color w:val="auto"/>
        </w:rPr>
        <w:t>.</w:t>
      </w:r>
    </w:p>
    <w:p>
      <w:pPr>
        <w:spacing w:after="0" w:line="117" w:lineRule="exact"/>
        <w:rPr>
          <w:rFonts w:ascii="Arial" w:cs="Arial" w:eastAsia="Arial" w:hAnsi="Arial"/>
          <w:sz w:val="18"/>
          <w:szCs w:val="18"/>
          <w:b w:val="1"/>
          <w:bCs w:val="1"/>
          <w:i w:val="1"/>
          <w:iCs w:val="1"/>
          <w:color w:val="auto"/>
        </w:rPr>
      </w:pPr>
    </w:p>
    <w:p>
      <w:pPr>
        <w:ind w:right="20" w:firstLine="443"/>
        <w:spacing w:after="0" w:line="255" w:lineRule="auto"/>
        <w:tabs>
          <w:tab w:leader="none" w:pos="683"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Employer and Employee hereby covenant and agree that this Agreement may be subject to the approval of one or more gaming regulatory authorities (the </w:t>
      </w:r>
      <w:r>
        <w:rPr>
          <w:rFonts w:ascii="Arial" w:cs="Arial" w:eastAsia="Arial" w:hAnsi="Arial"/>
          <w:sz w:val="18"/>
          <w:szCs w:val="18"/>
          <w:b w:val="1"/>
          <w:bCs w:val="1"/>
          <w:color w:val="auto"/>
        </w:rPr>
        <w:t>“Gaming Authorities</w:t>
      </w:r>
      <w:r>
        <w:rPr>
          <w:rFonts w:ascii="Arial" w:cs="Arial" w:eastAsia="Arial" w:hAnsi="Arial"/>
          <w:sz w:val="18"/>
          <w:szCs w:val="18"/>
          <w:color w:val="auto"/>
        </w:rPr>
        <w:t xml:space="preserve">”) pursuant to the provisions of the applicable gaming regulatory statutes and the regulations promulgated thereunder (the </w:t>
      </w:r>
      <w:r>
        <w:rPr>
          <w:rFonts w:ascii="Arial" w:cs="Arial" w:eastAsia="Arial" w:hAnsi="Arial"/>
          <w:sz w:val="18"/>
          <w:szCs w:val="18"/>
          <w:b w:val="1"/>
          <w:bCs w:val="1"/>
          <w:color w:val="auto"/>
        </w:rPr>
        <w:t>“Gaming Laws</w:t>
      </w:r>
      <w:r>
        <w:rPr>
          <w:rFonts w:ascii="Arial" w:cs="Arial" w:eastAsia="Arial" w:hAnsi="Arial"/>
          <w:sz w:val="18"/>
          <w:szCs w:val="18"/>
          <w:color w:val="auto"/>
        </w:rPr>
        <w:t>”).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his duties and responsibilities set forth in Paragraph 4 of this Agreement, (ii) Employer and Employee have used their best efforts to obtain such approval, and (iii) this Agreement is not so approved by the Gaming Authorities, then this Agreement shall immediately terminate and shall be null and void.</w:t>
      </w:r>
    </w:p>
    <w:p>
      <w:pPr>
        <w:spacing w:after="0" w:line="81" w:lineRule="exact"/>
        <w:rPr>
          <w:rFonts w:ascii="Arial" w:cs="Arial" w:eastAsia="Arial" w:hAnsi="Arial"/>
          <w:sz w:val="18"/>
          <w:szCs w:val="18"/>
          <w:color w:val="auto"/>
        </w:rPr>
      </w:pPr>
    </w:p>
    <w:p>
      <w:pPr>
        <w:ind w:firstLine="443"/>
        <w:spacing w:after="0" w:line="270" w:lineRule="auto"/>
        <w:tabs>
          <w:tab w:leader="none" w:pos="693" w:val="left"/>
        </w:tabs>
        <w:numPr>
          <w:ilvl w:val="1"/>
          <w:numId w:val="97"/>
        </w:numPr>
        <w:rPr>
          <w:rFonts w:ascii="Arial" w:cs="Arial" w:eastAsia="Arial" w:hAnsi="Arial"/>
          <w:sz w:val="17"/>
          <w:szCs w:val="17"/>
          <w:color w:val="auto"/>
        </w:rPr>
      </w:pPr>
      <w:r>
        <w:rPr>
          <w:rFonts w:ascii="Arial" w:cs="Arial" w:eastAsia="Arial" w:hAnsi="Arial"/>
          <w:sz w:val="17"/>
          <w:szCs w:val="17"/>
          <w:color w:val="auto"/>
        </w:rPr>
        <w:t>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w:t>
      </w:r>
      <w:r>
        <w:rPr>
          <w:rFonts w:ascii="Arial" w:cs="Arial" w:eastAsia="Arial" w:hAnsi="Arial"/>
          <w:sz w:val="17"/>
          <w:szCs w:val="17"/>
          <w:b w:val="1"/>
          <w:bCs w:val="1"/>
          <w:color w:val="auto"/>
        </w:rPr>
        <w:t>License</w:t>
      </w:r>
      <w:r>
        <w:rPr>
          <w:rFonts w:ascii="Arial" w:cs="Arial" w:eastAsia="Arial" w:hAnsi="Arial"/>
          <w:sz w:val="17"/>
          <w:szCs w:val="17"/>
          <w:color w:val="auto"/>
        </w:rPr>
        <w:t>”).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1(b) of this Agreement, then Employer’s obligations under this Paragraph 9 shall not be operative and Employee shall promptly reimburse Employer upon demand for any expenses incurred by Employer pursuant to this Paragraph 9.</w:t>
      </w:r>
    </w:p>
    <w:p>
      <w:pPr>
        <w:spacing w:after="0" w:line="73" w:lineRule="exact"/>
        <w:rPr>
          <w:rFonts w:ascii="Arial" w:cs="Arial" w:eastAsia="Arial" w:hAnsi="Arial"/>
          <w:sz w:val="17"/>
          <w:szCs w:val="17"/>
          <w:color w:val="auto"/>
        </w:rPr>
      </w:pPr>
    </w:p>
    <w:p>
      <w:pPr>
        <w:ind w:right="100" w:firstLine="443"/>
        <w:spacing w:after="0" w:line="277" w:lineRule="auto"/>
        <w:tabs>
          <w:tab w:leader="none" w:pos="683" w:val="left"/>
        </w:tabs>
        <w:numPr>
          <w:ilvl w:val="1"/>
          <w:numId w:val="97"/>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Paragraph 9 shall apply in the event Employee’s duties require that Employee also be licensed by such relevant governmental agencies other than the Gaming Authorities.</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4" w:right="239" w:bottom="1440" w:gutter="0" w:footer="0" w:header="0"/>
        </w:sectPr>
      </w:pPr>
    </w:p>
    <w:bookmarkStart w:id="179" w:name="page180"/>
    <w:bookmarkEnd w:id="179"/>
    <w:p>
      <w:pPr>
        <w:ind w:left="280" w:hanging="276"/>
        <w:spacing w:after="0"/>
        <w:tabs>
          <w:tab w:leader="none" w:pos="280" w:val="left"/>
        </w:tabs>
        <w:numPr>
          <w:ilvl w:val="0"/>
          <w:numId w:val="9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w:t>
      </w:r>
      <w:r>
        <w:rPr>
          <w:rFonts w:ascii="Arial" w:cs="Arial" w:eastAsia="Arial" w:hAnsi="Arial"/>
          <w:sz w:val="18"/>
          <w:szCs w:val="18"/>
          <w:b w:val="1"/>
          <w:bCs w:val="1"/>
          <w:i w:val="1"/>
          <w:iCs w:val="1"/>
          <w:color w:val="auto"/>
        </w:rPr>
        <w:t>.</w:t>
      </w:r>
    </w:p>
    <w:p>
      <w:pPr>
        <w:spacing w:after="0" w:line="117" w:lineRule="exact"/>
        <w:rPr>
          <w:rFonts w:ascii="Arial" w:cs="Arial" w:eastAsia="Arial" w:hAnsi="Arial"/>
          <w:sz w:val="18"/>
          <w:szCs w:val="18"/>
          <w:b w:val="1"/>
          <w:bCs w:val="1"/>
          <w:i w:val="1"/>
          <w:iCs w:val="1"/>
          <w:color w:val="auto"/>
        </w:rPr>
      </w:pPr>
    </w:p>
    <w:p>
      <w:pPr>
        <w:ind w:right="140" w:firstLine="443"/>
        <w:spacing w:after="0" w:line="297" w:lineRule="auto"/>
        <w:tabs>
          <w:tab w:leader="none" w:pos="683" w:val="left"/>
        </w:tabs>
        <w:numPr>
          <w:ilvl w:val="1"/>
          <w:numId w:val="98"/>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directly or indirectly use or disclose any Confidential Information, Trade Secrets, or Works of Authorship, whether in written, verbal,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50" w:lineRule="exact"/>
        <w:rPr>
          <w:rFonts w:ascii="Arial" w:cs="Arial" w:eastAsia="Arial" w:hAnsi="Arial"/>
          <w:sz w:val="16"/>
          <w:szCs w:val="16"/>
          <w:color w:val="auto"/>
        </w:rPr>
      </w:pPr>
    </w:p>
    <w:p>
      <w:pPr>
        <w:ind w:right="20" w:firstLine="443"/>
        <w:spacing w:after="0" w:line="259" w:lineRule="auto"/>
        <w:tabs>
          <w:tab w:leader="none" w:pos="693" w:val="left"/>
        </w:tabs>
        <w:numPr>
          <w:ilvl w:val="1"/>
          <w:numId w:val="98"/>
        </w:numPr>
        <w:rPr>
          <w:rFonts w:ascii="Arial" w:cs="Arial" w:eastAsia="Arial" w:hAnsi="Arial"/>
          <w:sz w:val="18"/>
          <w:szCs w:val="18"/>
          <w:color w:val="auto"/>
        </w:rPr>
      </w:pPr>
      <w:r>
        <w:rPr>
          <w:rFonts w:ascii="Arial" w:cs="Arial" w:eastAsia="Arial" w:hAnsi="Arial"/>
          <w:sz w:val="18"/>
          <w:szCs w:val="18"/>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78" w:lineRule="exact"/>
        <w:rPr>
          <w:rFonts w:ascii="Arial" w:cs="Arial" w:eastAsia="Arial" w:hAnsi="Arial"/>
          <w:sz w:val="18"/>
          <w:szCs w:val="18"/>
          <w:color w:val="auto"/>
        </w:rPr>
      </w:pPr>
    </w:p>
    <w:p>
      <w:pPr>
        <w:ind w:firstLine="443"/>
        <w:spacing w:after="0" w:line="255" w:lineRule="auto"/>
        <w:tabs>
          <w:tab w:leader="none" w:pos="683" w:val="left"/>
        </w:tabs>
        <w:numPr>
          <w:ilvl w:val="1"/>
          <w:numId w:val="98"/>
        </w:numPr>
        <w:rPr>
          <w:rFonts w:ascii="Arial" w:cs="Arial" w:eastAsia="Arial" w:hAnsi="Arial"/>
          <w:sz w:val="18"/>
          <w:szCs w:val="18"/>
          <w:color w:val="auto"/>
        </w:rPr>
      </w:pPr>
      <w:r>
        <w:rPr>
          <w:rFonts w:ascii="Arial" w:cs="Arial" w:eastAsia="Arial" w:hAnsi="Arial"/>
          <w:sz w:val="18"/>
          <w:szCs w:val="18"/>
          <w:color w:val="auto"/>
        </w:rPr>
        <w:t>Upon termination of Employee’s employment with Employer,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81" w:lineRule="exact"/>
        <w:rPr>
          <w:rFonts w:ascii="Arial" w:cs="Arial" w:eastAsia="Arial" w:hAnsi="Arial"/>
          <w:sz w:val="18"/>
          <w:szCs w:val="18"/>
          <w:color w:val="auto"/>
        </w:rPr>
      </w:pPr>
    </w:p>
    <w:p>
      <w:pPr>
        <w:ind w:right="20" w:firstLine="443"/>
        <w:spacing w:after="0" w:line="257" w:lineRule="auto"/>
        <w:tabs>
          <w:tab w:leader="none" w:pos="693" w:val="left"/>
        </w:tabs>
        <w:numPr>
          <w:ilvl w:val="1"/>
          <w:numId w:val="98"/>
        </w:numPr>
        <w:rPr>
          <w:rFonts w:ascii="Arial" w:cs="Arial" w:eastAsia="Arial" w:hAnsi="Arial"/>
          <w:sz w:val="18"/>
          <w:szCs w:val="18"/>
          <w:color w:val="auto"/>
        </w:rPr>
      </w:pPr>
      <w:r>
        <w:rPr>
          <w:rFonts w:ascii="Arial" w:cs="Arial" w:eastAsia="Arial" w:hAnsi="Arial"/>
          <w:sz w:val="18"/>
          <w:szCs w:val="18"/>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“Restricted Information”). In the event, Employer requests Restricted Information from Employee, Employee shall advise Employer that the information requested is Restricted Information and may not be disclosed by Employee.</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74" w:right="239" w:bottom="1440" w:gutter="0" w:footer="0" w:header="0"/>
        </w:sectPr>
      </w:pPr>
    </w:p>
    <w:bookmarkStart w:id="180" w:name="page181"/>
    <w:bookmarkEnd w:id="180"/>
    <w:p>
      <w:pPr>
        <w:ind w:left="1140" w:hanging="237"/>
        <w:spacing w:after="0"/>
        <w:tabs>
          <w:tab w:leader="none" w:pos="1140" w:val="left"/>
        </w:tabs>
        <w:numPr>
          <w:ilvl w:val="1"/>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obligations of this Section 10 are continuing and shall survive the termination of Employee’s employment with Employer.</w:t>
      </w:r>
    </w:p>
    <w:p>
      <w:pPr>
        <w:spacing w:after="0" w:line="333" w:lineRule="exact"/>
        <w:rPr>
          <w:rFonts w:ascii="Arial" w:cs="Arial" w:eastAsia="Arial" w:hAnsi="Arial"/>
          <w:sz w:val="18"/>
          <w:szCs w:val="18"/>
          <w:color w:val="auto"/>
        </w:rPr>
      </w:pPr>
    </w:p>
    <w:p>
      <w:pPr>
        <w:ind w:left="720" w:hanging="256"/>
        <w:spacing w:after="0"/>
        <w:tabs>
          <w:tab w:leader="none" w:pos="720" w:val="left"/>
        </w:tabs>
        <w:numPr>
          <w:ilvl w:val="0"/>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117" w:lineRule="exact"/>
        <w:rPr>
          <w:rFonts w:ascii="Arial" w:cs="Arial" w:eastAsia="Arial" w:hAnsi="Arial"/>
          <w:sz w:val="18"/>
          <w:szCs w:val="18"/>
          <w:b w:val="1"/>
          <w:bCs w:val="1"/>
          <w:i w:val="1"/>
          <w:iCs w:val="1"/>
          <w:color w:val="auto"/>
        </w:rPr>
      </w:pPr>
    </w:p>
    <w:p>
      <w:pPr>
        <w:ind w:firstLine="921"/>
        <w:spacing w:after="0" w:line="271" w:lineRule="auto"/>
        <w:tabs>
          <w:tab w:leader="none" w:pos="1158" w:val="left"/>
        </w:tabs>
        <w:numPr>
          <w:ilvl w:val="2"/>
          <w:numId w:val="100"/>
        </w:numPr>
        <w:rPr>
          <w:rFonts w:ascii="Arial" w:cs="Arial" w:eastAsia="Arial" w:hAnsi="Arial"/>
          <w:sz w:val="17"/>
          <w:szCs w:val="17"/>
          <w:color w:val="auto"/>
        </w:rPr>
      </w:pPr>
      <w:r>
        <w:rPr>
          <w:rFonts w:ascii="Arial" w:cs="Arial" w:eastAsia="Arial" w:hAnsi="Arial"/>
          <w:sz w:val="17"/>
          <w:szCs w:val="17"/>
          <w:color w:val="auto"/>
        </w:rPr>
        <w:t>Employee hereby covenants and agrees that, during the Term, or for such period as Employee receives cash compensation under this Agreement, whichever period is shorter, Employee shall not directly or indirectly, either as a principal, agent, employee, employer, consultant, partner, member or manager of a limited liability company, shareholder of a closely held corporation, or shareholder in excess of two percent (2%) of a publicly traded corporation, corporate officer or director, or in any other individual or representative capacity, engage or otherwise participate in any manner or fashion in any gaming business that is in competition in any manner whatsoever with the principal business activity of Employer or Employer’s Affiliates, in or about any market in which Employer or Employer’s Affiliates have or have publicly announced a plan for gaming operations. Employee hereby further covenants and agrees that the restrictive covenant contained in this Paragraph 11 is reasonable as to duration, terms and geographical area and that the same protects the legitimate interests of Employer, imposes no undue hardship on Employee, and is not injurious to the public.</w:t>
      </w:r>
    </w:p>
    <w:p>
      <w:pPr>
        <w:spacing w:after="0" w:line="70" w:lineRule="exact"/>
        <w:rPr>
          <w:rFonts w:ascii="Arial" w:cs="Arial" w:eastAsia="Arial" w:hAnsi="Arial"/>
          <w:sz w:val="17"/>
          <w:szCs w:val="17"/>
          <w:color w:val="auto"/>
        </w:rPr>
      </w:pPr>
    </w:p>
    <w:p>
      <w:pPr>
        <w:jc w:val="both"/>
        <w:ind w:right="40" w:firstLine="921"/>
        <w:spacing w:after="0" w:line="259" w:lineRule="auto"/>
        <w:tabs>
          <w:tab w:leader="none" w:pos="1168" w:val="left"/>
        </w:tabs>
        <w:numPr>
          <w:ilvl w:val="2"/>
          <w:numId w:val="100"/>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for the period described in Subparagraph 11(a), Employee shall not directly or indirectly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or hotel operations.</w:t>
      </w:r>
    </w:p>
    <w:p>
      <w:pPr>
        <w:spacing w:after="0" w:line="186" w:lineRule="exact"/>
        <w:rPr>
          <w:rFonts w:ascii="Arial" w:cs="Arial" w:eastAsia="Arial" w:hAnsi="Arial"/>
          <w:sz w:val="18"/>
          <w:szCs w:val="18"/>
          <w:color w:val="auto"/>
        </w:rPr>
      </w:pPr>
    </w:p>
    <w:p>
      <w:pPr>
        <w:ind w:right="200" w:firstLine="464"/>
        <w:spacing w:after="0" w:line="277" w:lineRule="auto"/>
        <w:tabs>
          <w:tab w:leader="none" w:pos="726" w:val="left"/>
        </w:tabs>
        <w:numPr>
          <w:ilvl w:val="0"/>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BEST EVIDENCE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executed in original and “Xerox” or photostatic copies and each copy bearing original signatures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ink shall be deemed an original.</w:t>
      </w:r>
    </w:p>
    <w:p>
      <w:pPr>
        <w:spacing w:after="0" w:line="170" w:lineRule="exact"/>
        <w:rPr>
          <w:rFonts w:ascii="Arial" w:cs="Arial" w:eastAsia="Arial" w:hAnsi="Arial"/>
          <w:sz w:val="18"/>
          <w:szCs w:val="18"/>
          <w:b w:val="1"/>
          <w:bCs w:val="1"/>
          <w:i w:val="1"/>
          <w:iCs w:val="1"/>
          <w:color w:val="auto"/>
        </w:rPr>
      </w:pPr>
    </w:p>
    <w:p>
      <w:pPr>
        <w:ind w:left="740" w:hanging="276"/>
        <w:spacing w:after="0"/>
        <w:tabs>
          <w:tab w:leader="none" w:pos="740" w:val="left"/>
        </w:tabs>
        <w:numPr>
          <w:ilvl w:val="0"/>
          <w:numId w:val="10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SUCCESSION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be binding upon and inure to the benefit of Employer and Employee and their respective successors and</w:t>
      </w:r>
    </w:p>
    <w:p>
      <w:pPr>
        <w:spacing w:after="0" w:line="46" w:lineRule="exact"/>
        <w:rPr>
          <w:rFonts w:ascii="Arial" w:cs="Arial" w:eastAsia="Arial" w:hAnsi="Arial"/>
          <w:sz w:val="16"/>
          <w:szCs w:val="16"/>
          <w:b w:val="1"/>
          <w:bCs w:val="1"/>
          <w:i w:val="1"/>
          <w:iCs w:val="1"/>
          <w:color w:val="auto"/>
        </w:rPr>
      </w:pPr>
    </w:p>
    <w:p>
      <w:pPr>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assigns.</w:t>
      </w:r>
    </w:p>
    <w:p>
      <w:pPr>
        <w:spacing w:after="0" w:line="210" w:lineRule="exact"/>
        <w:rPr>
          <w:rFonts w:ascii="Arial" w:cs="Arial" w:eastAsia="Arial" w:hAnsi="Arial"/>
          <w:sz w:val="16"/>
          <w:szCs w:val="16"/>
          <w:b w:val="1"/>
          <w:bCs w:val="1"/>
          <w:i w:val="1"/>
          <w:iCs w:val="1"/>
          <w:color w:val="auto"/>
        </w:rPr>
      </w:pPr>
    </w:p>
    <w:p>
      <w:pPr>
        <w:ind w:right="100" w:firstLine="464"/>
        <w:spacing w:after="0" w:line="257" w:lineRule="auto"/>
        <w:tabs>
          <w:tab w:leader="none" w:pos="726" w:val="left"/>
        </w:tabs>
        <w:numPr>
          <w:ilvl w:val="0"/>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his duties hereunder without the express written prior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Paragraph 14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188" w:lineRule="exact"/>
        <w:rPr>
          <w:rFonts w:ascii="Arial" w:cs="Arial" w:eastAsia="Arial" w:hAnsi="Arial"/>
          <w:sz w:val="18"/>
          <w:szCs w:val="18"/>
          <w:b w:val="1"/>
          <w:bCs w:val="1"/>
          <w:i w:val="1"/>
          <w:iCs w:val="1"/>
          <w:color w:val="auto"/>
        </w:rPr>
      </w:pPr>
    </w:p>
    <w:p>
      <w:pPr>
        <w:ind w:right="300" w:firstLine="464"/>
        <w:spacing w:after="0" w:line="277" w:lineRule="auto"/>
        <w:tabs>
          <w:tab w:leader="none" w:pos="726" w:val="left"/>
        </w:tabs>
        <w:numPr>
          <w:ilvl w:val="0"/>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81" w:name="page182"/>
    <w:bookmarkEnd w:id="181"/>
    <w:p>
      <w:pPr>
        <w:ind w:right="600" w:firstLine="464"/>
        <w:spacing w:after="0" w:line="277" w:lineRule="auto"/>
        <w:tabs>
          <w:tab w:leader="none" w:pos="726" w:val="left"/>
        </w:tabs>
        <w:numPr>
          <w:ilvl w:val="0"/>
          <w:numId w:val="10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jurisdiction where Employer’s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place of business is located in effect on the Effective Date of this Agreement.</w:t>
      </w:r>
    </w:p>
    <w:p>
      <w:pPr>
        <w:spacing w:after="0" w:line="170" w:lineRule="exact"/>
        <w:rPr>
          <w:rFonts w:ascii="Arial" w:cs="Arial" w:eastAsia="Arial" w:hAnsi="Arial"/>
          <w:sz w:val="18"/>
          <w:szCs w:val="18"/>
          <w:b w:val="1"/>
          <w:bCs w:val="1"/>
          <w:i w:val="1"/>
          <w:iCs w:val="1"/>
          <w:color w:val="auto"/>
        </w:rPr>
      </w:pPr>
    </w:p>
    <w:p>
      <w:pPr>
        <w:ind w:right="20" w:firstLine="464"/>
        <w:spacing w:after="0" w:line="277" w:lineRule="auto"/>
        <w:tabs>
          <w:tab w:leader="none" w:pos="726" w:val="left"/>
        </w:tabs>
        <w:numPr>
          <w:ilvl w:val="0"/>
          <w:numId w:val="10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580" w:type="dxa"/>
            <w:vAlign w:val="bottom"/>
            <w:gridSpan w:val="6"/>
          </w:tcPr>
          <w:p>
            <w:pPr>
              <w:spacing w:after="0"/>
              <w:rPr>
                <w:sz w:val="20"/>
                <w:szCs w:val="20"/>
                <w:color w:val="auto"/>
              </w:rPr>
            </w:pPr>
            <w:r>
              <w:rPr>
                <w:rFonts w:ascii="Arial" w:cs="Arial" w:eastAsia="Arial" w:hAnsi="Arial"/>
                <w:sz w:val="18"/>
                <w:szCs w:val="18"/>
                <w:color w:val="auto"/>
              </w:rPr>
              <w:t>TO EMPLOYER:</w:t>
            </w:r>
          </w:p>
        </w:tc>
        <w:tc>
          <w:tcPr>
            <w:tcW w:w="3180" w:type="dxa"/>
            <w:vAlign w:val="bottom"/>
          </w:tcPr>
          <w:p>
            <w:pPr>
              <w:ind w:left="800"/>
              <w:spacing w:after="0"/>
              <w:rPr>
                <w:sz w:val="20"/>
                <w:szCs w:val="20"/>
                <w:color w:val="auto"/>
              </w:rPr>
            </w:pPr>
            <w:r>
              <w:rPr>
                <w:rFonts w:ascii="Arial" w:cs="Arial" w:eastAsia="Arial" w:hAnsi="Arial"/>
                <w:sz w:val="18"/>
                <w:szCs w:val="18"/>
                <w:color w:val="auto"/>
              </w:rPr>
              <w:t>Wynn Resorts, Limited</w:t>
            </w:r>
          </w:p>
        </w:tc>
      </w:tr>
      <w:tr>
        <w:trPr>
          <w:trHeight w:val="222"/>
        </w:trPr>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180" w:type="dxa"/>
            <w:vAlign w:val="bottom"/>
          </w:tcPr>
          <w:p>
            <w:pPr>
              <w:ind w:left="800"/>
              <w:spacing w:after="0"/>
              <w:rPr>
                <w:sz w:val="20"/>
                <w:szCs w:val="20"/>
                <w:color w:val="auto"/>
              </w:rPr>
            </w:pPr>
            <w:r>
              <w:rPr>
                <w:rFonts w:ascii="Arial" w:cs="Arial" w:eastAsia="Arial" w:hAnsi="Arial"/>
                <w:sz w:val="18"/>
                <w:szCs w:val="18"/>
                <w:color w:val="auto"/>
                <w:w w:val="87"/>
              </w:rPr>
              <w:t>3131 Las Vegas Boulevard South</w:t>
            </w:r>
          </w:p>
        </w:tc>
      </w:tr>
      <w:tr>
        <w:trPr>
          <w:trHeight w:val="230"/>
        </w:trPr>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ind w:left="800"/>
              <w:spacing w:after="0"/>
              <w:rPr>
                <w:sz w:val="20"/>
                <w:szCs w:val="20"/>
                <w:color w:val="auto"/>
              </w:rPr>
            </w:pPr>
            <w:r>
              <w:rPr>
                <w:rFonts w:ascii="Arial" w:cs="Arial" w:eastAsia="Arial" w:hAnsi="Arial"/>
                <w:sz w:val="18"/>
                <w:szCs w:val="18"/>
                <w:color w:val="auto"/>
              </w:rPr>
              <w:t>Las Vegas, Nevada 89109</w:t>
            </w:r>
          </w:p>
        </w:tc>
      </w:tr>
      <w:tr>
        <w:trPr>
          <w:trHeight w:val="392"/>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WITH A COPY</w:t>
            </w:r>
          </w:p>
        </w:tc>
        <w:tc>
          <w:tcPr>
            <w:tcW w:w="1400" w:type="dxa"/>
            <w:vAlign w:val="bottom"/>
            <w:gridSpan w:val="4"/>
          </w:tcPr>
          <w:p>
            <w:pPr>
              <w:spacing w:after="0"/>
              <w:rPr>
                <w:sz w:val="24"/>
                <w:szCs w:val="24"/>
                <w:color w:val="auto"/>
              </w:rPr>
            </w:pPr>
          </w:p>
        </w:tc>
        <w:tc>
          <w:tcPr>
            <w:tcW w:w="3180" w:type="dxa"/>
            <w:vAlign w:val="bottom"/>
          </w:tcPr>
          <w:p>
            <w:pPr>
              <w:ind w:left="800"/>
              <w:spacing w:after="0"/>
              <w:rPr>
                <w:sz w:val="20"/>
                <w:szCs w:val="20"/>
                <w:color w:val="auto"/>
              </w:rPr>
            </w:pPr>
            <w:r>
              <w:rPr>
                <w:rFonts w:ascii="Arial" w:cs="Arial" w:eastAsia="Arial" w:hAnsi="Arial"/>
                <w:sz w:val="18"/>
                <w:szCs w:val="18"/>
                <w:color w:val="auto"/>
              </w:rPr>
              <w:t>Wynn Resorts, Limited</w:t>
            </w:r>
          </w:p>
        </w:tc>
      </w:tr>
      <w:tr>
        <w:trPr>
          <w:trHeight w:val="196"/>
        </w:trPr>
        <w:tc>
          <w:tcPr>
            <w:tcW w:w="2580" w:type="dxa"/>
            <w:vAlign w:val="bottom"/>
            <w:gridSpan w:val="6"/>
          </w:tcPr>
          <w:p>
            <w:pPr>
              <w:spacing w:after="0" w:line="196" w:lineRule="exact"/>
              <w:rPr>
                <w:sz w:val="20"/>
                <w:szCs w:val="20"/>
                <w:color w:val="auto"/>
              </w:rPr>
            </w:pPr>
            <w:r>
              <w:rPr>
                <w:rFonts w:ascii="Arial" w:cs="Arial" w:eastAsia="Arial" w:hAnsi="Arial"/>
                <w:sz w:val="18"/>
                <w:szCs w:val="18"/>
                <w:color w:val="auto"/>
              </w:rPr>
              <w:t>THAT SHALL NOT BE</w:t>
            </w:r>
          </w:p>
        </w:tc>
        <w:tc>
          <w:tcPr>
            <w:tcW w:w="3180" w:type="dxa"/>
            <w:vAlign w:val="bottom"/>
          </w:tcPr>
          <w:p>
            <w:pPr>
              <w:ind w:left="800"/>
              <w:spacing w:after="0" w:line="196" w:lineRule="exact"/>
              <w:rPr>
                <w:sz w:val="20"/>
                <w:szCs w:val="20"/>
                <w:color w:val="auto"/>
              </w:rPr>
            </w:pPr>
            <w:r>
              <w:rPr>
                <w:rFonts w:ascii="Arial" w:cs="Arial" w:eastAsia="Arial" w:hAnsi="Arial"/>
                <w:sz w:val="18"/>
                <w:szCs w:val="18"/>
                <w:color w:val="auto"/>
                <w:w w:val="87"/>
              </w:rPr>
              <w:t>3131 Las Vegas Boulevard South</w:t>
            </w:r>
          </w:p>
        </w:tc>
      </w:tr>
      <w:tr>
        <w:trPr>
          <w:trHeight w:val="196"/>
        </w:trPr>
        <w:tc>
          <w:tcPr>
            <w:tcW w:w="178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rPr>
              <w:t>NOTICE TO:</w:t>
            </w:r>
          </w:p>
        </w:tc>
        <w:tc>
          <w:tcPr>
            <w:tcW w:w="800" w:type="dxa"/>
            <w:vAlign w:val="bottom"/>
          </w:tcPr>
          <w:p>
            <w:pPr>
              <w:spacing w:after="0"/>
              <w:rPr>
                <w:sz w:val="17"/>
                <w:szCs w:val="17"/>
                <w:color w:val="auto"/>
              </w:rPr>
            </w:pPr>
          </w:p>
        </w:tc>
        <w:tc>
          <w:tcPr>
            <w:tcW w:w="3180" w:type="dxa"/>
            <w:vAlign w:val="bottom"/>
          </w:tcPr>
          <w:p>
            <w:pPr>
              <w:ind w:left="800"/>
              <w:spacing w:after="0" w:line="196" w:lineRule="exact"/>
              <w:rPr>
                <w:sz w:val="20"/>
                <w:szCs w:val="20"/>
                <w:color w:val="auto"/>
              </w:rPr>
            </w:pPr>
            <w:r>
              <w:rPr>
                <w:rFonts w:ascii="Arial" w:cs="Arial" w:eastAsia="Arial" w:hAnsi="Arial"/>
                <w:sz w:val="18"/>
                <w:szCs w:val="18"/>
                <w:color w:val="auto"/>
              </w:rPr>
              <w:t>Las Vegas, Nevada 89109</w:t>
            </w:r>
          </w:p>
        </w:tc>
      </w:tr>
      <w:tr>
        <w:trPr>
          <w:trHeight w:val="237"/>
        </w:trPr>
        <w:tc>
          <w:tcPr>
            <w:tcW w:w="9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ind w:left="800"/>
              <w:spacing w:after="0"/>
              <w:rPr>
                <w:sz w:val="20"/>
                <w:szCs w:val="20"/>
                <w:color w:val="auto"/>
              </w:rPr>
            </w:pPr>
            <w:r>
              <w:rPr>
                <w:rFonts w:ascii="Arial" w:cs="Arial" w:eastAsia="Arial" w:hAnsi="Arial"/>
                <w:sz w:val="18"/>
                <w:szCs w:val="18"/>
                <w:color w:val="auto"/>
              </w:rPr>
              <w:t>Attn: Legal Department</w:t>
            </w:r>
          </w:p>
        </w:tc>
      </w:tr>
      <w:tr>
        <w:trPr>
          <w:trHeight w:val="392"/>
        </w:trPr>
        <w:tc>
          <w:tcPr>
            <w:tcW w:w="2580" w:type="dxa"/>
            <w:vAlign w:val="bottom"/>
            <w:gridSpan w:val="6"/>
          </w:tcPr>
          <w:p>
            <w:pPr>
              <w:spacing w:after="0"/>
              <w:rPr>
                <w:sz w:val="20"/>
                <w:szCs w:val="20"/>
                <w:color w:val="auto"/>
              </w:rPr>
            </w:pPr>
            <w:r>
              <w:rPr>
                <w:rFonts w:ascii="Arial" w:cs="Arial" w:eastAsia="Arial" w:hAnsi="Arial"/>
                <w:sz w:val="18"/>
                <w:szCs w:val="18"/>
                <w:color w:val="auto"/>
              </w:rPr>
              <w:t>TO EMPLOYEE:</w:t>
            </w:r>
          </w:p>
        </w:tc>
        <w:tc>
          <w:tcPr>
            <w:tcW w:w="3180" w:type="dxa"/>
            <w:vAlign w:val="bottom"/>
          </w:tcPr>
          <w:p>
            <w:pPr>
              <w:ind w:left="800"/>
              <w:spacing w:after="0"/>
              <w:rPr>
                <w:sz w:val="20"/>
                <w:szCs w:val="20"/>
                <w:color w:val="auto"/>
              </w:rPr>
            </w:pPr>
            <w:r>
              <w:rPr>
                <w:rFonts w:ascii="Arial" w:cs="Arial" w:eastAsia="Arial" w:hAnsi="Arial"/>
                <w:sz w:val="18"/>
                <w:szCs w:val="18"/>
                <w:color w:val="auto"/>
              </w:rPr>
              <w:t>John Strzemp</w:t>
            </w:r>
          </w:p>
        </w:tc>
      </w:tr>
      <w:tr>
        <w:trPr>
          <w:trHeight w:val="236"/>
        </w:trPr>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ind w:left="800"/>
              <w:spacing w:after="0"/>
              <w:rPr>
                <w:sz w:val="20"/>
                <w:szCs w:val="20"/>
                <w:color w:val="auto"/>
              </w:rPr>
            </w:pPr>
            <w:r>
              <w:rPr>
                <w:rFonts w:ascii="Arial" w:cs="Arial" w:eastAsia="Arial" w:hAnsi="Arial"/>
                <w:sz w:val="18"/>
                <w:szCs w:val="18"/>
                <w:color w:val="auto"/>
              </w:rPr>
              <w:t>[intentionally omitted]</w:t>
            </w:r>
          </w:p>
        </w:tc>
      </w:tr>
      <w:tr>
        <w:trPr>
          <w:trHeight w:val="230"/>
        </w:trPr>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ind w:left="800"/>
              <w:spacing w:after="0"/>
              <w:rPr>
                <w:sz w:val="20"/>
                <w:szCs w:val="20"/>
                <w:color w:val="auto"/>
              </w:rPr>
            </w:pPr>
            <w:r>
              <w:rPr>
                <w:rFonts w:ascii="Arial" w:cs="Arial" w:eastAsia="Arial" w:hAnsi="Arial"/>
                <w:sz w:val="18"/>
                <w:szCs w:val="18"/>
                <w:color w:val="auto"/>
              </w:rPr>
              <w:t>[intentionally omitted]</w:t>
            </w:r>
          </w:p>
        </w:tc>
      </w:tr>
    </w:tbl>
    <w:p>
      <w:pPr>
        <w:spacing w:after="0" w:line="20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17.</w:t>
      </w:r>
    </w:p>
    <w:p>
      <w:pPr>
        <w:spacing w:after="0" w:line="124" w:lineRule="exact"/>
        <w:rPr>
          <w:sz w:val="20"/>
          <w:szCs w:val="20"/>
          <w:color w:val="auto"/>
        </w:rPr>
      </w:pPr>
    </w:p>
    <w:p>
      <w:pPr>
        <w:ind w:right="60" w:firstLine="464"/>
        <w:spacing w:after="0" w:line="277" w:lineRule="auto"/>
        <w:tabs>
          <w:tab w:leader="none" w:pos="726" w:val="left"/>
        </w:tabs>
        <w:numPr>
          <w:ilvl w:val="0"/>
          <w:numId w:val="10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70" w:lineRule="exact"/>
        <w:rPr>
          <w:rFonts w:ascii="Arial" w:cs="Arial" w:eastAsia="Arial" w:hAnsi="Arial"/>
          <w:sz w:val="18"/>
          <w:szCs w:val="18"/>
          <w:b w:val="1"/>
          <w:bCs w:val="1"/>
          <w:i w:val="1"/>
          <w:iCs w:val="1"/>
          <w:color w:val="auto"/>
        </w:rPr>
      </w:pPr>
    </w:p>
    <w:p>
      <w:pPr>
        <w:ind w:right="80" w:firstLine="464"/>
        <w:spacing w:after="0" w:line="308" w:lineRule="auto"/>
        <w:tabs>
          <w:tab w:leader="none" w:pos="726" w:val="left"/>
        </w:tabs>
        <w:numPr>
          <w:ilvl w:val="0"/>
          <w:numId w:val="10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SEVERABILITY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event any one or more provisions of this Agreement is declared judicially void or otherwise unenforceable, the remainder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this Agreement shall survive and such provision(s) shall be deemed modified or amended so as to fulfill the intent of the parties hereto.</w:t>
      </w:r>
    </w:p>
    <w:p>
      <w:pPr>
        <w:spacing w:after="0" w:line="146" w:lineRule="exact"/>
        <w:rPr>
          <w:rFonts w:ascii="Arial" w:cs="Arial" w:eastAsia="Arial" w:hAnsi="Arial"/>
          <w:sz w:val="17"/>
          <w:szCs w:val="17"/>
          <w:b w:val="1"/>
          <w:bCs w:val="1"/>
          <w:i w:val="1"/>
          <w:iCs w:val="1"/>
          <w:color w:val="auto"/>
        </w:rPr>
      </w:pPr>
    </w:p>
    <w:p>
      <w:pPr>
        <w:ind w:firstLine="464"/>
        <w:spacing w:after="0" w:line="293" w:lineRule="auto"/>
        <w:tabs>
          <w:tab w:leader="none" w:pos="726" w:val="left"/>
        </w:tabs>
        <w:numPr>
          <w:ilvl w:val="0"/>
          <w:numId w:val="10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covenants in Paragraph 10 or 11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the state and county where Employer’s or its applicable Affiliate’s principal place of business is located, any and all claims, disputes, or controversies arising between the parties regarding any of the terms of this Agreement or the breach thereof, shall, on the written demand of either of the parties, be submitted to and be determined by final and binding arbitration held in the local jurisdiction where Employer’s or Employer’s Affiliate’s principal place of business is located, in accordance with Employer’s or Employer’s Affiliate’s arbitration policy governing employment disputes. This agreement to arbitrate shall be specifically enforceable in any court of competent jurisdiction.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82" w:name="page183"/>
    <w:bookmarkEnd w:id="182"/>
    <w:p>
      <w:pPr>
        <w:jc w:val="both"/>
        <w:ind w:right="20" w:firstLine="464"/>
        <w:spacing w:after="0" w:line="264" w:lineRule="auto"/>
        <w:tabs>
          <w:tab w:leader="none" w:pos="726" w:val="left"/>
        </w:tabs>
        <w:numPr>
          <w:ilvl w:val="0"/>
          <w:numId w:val="10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Paragraph 21, or any term, right or remedy hereunder shall be deemed waived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waiver is in writing and signed by the party to be charged therewith and in no event by reason of any failure to assert or delay in asserting any such term, right or remedy or similar term, right or remedy hereunder.</w:t>
      </w:r>
    </w:p>
    <w:p>
      <w:pPr>
        <w:spacing w:after="0" w:line="181" w:lineRule="exact"/>
        <w:rPr>
          <w:rFonts w:ascii="Arial" w:cs="Arial" w:eastAsia="Arial" w:hAnsi="Arial"/>
          <w:sz w:val="18"/>
          <w:szCs w:val="18"/>
          <w:b w:val="1"/>
          <w:bCs w:val="1"/>
          <w:i w:val="1"/>
          <w:iCs w:val="1"/>
          <w:color w:val="auto"/>
        </w:rPr>
      </w:pPr>
    </w:p>
    <w:p>
      <w:pPr>
        <w:ind w:firstLine="464"/>
        <w:spacing w:after="0" w:line="279" w:lineRule="auto"/>
        <w:tabs>
          <w:tab w:leader="none" w:pos="726" w:val="left"/>
        </w:tabs>
        <w:numPr>
          <w:ilvl w:val="0"/>
          <w:numId w:val="10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PAROL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 constitutes the entire agreement between Employer and Employee with respect to the subject matter hereto and, except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agreement pertaining to the issuance of restricted stock to Employee by Employer or any of its Affiliates, this Agreement supersedes any prior understandings, agreements, undertakings or severance policies or plans by and between Employer or Employer’s Affiliates, on the one side, and Employee, on the other side, with respect to the subject matter hereof or Employee’s employment with Employer or its Affiliates.</w:t>
      </w:r>
    </w:p>
    <w:p>
      <w:pPr>
        <w:spacing w:after="0" w:line="17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as of the year and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4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14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 John Strzemp</w:t>
            </w:r>
          </w:p>
        </w:tc>
      </w:tr>
      <w:tr>
        <w:trPr>
          <w:trHeight w:val="209"/>
        </w:trPr>
        <w:tc>
          <w:tcPr>
            <w:tcW w:w="400" w:type="dxa"/>
            <w:vAlign w:val="bottom"/>
          </w:tcPr>
          <w:p>
            <w:pPr>
              <w:spacing w:after="0"/>
              <w:rPr>
                <w:sz w:val="18"/>
                <w:szCs w:val="18"/>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 D. Schorr</w:t>
            </w:r>
          </w:p>
        </w:tc>
        <w:tc>
          <w:tcPr>
            <w:tcW w:w="1460" w:type="dxa"/>
            <w:vAlign w:val="bottom"/>
          </w:tcPr>
          <w:p>
            <w:pPr>
              <w:spacing w:after="0"/>
              <w:rPr>
                <w:sz w:val="18"/>
                <w:szCs w:val="18"/>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Strzemp</w:t>
            </w:r>
          </w:p>
        </w:tc>
      </w:tr>
      <w:tr>
        <w:trPr>
          <w:trHeight w:val="230"/>
        </w:trPr>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146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65"/>
        </w:trPr>
        <w:tc>
          <w:tcPr>
            <w:tcW w:w="4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60" w:type="dxa"/>
            <w:vAlign w:val="bottom"/>
          </w:tcPr>
          <w:p>
            <w:pPr>
              <w:jc w:val="right"/>
              <w:ind w:right="750"/>
              <w:spacing w:after="0"/>
              <w:rPr>
                <w:sz w:val="20"/>
                <w:szCs w:val="20"/>
                <w:color w:val="auto"/>
              </w:rPr>
            </w:pPr>
            <w:r>
              <w:rPr>
                <w:rFonts w:ascii="Arial" w:cs="Arial" w:eastAsia="Arial" w:hAnsi="Arial"/>
                <w:sz w:val="18"/>
                <w:szCs w:val="18"/>
                <w:color w:val="auto"/>
              </w:rPr>
              <w:t>16</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Indemnification and Gross-Up for Excise Taxes</w:t>
      </w:r>
    </w:p>
    <w:p>
      <w:pPr>
        <w:spacing w:after="0" w:line="225" w:lineRule="exact"/>
        <w:rPr>
          <w:sz w:val="20"/>
          <w:szCs w:val="20"/>
          <w:color w:val="auto"/>
        </w:rPr>
      </w:pPr>
    </w:p>
    <w:p>
      <w:pPr>
        <w:ind w:right="20" w:firstLine="464"/>
        <w:spacing w:after="0" w:line="285" w:lineRule="auto"/>
        <w:tabs>
          <w:tab w:leader="none" w:pos="70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Section (c) of this Exhibit 1, Employer shall have the right to require Employee to protest, contest, or appeal any such determination or judgment. For purposes of this Exhibit 1, any amount that Employer is required to withhold under Sections 3402 or 4999 of the Code or under any other provision of law shall be deemed to have been paid to Employee.</w:t>
      </w:r>
    </w:p>
    <w:p>
      <w:pPr>
        <w:spacing w:after="0" w:line="175" w:lineRule="exact"/>
        <w:rPr>
          <w:rFonts w:ascii="Arial" w:cs="Arial" w:eastAsia="Arial" w:hAnsi="Arial"/>
          <w:sz w:val="16"/>
          <w:szCs w:val="16"/>
          <w:color w:val="auto"/>
        </w:rPr>
      </w:pPr>
    </w:p>
    <w:p>
      <w:pPr>
        <w:ind w:firstLine="464"/>
        <w:spacing w:after="0" w:line="293" w:lineRule="auto"/>
        <w:tabs>
          <w:tab w:leader="none" w:pos="71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 such statement, and, upon such filing, Employee shall certify in writing to Employer that such returns have been so prepared and filed. Notwithstanding the provisions of Section (a) of this Exhibit 1, Employer shall not be obligated to indemnify Employee from and against any tax liability, cost or expense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184" w:name="page185"/>
    <w:bookmarkEnd w:id="18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without limitation, any liability for the Excise Tax or attorney’s fees or costs) to the extent such tax liability, cost or expense is attributable to your failure to comply with the provisions of this Section (b).</w:t>
      </w:r>
    </w:p>
    <w:p>
      <w:pPr>
        <w:spacing w:after="0" w:line="170" w:lineRule="exact"/>
        <w:rPr>
          <w:sz w:val="20"/>
          <w:szCs w:val="20"/>
          <w:color w:val="auto"/>
        </w:rPr>
      </w:pPr>
    </w:p>
    <w:p>
      <w:pPr>
        <w:ind w:right="40" w:firstLine="464"/>
        <w:spacing w:after="0" w:line="286" w:lineRule="auto"/>
        <w:tabs>
          <w:tab w:leader="none" w:pos="70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Employee shall not be obligated to furnish to Employer copies of any portion of his or her tax returns which do not bear upon, and are not affected by, the Controversy.</w:t>
      </w:r>
    </w:p>
    <w:p>
      <w:pPr>
        <w:spacing w:after="0" w:line="174" w:lineRule="exact"/>
        <w:rPr>
          <w:rFonts w:ascii="Arial" w:cs="Arial" w:eastAsia="Arial" w:hAnsi="Arial"/>
          <w:sz w:val="16"/>
          <w:szCs w:val="16"/>
          <w:color w:val="auto"/>
        </w:rPr>
      </w:pPr>
    </w:p>
    <w:p>
      <w:pPr>
        <w:ind w:right="20" w:firstLine="464"/>
        <w:spacing w:after="0" w:line="272" w:lineRule="auto"/>
        <w:tabs>
          <w:tab w:leader="none" w:pos="71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Section (d),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4" w:right="3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10.1.6.1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EMPLOYMENT AGREEMENT</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This First Amendment to Employment Agreement (this “First Amendment”) is made this 26th day of March, 2008, effective March 18, 2008 (the “Effective Date”), by and between Wynn Resorts, Limited (“Employer”) and John Strzemp (“Employee”).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Whereas, Employer and Employee are party to that certain Employment Agreement dated as of August 31, 2005 (the “Existing Agreement”); and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Whereas, Employer and Employee have agreed to modify the Existing Agreement as set forth herein.</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Now therefore, for and in consideration of the foregoing recitals, and in consideration of the mutual covenants, agreements, understandings, undertakings, representations, warranties and promises hereinafter set forth, and intending to be legally bound thereby, Employer and Employee agree as follows:</w:t>
      </w:r>
    </w:p>
    <w:p>
      <w:pPr>
        <w:spacing w:after="0" w:line="29" w:lineRule="exact"/>
        <w:rPr>
          <w:sz w:val="20"/>
          <w:szCs w:val="20"/>
          <w:color w:val="auto"/>
        </w:rPr>
      </w:pPr>
    </w:p>
    <w:p>
      <w:pPr>
        <w:ind w:left="900" w:right="28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Promotion</w:t>
      </w:r>
      <w:r>
        <w:rPr>
          <w:rFonts w:ascii="Arial" w:cs="Arial" w:eastAsia="Arial" w:hAnsi="Arial"/>
          <w:sz w:val="18"/>
          <w:szCs w:val="18"/>
          <w:color w:val="auto"/>
        </w:rPr>
        <w:t>. As of the Effective Date, Employee has been promoted to Executive Vice President and Chief Administrative Officer of Employer and Section 4 of the Existing Agreement is modified to reflect such change.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Section 6 of the Existing Agreement is modified to provide that the Term shall be extended until March 31, 2009.</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Bonus Compensation</w:t>
      </w:r>
      <w:r>
        <w:rPr>
          <w:rFonts w:ascii="Arial" w:cs="Arial" w:eastAsia="Arial" w:hAnsi="Arial"/>
          <w:sz w:val="18"/>
          <w:szCs w:val="18"/>
          <w:color w:val="auto"/>
        </w:rPr>
        <w:t>. Employer has agreed that Employee shall continue his participation in Employer’s Annual Performance Based Incentive Plan for 2008.</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Other than as modified hereby, the terms and conditions of the Existing Agreement are ratified and confirmed.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and delivered this First Amendment effective on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Wynn Resorts, Limited</w:t>
            </w:r>
          </w:p>
        </w:tc>
        <w:tc>
          <w:tcPr>
            <w:tcW w:w="7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Employee</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D. Schorr</w:t>
            </w:r>
          </w:p>
        </w:tc>
        <w:tc>
          <w:tcPr>
            <w:tcW w:w="78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Strzemp</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Marc D. Schorr</w:t>
            </w:r>
          </w:p>
        </w:tc>
        <w:tc>
          <w:tcPr>
            <w:tcW w:w="7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John Strzemp</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780" w:type="dxa"/>
            <w:vAlign w:val="bottom"/>
          </w:tcPr>
          <w:p>
            <w:pPr>
              <w:spacing w:after="0"/>
              <w:rPr>
                <w:sz w:val="20"/>
                <w:szCs w:val="20"/>
                <w:color w:val="auto"/>
              </w:rPr>
            </w:pPr>
          </w:p>
        </w:tc>
        <w:tc>
          <w:tcPr>
            <w:tcW w:w="502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10.1.6.2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This SECOND AMENDMENT TO EMPLOYMENT AGREEMENT (this “</w:t>
      </w:r>
      <w:r>
        <w:rPr>
          <w:rFonts w:ascii="Arial" w:cs="Arial" w:eastAsia="Arial" w:hAnsi="Arial"/>
          <w:sz w:val="18"/>
          <w:szCs w:val="18"/>
          <w:b w:val="1"/>
          <w:bCs w:val="1"/>
          <w:color w:val="auto"/>
        </w:rPr>
        <w:t>Second Amendment</w:t>
      </w:r>
      <w:r>
        <w:rPr>
          <w:rFonts w:ascii="Arial" w:cs="Arial" w:eastAsia="Arial" w:hAnsi="Arial"/>
          <w:sz w:val="18"/>
          <w:szCs w:val="18"/>
          <w:color w:val="auto"/>
        </w:rPr>
        <w:t>”) is entered into as of the 31 day of December, 2008,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John Strzemp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WHEREAS, Employer and Employee have entered into that certain Employment Agreement, dated as of August 31, 2005, as amended by that certain First Amendment to Employment Agreement dated as of March 26, 2008, effective March 18, 2008 (collectively, the “</w:t>
      </w:r>
      <w:r>
        <w:rPr>
          <w:rFonts w:ascii="Arial" w:cs="Arial" w:eastAsia="Arial" w:hAnsi="Arial"/>
          <w:sz w:val="17"/>
          <w:szCs w:val="17"/>
          <w:b w:val="1"/>
          <w:bCs w:val="1"/>
          <w:color w:val="auto"/>
        </w:rPr>
        <w:t>Agreement</w:t>
      </w:r>
      <w:r>
        <w:rPr>
          <w:rFonts w:ascii="Arial" w:cs="Arial" w:eastAsia="Arial" w:hAnsi="Arial"/>
          <w:sz w:val="17"/>
          <w:szCs w:val="17"/>
          <w:color w:val="auto"/>
        </w:rPr>
        <w:t>”); and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Employer is willing and Employee desires to modify certain terms and conditions to the Agreement as more fully set forth herein;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in consideration of the foregoing and the respective representations, warranties, covenants and agreements set forth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211" w:lineRule="exact"/>
        <w:rPr>
          <w:sz w:val="20"/>
          <w:szCs w:val="20"/>
          <w:color w:val="auto"/>
        </w:rPr>
      </w:pPr>
    </w:p>
    <w:p>
      <w:pPr>
        <w:ind w:right="400" w:firstLine="464"/>
        <w:spacing w:after="0" w:line="264" w:lineRule="auto"/>
        <w:tabs>
          <w:tab w:leader="none" w:pos="63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Termination of Affiliate Positions</w:t>
      </w:r>
      <w:r>
        <w:rPr>
          <w:rFonts w:ascii="Arial" w:cs="Arial" w:eastAsia="Arial" w:hAnsi="Arial"/>
          <w:sz w:val="18"/>
          <w:szCs w:val="18"/>
          <w:color w:val="auto"/>
        </w:rPr>
        <w:t>. Concurrent with Employee’s resignation from Employer or upon expiration or termination of the Agreement, Employee agrees to resign, and shall be deemed to have resigned, all other positions and Board of Director memberships that Employee may have held immediately prior to Employee’s resignation from Employer or expiration or termination of the Agreement.</w:t>
      </w:r>
    </w:p>
    <w:p>
      <w:pPr>
        <w:spacing w:after="0" w:line="181" w:lineRule="exact"/>
        <w:rPr>
          <w:rFonts w:ascii="Arial" w:cs="Arial" w:eastAsia="Arial" w:hAnsi="Arial"/>
          <w:sz w:val="18"/>
          <w:szCs w:val="18"/>
          <w:color w:val="auto"/>
        </w:rPr>
      </w:pPr>
    </w:p>
    <w:p>
      <w:pPr>
        <w:ind w:right="80" w:firstLine="464"/>
        <w:spacing w:after="0" w:line="270" w:lineRule="auto"/>
        <w:tabs>
          <w:tab w:leader="none" w:pos="636"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Section 409A Provision</w:t>
      </w:r>
      <w:r>
        <w:rPr>
          <w:rFonts w:ascii="Arial" w:cs="Arial" w:eastAsia="Arial" w:hAnsi="Arial"/>
          <w:sz w:val="17"/>
          <w:szCs w:val="17"/>
          <w:color w:val="auto"/>
        </w:rPr>
        <w:t>. Notwithstanding any provision of the Agreement to the contrary, if, at the time 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ectPr>
          <w:pgSz w:w="11900" w:h="16838" w:orient="portrait"/>
          <w:cols w:equalWidth="0" w:num="1">
            <w:col w:w="11420"/>
          </w:cols>
          <w:pgMar w:left="240" w:top="121" w:right="239" w:bottom="1440" w:gutter="0" w:footer="0" w:header="0"/>
        </w:sectPr>
      </w:pPr>
    </w:p>
    <w:bookmarkStart w:id="187" w:name="page188"/>
    <w:bookmarkEnd w:id="187"/>
    <w:p>
      <w:pPr>
        <w:ind w:right="180" w:firstLine="464"/>
        <w:spacing w:after="0" w:line="277" w:lineRule="auto"/>
        <w:tabs>
          <w:tab w:leader="none" w:pos="63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Second Amendment.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Second Amendment to be executed as of the date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4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14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 John Strzemp</w:t>
            </w:r>
          </w:p>
        </w:tc>
      </w:tr>
      <w:tr>
        <w:trPr>
          <w:trHeight w:val="209"/>
        </w:trPr>
        <w:tc>
          <w:tcPr>
            <w:tcW w:w="400" w:type="dxa"/>
            <w:vAlign w:val="bottom"/>
          </w:tcPr>
          <w:p>
            <w:pPr>
              <w:spacing w:after="0"/>
              <w:rPr>
                <w:sz w:val="18"/>
                <w:szCs w:val="18"/>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 D. Schorr</w:t>
            </w:r>
          </w:p>
        </w:tc>
        <w:tc>
          <w:tcPr>
            <w:tcW w:w="1460" w:type="dxa"/>
            <w:vAlign w:val="bottom"/>
          </w:tcPr>
          <w:p>
            <w:pPr>
              <w:spacing w:after="0"/>
              <w:rPr>
                <w:sz w:val="18"/>
                <w:szCs w:val="18"/>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Strzemp</w:t>
            </w:r>
          </w:p>
        </w:tc>
      </w:tr>
      <w:tr>
        <w:trPr>
          <w:trHeight w:val="230"/>
        </w:trPr>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1460" w:type="dxa"/>
            <w:vAlign w:val="bottom"/>
          </w:tcPr>
          <w:p>
            <w:pPr>
              <w:spacing w:after="0"/>
              <w:rPr>
                <w:sz w:val="20"/>
                <w:szCs w:val="20"/>
                <w:color w:val="auto"/>
              </w:rPr>
            </w:pPr>
          </w:p>
        </w:tc>
        <w:tc>
          <w:tcPr>
            <w:tcW w:w="478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10.1.6.3</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AMENDMENT TO 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to Employment Agreement is by and between John Strzemp (“Employee”) and Wynn Resorts, Limited (“Employer”).</w:t>
      </w:r>
    </w:p>
    <w:p>
      <w:pPr>
        <w:spacing w:after="0" w:line="17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WHEREAS, Employee and Employer have entered into that certain Employment Agreement, dated as of August 31, 2005, as amended (the “Employment Agreement”);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WHEREAS, due to the ongoing negative economic climate, Employee and Employer desire to amend the Employment Agreement in order to assist Employer to maintain business stability thereby preserving Employee’s employment.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for good and valuable consideration the receipt of which is hereby acknowledged, the parties hereto agree as follows:</w:t>
      </w:r>
    </w:p>
    <w:p>
      <w:pPr>
        <w:spacing w:after="0" w:line="84" w:lineRule="exact"/>
        <w:rPr>
          <w:sz w:val="20"/>
          <w:szCs w:val="20"/>
          <w:color w:val="auto"/>
        </w:rPr>
      </w:pPr>
    </w:p>
    <w:p>
      <w:pPr>
        <w:ind w:left="660" w:hanging="436"/>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Amendment to Base Salary</w:t>
      </w:r>
      <w:r>
        <w:rPr>
          <w:rFonts w:ascii="Arial" w:cs="Arial" w:eastAsia="Arial" w:hAnsi="Arial"/>
          <w:sz w:val="18"/>
          <w:szCs w:val="18"/>
          <w:color w:val="auto"/>
        </w:rPr>
        <w:t>. Effective February 16, 2009, the term “</w:t>
      </w:r>
      <w:r>
        <w:rPr>
          <w:rFonts w:ascii="Arial" w:cs="Arial" w:eastAsia="Arial" w:hAnsi="Arial"/>
          <w:sz w:val="18"/>
          <w:szCs w:val="18"/>
          <w:b w:val="1"/>
          <w:bCs w:val="1"/>
          <w:color w:val="auto"/>
        </w:rPr>
        <w:t>Base Salary</w:t>
      </w:r>
      <w:r>
        <w:rPr>
          <w:rFonts w:ascii="Arial" w:cs="Arial" w:eastAsia="Arial" w:hAnsi="Arial"/>
          <w:sz w:val="18"/>
          <w:szCs w:val="18"/>
          <w:color w:val="auto"/>
        </w:rPr>
        <w:t>” shall be mean $510,000 per annum</w:t>
      </w:r>
    </w:p>
    <w:p>
      <w:pPr>
        <w:spacing w:after="0" w:line="96" w:lineRule="exact"/>
        <w:rPr>
          <w:rFonts w:ascii="Arial" w:cs="Arial" w:eastAsia="Arial" w:hAnsi="Arial"/>
          <w:sz w:val="18"/>
          <w:szCs w:val="18"/>
          <w:color w:val="auto"/>
        </w:rPr>
      </w:pPr>
    </w:p>
    <w:p>
      <w:pPr>
        <w:ind w:left="660" w:right="540" w:hanging="436"/>
        <w:spacing w:after="0" w:line="268"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Employment Agreement is being modified only as stated herein, and agree that nothing else in the Employment Agreement shall be affected by this Amendment.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360" w:type="dxa"/>
            <w:vAlign w:val="bottom"/>
          </w:tcPr>
          <w:p>
            <w:pPr>
              <w:spacing w:after="0"/>
              <w:rPr>
                <w:sz w:val="19"/>
                <w:szCs w:val="19"/>
                <w:color w:val="auto"/>
              </w:rPr>
            </w:pPr>
          </w:p>
        </w:tc>
        <w:tc>
          <w:tcPr>
            <w:tcW w:w="5220" w:type="dxa"/>
            <w:vAlign w:val="bottom"/>
            <w:gridSpan w:val="2"/>
          </w:tcPr>
          <w:p>
            <w:pPr>
              <w:ind w:left="100"/>
              <w:spacing w:after="0"/>
              <w:rPr>
                <w:sz w:val="20"/>
                <w:szCs w:val="20"/>
                <w:color w:val="auto"/>
              </w:rPr>
            </w:pPr>
            <w:r>
              <w:rPr>
                <w:rFonts w:ascii="Arial" w:cs="Arial" w:eastAsia="Arial" w:hAnsi="Arial"/>
                <w:sz w:val="18"/>
                <w:szCs w:val="18"/>
                <w:b w:val="1"/>
                <w:bCs w:val="1"/>
                <w:color w:val="auto"/>
              </w:rPr>
              <w:t>EMPLOYEE</w:t>
            </w:r>
          </w:p>
        </w:tc>
        <w:tc>
          <w:tcPr>
            <w:tcW w:w="0" w:type="dxa"/>
            <w:vAlign w:val="bottom"/>
          </w:tcPr>
          <w:p>
            <w:pPr>
              <w:spacing w:after="0"/>
              <w:rPr>
                <w:sz w:val="1"/>
                <w:szCs w:val="1"/>
                <w:color w:val="auto"/>
              </w:rPr>
            </w:pPr>
          </w:p>
        </w:tc>
      </w:tr>
      <w:tr>
        <w:trPr>
          <w:trHeight w:val="433"/>
        </w:trPr>
        <w:tc>
          <w:tcPr>
            <w:tcW w:w="4840" w:type="dxa"/>
            <w:vAlign w:val="bottom"/>
            <w:tcBorders>
              <w:bottom w:val="single" w:sz="8" w:color="auto"/>
            </w:tcBorders>
            <w:gridSpan w:val="2"/>
          </w:tcPr>
          <w:p>
            <w:pPr>
              <w:jc w:val="right"/>
              <w:ind w:right="3392"/>
              <w:spacing w:after="0"/>
              <w:rPr>
                <w:sz w:val="20"/>
                <w:szCs w:val="20"/>
                <w:color w:val="auto"/>
              </w:rPr>
            </w:pPr>
            <w:r>
              <w:rPr>
                <w:rFonts w:ascii="Arial" w:cs="Arial" w:eastAsia="Arial" w:hAnsi="Arial"/>
                <w:sz w:val="18"/>
                <w:szCs w:val="18"/>
                <w:color w:val="auto"/>
              </w:rPr>
              <w:t>/s/ Matt Maddox</w:t>
            </w:r>
          </w:p>
        </w:tc>
        <w:tc>
          <w:tcPr>
            <w:tcW w:w="1360" w:type="dxa"/>
            <w:vAlign w:val="bottom"/>
          </w:tcPr>
          <w:p>
            <w:pPr>
              <w:spacing w:after="0"/>
              <w:rPr>
                <w:sz w:val="24"/>
                <w:szCs w:val="24"/>
                <w:color w:val="auto"/>
              </w:rPr>
            </w:pPr>
          </w:p>
        </w:tc>
        <w:tc>
          <w:tcPr>
            <w:tcW w:w="52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/s/ John Strzemp</w:t>
            </w:r>
          </w:p>
        </w:tc>
        <w:tc>
          <w:tcPr>
            <w:tcW w:w="0" w:type="dxa"/>
            <w:vAlign w:val="bottom"/>
          </w:tcPr>
          <w:p>
            <w:pPr>
              <w:spacing w:after="0"/>
              <w:rPr>
                <w:sz w:val="1"/>
                <w:szCs w:val="1"/>
                <w:color w:val="auto"/>
              </w:rPr>
            </w:pPr>
          </w:p>
        </w:tc>
      </w:tr>
      <w:tr>
        <w:trPr>
          <w:trHeight w:val="217"/>
        </w:trPr>
        <w:tc>
          <w:tcPr>
            <w:tcW w:w="280" w:type="dxa"/>
            <w:vAlign w:val="bottom"/>
            <w:vMerge w:val="restart"/>
          </w:tcPr>
          <w:p>
            <w:pPr>
              <w:spacing w:after="0"/>
              <w:rPr>
                <w:sz w:val="20"/>
                <w:szCs w:val="20"/>
                <w:color w:val="auto"/>
              </w:rPr>
            </w:pPr>
            <w:r>
              <w:rPr>
                <w:rFonts w:ascii="Arial" w:cs="Arial" w:eastAsia="Arial" w:hAnsi="Arial"/>
                <w:sz w:val="18"/>
                <w:szCs w:val="18"/>
                <w:color w:val="auto"/>
                <w:w w:val="99"/>
              </w:rPr>
              <w:t>By:</w:t>
            </w:r>
          </w:p>
        </w:tc>
        <w:tc>
          <w:tcPr>
            <w:tcW w:w="4560" w:type="dxa"/>
            <w:vAlign w:val="bottom"/>
            <w:vMerge w:val="restart"/>
          </w:tcPr>
          <w:p>
            <w:pPr>
              <w:jc w:val="right"/>
              <w:ind w:right="3392"/>
              <w:spacing w:after="0"/>
              <w:rPr>
                <w:sz w:val="20"/>
                <w:szCs w:val="20"/>
                <w:color w:val="auto"/>
              </w:rPr>
            </w:pPr>
            <w:r>
              <w:rPr>
                <w:rFonts w:ascii="Arial" w:cs="Arial" w:eastAsia="Arial" w:hAnsi="Arial"/>
                <w:sz w:val="18"/>
                <w:szCs w:val="18"/>
                <w:color w:val="auto"/>
              </w:rPr>
              <w:t>Matt Maddox</w:t>
            </w:r>
          </w:p>
        </w:tc>
        <w:tc>
          <w:tcPr>
            <w:tcW w:w="1360" w:type="dxa"/>
            <w:vAlign w:val="bottom"/>
          </w:tcPr>
          <w:p>
            <w:pPr>
              <w:spacing w:after="0"/>
              <w:rPr>
                <w:sz w:val="18"/>
                <w:szCs w:val="18"/>
                <w:color w:val="auto"/>
              </w:rPr>
            </w:pP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John Strzemp</w:t>
            </w:r>
          </w:p>
        </w:tc>
        <w:tc>
          <w:tcPr>
            <w:tcW w:w="0" w:type="dxa"/>
            <w:vAlign w:val="bottom"/>
          </w:tcPr>
          <w:p>
            <w:pPr>
              <w:spacing w:after="0"/>
              <w:rPr>
                <w:sz w:val="1"/>
                <w:szCs w:val="1"/>
                <w:color w:val="auto"/>
              </w:rPr>
            </w:pPr>
          </w:p>
        </w:tc>
      </w:tr>
      <w:tr>
        <w:trPr>
          <w:trHeight w:val="213"/>
        </w:trPr>
        <w:tc>
          <w:tcPr>
            <w:tcW w:w="280" w:type="dxa"/>
            <w:vAlign w:val="bottom"/>
            <w:vMerge w:val="continue"/>
          </w:tcPr>
          <w:p>
            <w:pPr>
              <w:spacing w:after="0"/>
              <w:rPr>
                <w:sz w:val="18"/>
                <w:szCs w:val="18"/>
                <w:color w:val="auto"/>
              </w:rPr>
            </w:pPr>
          </w:p>
        </w:tc>
        <w:tc>
          <w:tcPr>
            <w:tcW w:w="4560" w:type="dxa"/>
            <w:vAlign w:val="bottom"/>
            <w:tcBorders>
              <w:bottom w:val="single" w:sz="8" w:color="auto"/>
            </w:tcBorders>
            <w:vMerge w:val="continue"/>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gridSpan w:val="2"/>
            <w:vMerge w:val="restart"/>
          </w:tcPr>
          <w:p>
            <w:pPr>
              <w:ind w:left="100"/>
              <w:spacing w:after="0"/>
              <w:rPr>
                <w:sz w:val="20"/>
                <w:szCs w:val="20"/>
                <w:color w:val="auto"/>
              </w:rPr>
            </w:pPr>
            <w:r>
              <w:rPr>
                <w:rFonts w:ascii="Arial" w:cs="Arial" w:eastAsia="Arial" w:hAnsi="Arial"/>
                <w:sz w:val="18"/>
                <w:szCs w:val="18"/>
                <w:color w:val="auto"/>
              </w:rPr>
              <w:t>Date:  2/12/09</w:t>
            </w:r>
          </w:p>
        </w:tc>
        <w:tc>
          <w:tcPr>
            <w:tcW w:w="0" w:type="dxa"/>
            <w:vAlign w:val="bottom"/>
          </w:tcPr>
          <w:p>
            <w:pPr>
              <w:spacing w:after="0"/>
              <w:rPr>
                <w:sz w:val="1"/>
                <w:szCs w:val="1"/>
                <w:color w:val="auto"/>
              </w:rPr>
            </w:pPr>
          </w:p>
        </w:tc>
      </w:tr>
      <w:tr>
        <w:trPr>
          <w:trHeight w:val="197"/>
        </w:trPr>
        <w:tc>
          <w:tcPr>
            <w:tcW w:w="280" w:type="dxa"/>
            <w:vAlign w:val="bottom"/>
            <w:vMerge w:val="restart"/>
          </w:tcPr>
          <w:p>
            <w:pPr>
              <w:spacing w:after="0"/>
              <w:rPr>
                <w:sz w:val="20"/>
                <w:szCs w:val="20"/>
                <w:color w:val="auto"/>
              </w:rPr>
            </w:pPr>
            <w:r>
              <w:rPr>
                <w:rFonts w:ascii="Arial" w:cs="Arial" w:eastAsia="Arial" w:hAnsi="Arial"/>
                <w:sz w:val="18"/>
                <w:szCs w:val="18"/>
                <w:color w:val="auto"/>
              </w:rPr>
              <w:t>Its:</w:t>
            </w:r>
          </w:p>
        </w:tc>
        <w:tc>
          <w:tcPr>
            <w:tcW w:w="4560" w:type="dxa"/>
            <w:vAlign w:val="bottom"/>
            <w:vMerge w:val="restart"/>
          </w:tcPr>
          <w:p>
            <w:pPr>
              <w:jc w:val="right"/>
              <w:ind w:right="3112"/>
              <w:spacing w:after="0"/>
              <w:rPr>
                <w:sz w:val="20"/>
                <w:szCs w:val="20"/>
                <w:color w:val="auto"/>
              </w:rPr>
            </w:pPr>
            <w:r>
              <w:rPr>
                <w:rFonts w:ascii="Arial" w:cs="Arial" w:eastAsia="Arial" w:hAnsi="Arial"/>
                <w:sz w:val="18"/>
                <w:szCs w:val="18"/>
                <w:color w:val="auto"/>
                <w:w w:val="97"/>
              </w:rPr>
              <w:t>CFO &amp; Treasurer</w:t>
            </w:r>
          </w:p>
        </w:tc>
        <w:tc>
          <w:tcPr>
            <w:tcW w:w="1360" w:type="dxa"/>
            <w:vAlign w:val="bottom"/>
          </w:tcPr>
          <w:p>
            <w:pPr>
              <w:spacing w:after="0"/>
              <w:rPr>
                <w:sz w:val="17"/>
                <w:szCs w:val="17"/>
                <w:color w:val="auto"/>
              </w:rPr>
            </w:pPr>
          </w:p>
        </w:tc>
        <w:tc>
          <w:tcPr>
            <w:tcW w:w="5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0" w:type="dxa"/>
            <w:vAlign w:val="bottom"/>
            <w:vMerge w:val="continue"/>
          </w:tcPr>
          <w:p>
            <w:pPr>
              <w:spacing w:after="0"/>
              <w:rPr>
                <w:sz w:val="17"/>
                <w:szCs w:val="17"/>
                <w:color w:val="auto"/>
              </w:rPr>
            </w:pPr>
          </w:p>
        </w:tc>
        <w:tc>
          <w:tcPr>
            <w:tcW w:w="4560" w:type="dxa"/>
            <w:vAlign w:val="bottom"/>
            <w:tcBorders>
              <w:bottom w:val="single" w:sz="8" w:color="auto"/>
            </w:tcBorders>
            <w:vMerge w:val="continue"/>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10.1.6.4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This FOURTH AMENDMENT TO EMPLOYMENT AGREEMENT (this “</w:t>
      </w:r>
      <w:r>
        <w:rPr>
          <w:rFonts w:ascii="Arial" w:cs="Arial" w:eastAsia="Arial" w:hAnsi="Arial"/>
          <w:sz w:val="18"/>
          <w:szCs w:val="18"/>
          <w:b w:val="1"/>
          <w:bCs w:val="1"/>
          <w:color w:val="auto"/>
        </w:rPr>
        <w:t>Fourth Amendment</w:t>
      </w:r>
      <w:r>
        <w:rPr>
          <w:rFonts w:ascii="Arial" w:cs="Arial" w:eastAsia="Arial" w:hAnsi="Arial"/>
          <w:sz w:val="18"/>
          <w:szCs w:val="18"/>
          <w:color w:val="auto"/>
        </w:rPr>
        <w:t>”) is entered into on March 23, 2009,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John Strzemp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WHEREAS, Employer and Employee have entered into that certain Employment Agreement, dated as of August 31, 2005, as amended by that certain First Amendment to Employment Agreement, dated as of March 26, 2008, as further amended by that certain Second Amendment to Employment Agreement, dated as of December 31, 2008, and as further amended by that certain Amendment to Employment Agreement, dated February 12, 2009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Employer is willing and Employee desires to modify certain terms and conditions to the Agreement as more fully set forth herein;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in consideration of the foregoing and the respective representations, warranties, covenants and agreements set forth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211" w:lineRule="exact"/>
        <w:rPr>
          <w:sz w:val="20"/>
          <w:szCs w:val="20"/>
          <w:color w:val="auto"/>
        </w:rPr>
      </w:pPr>
    </w:p>
    <w:p>
      <w:pPr>
        <w:ind w:left="640" w:hanging="176"/>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Section 6 of the Agreement is amended to provide that the Term shall expire on March 31, 2013.</w:t>
      </w:r>
    </w:p>
    <w:p>
      <w:pPr>
        <w:spacing w:after="0" w:line="225" w:lineRule="exact"/>
        <w:rPr>
          <w:rFonts w:ascii="Arial" w:cs="Arial" w:eastAsia="Arial" w:hAnsi="Arial"/>
          <w:sz w:val="18"/>
          <w:szCs w:val="18"/>
          <w:color w:val="auto"/>
        </w:rPr>
      </w:pPr>
    </w:p>
    <w:p>
      <w:pPr>
        <w:ind w:right="100" w:firstLine="464"/>
        <w:spacing w:after="0" w:line="277" w:lineRule="auto"/>
        <w:tabs>
          <w:tab w:leader="none" w:pos="6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Section 8(a) of the Agreement is amended to provide that effective March 6, 2009, Base Salary paid to Employee shall be Six Hundred Fifty Thousand Dollars ($650,000) per annum.</w:t>
      </w:r>
    </w:p>
    <w:p>
      <w:pPr>
        <w:spacing w:after="0" w:line="170" w:lineRule="exact"/>
        <w:rPr>
          <w:rFonts w:ascii="Arial" w:cs="Arial" w:eastAsia="Arial" w:hAnsi="Arial"/>
          <w:sz w:val="18"/>
          <w:szCs w:val="18"/>
          <w:color w:val="auto"/>
        </w:rPr>
      </w:pPr>
    </w:p>
    <w:p>
      <w:pPr>
        <w:ind w:right="180" w:firstLine="464"/>
        <w:spacing w:after="0" w:line="277" w:lineRule="auto"/>
        <w:tabs>
          <w:tab w:leader="none" w:pos="6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Fourth Amendment.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Fourth Amendment to be executed as of the date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7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 John Strzemp</w:t>
            </w:r>
          </w:p>
        </w:tc>
      </w:tr>
      <w:tr>
        <w:trPr>
          <w:trHeight w:val="209"/>
        </w:trPr>
        <w:tc>
          <w:tcPr>
            <w:tcW w:w="38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 D. Schorr</w:t>
            </w:r>
          </w:p>
        </w:tc>
        <w:tc>
          <w:tcPr>
            <w:tcW w:w="76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Strzemp</w:t>
            </w:r>
          </w:p>
        </w:tc>
      </w:tr>
      <w:tr>
        <w:trPr>
          <w:trHeight w:val="230"/>
        </w:trPr>
        <w:tc>
          <w:tcPr>
            <w:tcW w:w="3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760" w:type="dxa"/>
            <w:vAlign w:val="bottom"/>
          </w:tcPr>
          <w:p>
            <w:pPr>
              <w:spacing w:after="0"/>
              <w:rPr>
                <w:sz w:val="20"/>
                <w:szCs w:val="20"/>
                <w:color w:val="auto"/>
              </w:rPr>
            </w:pPr>
          </w:p>
        </w:tc>
        <w:tc>
          <w:tcPr>
            <w:tcW w:w="514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10.1.6.5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jc w:val="both"/>
        <w:ind w:right="260" w:firstLine="456"/>
        <w:spacing w:after="0" w:line="266" w:lineRule="auto"/>
        <w:rPr>
          <w:sz w:val="20"/>
          <w:szCs w:val="20"/>
          <w:color w:val="auto"/>
        </w:rPr>
      </w:pPr>
      <w:r>
        <w:rPr>
          <w:rFonts w:ascii="Arial" w:cs="Arial" w:eastAsia="Arial" w:hAnsi="Arial"/>
          <w:sz w:val="18"/>
          <w:szCs w:val="18"/>
          <w:color w:val="auto"/>
        </w:rPr>
        <w:t>This FIFTH AMENDMENT TO EMPLOYMENT AGREEMENT (this “</w:t>
      </w:r>
      <w:r>
        <w:rPr>
          <w:rFonts w:ascii="Arial" w:cs="Arial" w:eastAsia="Arial" w:hAnsi="Arial"/>
          <w:sz w:val="18"/>
          <w:szCs w:val="18"/>
          <w:b w:val="1"/>
          <w:bCs w:val="1"/>
          <w:color w:val="auto"/>
        </w:rPr>
        <w:t>Fifth Amendment</w:t>
      </w:r>
      <w:r>
        <w:rPr>
          <w:rFonts w:ascii="Arial" w:cs="Arial" w:eastAsia="Arial" w:hAnsi="Arial"/>
          <w:sz w:val="18"/>
          <w:szCs w:val="18"/>
          <w:color w:val="auto"/>
        </w:rPr>
        <w:t>”) is entered into on February 25, 2013,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John Strzemp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WHEREAS, Employer and Employee have entered into that certain Employment Agreement, dated as of August 31, 2005, as amended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Employer is willing and Employee desires to modify certain terms and conditions to the Agreement as more fully set forth herein;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in consideration of the foregoing and the respective representations, warranties, covenants and agreements set forth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03" w:lineRule="exact"/>
        <w:rPr>
          <w:sz w:val="20"/>
          <w:szCs w:val="20"/>
          <w:color w:val="auto"/>
        </w:rPr>
      </w:pPr>
    </w:p>
    <w:p>
      <w:pPr>
        <w:ind w:left="640" w:hanging="17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Section 6 of the Agreement is amended to provide that the Term shall expire on March 31, 2017.</w:t>
      </w:r>
    </w:p>
    <w:p>
      <w:pPr>
        <w:spacing w:after="0" w:line="225" w:lineRule="exact"/>
        <w:rPr>
          <w:rFonts w:ascii="Arial" w:cs="Arial" w:eastAsia="Arial" w:hAnsi="Arial"/>
          <w:sz w:val="18"/>
          <w:szCs w:val="18"/>
          <w:color w:val="auto"/>
        </w:rPr>
      </w:pPr>
    </w:p>
    <w:p>
      <w:pPr>
        <w:ind w:right="320" w:firstLine="464"/>
        <w:spacing w:after="0" w:line="277" w:lineRule="auto"/>
        <w:tabs>
          <w:tab w:leader="none" w:pos="63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Section 8(a) of the Agreement is amended to provide that effective February 21, 2013, Base Salary paid to Employee shall be Seven Hundred Fifty Thousand Dollars ($750,000) per annum.</w:t>
      </w:r>
    </w:p>
    <w:p>
      <w:pPr>
        <w:spacing w:after="0" w:line="170" w:lineRule="exact"/>
        <w:rPr>
          <w:rFonts w:ascii="Arial" w:cs="Arial" w:eastAsia="Arial" w:hAnsi="Arial"/>
          <w:sz w:val="18"/>
          <w:szCs w:val="18"/>
          <w:color w:val="auto"/>
        </w:rPr>
      </w:pPr>
    </w:p>
    <w:p>
      <w:pPr>
        <w:ind w:right="60" w:firstLine="464"/>
        <w:spacing w:after="0" w:line="264" w:lineRule="auto"/>
        <w:tabs>
          <w:tab w:leader="none" w:pos="63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Equity Grant</w:t>
      </w:r>
      <w:r>
        <w:rPr>
          <w:rFonts w:ascii="Arial" w:cs="Arial" w:eastAsia="Arial" w:hAnsi="Arial"/>
          <w:sz w:val="18"/>
          <w:szCs w:val="18"/>
          <w:color w:val="auto"/>
        </w:rPr>
        <w:t>. The Compensation Committee of the Board of Directors of Wynn Resorts, Limited has approved that Employee be granted 25,000 shares of restricted stock of Wynn Resorts, Limited common stock pursuant to the Wynn Resorts, Limited 2002 Stock Incentive Plan. Such grant of restricted stock shall vest in accordance with the following schedule:</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2,500 shares on February 21, 2014,</w:t>
      </w:r>
    </w:p>
    <w:p>
      <w:pPr>
        <w:spacing w:after="0" w:line="23" w:lineRule="exact"/>
        <w:rPr>
          <w:rFonts w:ascii="Arial" w:cs="Arial" w:eastAsia="Arial" w:hAnsi="Arial"/>
          <w:sz w:val="18"/>
          <w:szCs w:val="18"/>
          <w:color w:val="auto"/>
        </w:rPr>
      </w:pPr>
    </w:p>
    <w:p>
      <w:pPr>
        <w:ind w:left="1480" w:hanging="567"/>
        <w:spacing w:after="0"/>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2,500 shares on February 21, 2015,</w:t>
      </w:r>
    </w:p>
    <w:p>
      <w:pPr>
        <w:spacing w:after="0" w:line="9" w:lineRule="exact"/>
        <w:rPr>
          <w:rFonts w:ascii="Arial" w:cs="Arial" w:eastAsia="Arial" w:hAnsi="Arial"/>
          <w:sz w:val="18"/>
          <w:szCs w:val="18"/>
          <w:color w:val="auto"/>
        </w:rPr>
      </w:pPr>
    </w:p>
    <w:p>
      <w:pPr>
        <w:ind w:left="1480" w:hanging="567"/>
        <w:spacing w:after="0"/>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2,500 shares on February 21, 2016 and</w:t>
      </w:r>
    </w:p>
    <w:p>
      <w:pPr>
        <w:spacing w:after="0" w:line="9" w:lineRule="exact"/>
        <w:rPr>
          <w:rFonts w:ascii="Arial" w:cs="Arial" w:eastAsia="Arial" w:hAnsi="Arial"/>
          <w:sz w:val="18"/>
          <w:szCs w:val="18"/>
          <w:color w:val="auto"/>
        </w:rPr>
      </w:pPr>
    </w:p>
    <w:p>
      <w:pPr>
        <w:ind w:left="1480" w:hanging="567"/>
        <w:spacing w:after="0"/>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17,500 shares on February 21, 2017.</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Employee and Employer shall enter into a separate restricted stock agreement setting forth all the terms and conditions of the restricted stock grant.</w:t>
      </w:r>
    </w:p>
    <w:p>
      <w:pPr>
        <w:spacing w:after="0" w:line="237" w:lineRule="exact"/>
        <w:rPr>
          <w:sz w:val="20"/>
          <w:szCs w:val="20"/>
          <w:color w:val="auto"/>
        </w:rPr>
      </w:pPr>
    </w:p>
    <w:p>
      <w:pPr>
        <w:ind w:right="180" w:firstLine="464"/>
        <w:spacing w:after="0" w:line="277" w:lineRule="auto"/>
        <w:tabs>
          <w:tab w:leader="none" w:pos="636"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Fourth Amendment.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Fifth Amendment to be executed as of the date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46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14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 John Strzemp</w:t>
            </w:r>
          </w:p>
        </w:tc>
      </w:tr>
      <w:tr>
        <w:trPr>
          <w:trHeight w:val="209"/>
        </w:trPr>
        <w:tc>
          <w:tcPr>
            <w:tcW w:w="400" w:type="dxa"/>
            <w:vAlign w:val="bottom"/>
          </w:tcPr>
          <w:p>
            <w:pPr>
              <w:spacing w:after="0"/>
              <w:rPr>
                <w:sz w:val="18"/>
                <w:szCs w:val="18"/>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 D. Schorr</w:t>
            </w:r>
          </w:p>
        </w:tc>
        <w:tc>
          <w:tcPr>
            <w:tcW w:w="1460" w:type="dxa"/>
            <w:vAlign w:val="bottom"/>
          </w:tcPr>
          <w:p>
            <w:pPr>
              <w:spacing w:after="0"/>
              <w:rPr>
                <w:sz w:val="18"/>
                <w:szCs w:val="18"/>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Strzemp</w:t>
            </w:r>
          </w:p>
        </w:tc>
      </w:tr>
      <w:tr>
        <w:trPr>
          <w:trHeight w:val="230"/>
        </w:trPr>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1460" w:type="dxa"/>
            <w:vAlign w:val="bottom"/>
          </w:tcPr>
          <w:p>
            <w:pPr>
              <w:spacing w:after="0"/>
              <w:rPr>
                <w:sz w:val="20"/>
                <w:szCs w:val="20"/>
                <w:color w:val="auto"/>
              </w:rPr>
            </w:pPr>
          </w:p>
        </w:tc>
        <w:tc>
          <w:tcPr>
            <w:tcW w:w="478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10.1.6.6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This SIXTH AMENDMENT TO EMPLOYMENT AGREEMENT (this “</w:t>
      </w:r>
      <w:r>
        <w:rPr>
          <w:rFonts w:ascii="Arial" w:cs="Arial" w:eastAsia="Arial" w:hAnsi="Arial"/>
          <w:sz w:val="18"/>
          <w:szCs w:val="18"/>
          <w:b w:val="1"/>
          <w:bCs w:val="1"/>
          <w:color w:val="auto"/>
        </w:rPr>
        <w:t>Sixth Amendment</w:t>
      </w:r>
      <w:r>
        <w:rPr>
          <w:rFonts w:ascii="Arial" w:cs="Arial" w:eastAsia="Arial" w:hAnsi="Arial"/>
          <w:sz w:val="18"/>
          <w:szCs w:val="18"/>
          <w:color w:val="auto"/>
        </w:rPr>
        <w:t>”) is entered into on September 10, 2013,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John Strzemp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WHEREAS, Employer and Employee have entered into that certain Employment Agreement, dated as of August 31, 2005, as amended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Employer is willing and Employee desires to modify certain terms and conditions to the Agreement as more fully set forth herein;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in consideration of the foregoing and the respective representations, warranties, covenants and agreements set forth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20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u w:val="single" w:color="auto"/>
          <w:color w:val="auto"/>
        </w:rPr>
        <w:t>FCPA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advises Employee that the United States Foreign Corrupt Practices Act (“FCPA”) prohibits offering, providing, or</w:t>
      </w:r>
      <w:r>
        <w:rPr>
          <w:rFonts w:ascii="Arial" w:cs="Arial" w:eastAsia="Arial" w:hAnsi="Arial"/>
          <w:sz w:val="17"/>
          <w:szCs w:val="17"/>
          <w:b w:val="1"/>
          <w:bCs w:val="1"/>
          <w:color w:val="auto"/>
        </w:rPr>
        <w:t xml:space="preserve"> </w:t>
      </w:r>
      <w:r>
        <w:rPr>
          <w:rFonts w:ascii="Arial" w:cs="Arial" w:eastAsia="Arial" w:hAnsi="Arial"/>
          <w:sz w:val="17"/>
          <w:szCs w:val="17"/>
          <w:color w:val="auto"/>
        </w:rPr>
        <w:t>promising anything of value (including money, preferential treatment, and any other sort of advantage), either directly or indirectly, by a United States company, or any of its employees, subsidiaries, affiliates, or agents, to an official of a foreign government, a foreign political party, party official, or candidate for foreign political office (or any family members of any of these real persons),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Employee understands that Employee may not directly or indirectly offer, promise, grant, or authorize the giving of money or anything else of value to a government official to influence official action or obtain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will act in accordance with all applicable laws regarding anti-corruption, including the FCPA, the U.K. Bribery Act, and all other state, federal, and international laws related to anti-corruption. Employee agrees that he or she will not take any action which would cause Employer to be in violation of the FCPA or any other applicable anti-corruption law, regulation, or Company policy or procedure. Employee further represents and warrants that Employee will know and understand, and act in accordance with, all Company policies and procedures related to anti-corruption and business conduct. Employee agrees to attend mandatory compliance training. Employee undertakes to duly notify Employer if Employee becomes aware of any such violation of Company policies or procedures, or any other violation of law, committed by Employee or any other person or entity, and to indemnify Employer for any losses, damages, fines, and/or penalties which Employer may suffer or incur arising out of or incidental to any such violation committed by Employee.</w:t>
      </w:r>
    </w:p>
    <w:p>
      <w:pPr>
        <w:spacing w:after="0" w:line="18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Employee also represents and warrants that Employee will disclose to the Employer if Employee or any member of Employee’s family is an official of a foreign government or foreign political party, or is a candidate for foreign political office.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case of breach of this provision, the Employer may suspend or terminate this Agreement at any time without notice or indemnity.</w:t>
      </w:r>
    </w:p>
    <w:p>
      <w:pPr>
        <w:sectPr>
          <w:pgSz w:w="11900" w:h="16838" w:orient="portrait"/>
          <w:cols w:equalWidth="0" w:num="1">
            <w:col w:w="11420"/>
          </w:cols>
          <w:pgMar w:left="240" w:top="121" w:right="239" w:bottom="1440" w:gutter="0" w:footer="0" w:header="0"/>
        </w:sectPr>
      </w:pPr>
    </w:p>
    <w:bookmarkStart w:id="192" w:name="page193"/>
    <w:bookmarkEnd w:id="192"/>
    <w:p>
      <w:pPr>
        <w:ind w:right="180" w:firstLine="464"/>
        <w:spacing w:after="0" w:line="277" w:lineRule="auto"/>
        <w:tabs>
          <w:tab w:leader="none" w:pos="63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Fourth Amendment.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Fifth Amendment to be executed as of the date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5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5060" w:type="dxa"/>
            <w:vAlign w:val="bottom"/>
            <w:gridSpan w:val="2"/>
          </w:tcPr>
          <w:p>
            <w:pPr>
              <w:spacing w:after="0"/>
              <w:rPr>
                <w:sz w:val="20"/>
                <w:szCs w:val="20"/>
                <w:color w:val="auto"/>
              </w:rPr>
            </w:pPr>
            <w:r>
              <w:rPr>
                <w:rFonts w:ascii="Arial" w:cs="Arial" w:eastAsia="Arial" w:hAnsi="Arial"/>
                <w:sz w:val="18"/>
                <w:szCs w:val="18"/>
                <w:color w:val="auto"/>
              </w:rPr>
              <w:t>By:  /s/ Matt Maddox</w:t>
            </w:r>
          </w:p>
        </w:tc>
        <w:tc>
          <w:tcPr>
            <w:tcW w:w="158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 John Strzemp</w:t>
            </w:r>
          </w:p>
        </w:tc>
      </w:tr>
      <w:tr>
        <w:trPr>
          <w:trHeight w:val="209"/>
        </w:trPr>
        <w:tc>
          <w:tcPr>
            <w:tcW w:w="38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 Maddox</w:t>
            </w:r>
          </w:p>
        </w:tc>
        <w:tc>
          <w:tcPr>
            <w:tcW w:w="1580" w:type="dxa"/>
            <w:vAlign w:val="bottom"/>
          </w:tcPr>
          <w:p>
            <w:pPr>
              <w:spacing w:after="0"/>
              <w:rPr>
                <w:sz w:val="18"/>
                <w:szCs w:val="18"/>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Strzemp</w:t>
            </w:r>
          </w:p>
        </w:tc>
      </w:tr>
      <w:tr>
        <w:trPr>
          <w:trHeight w:val="230"/>
        </w:trPr>
        <w:tc>
          <w:tcPr>
            <w:tcW w:w="3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580" w:type="dxa"/>
            <w:vAlign w:val="bottom"/>
          </w:tcPr>
          <w:p>
            <w:pPr>
              <w:spacing w:after="0"/>
              <w:rPr>
                <w:sz w:val="20"/>
                <w:szCs w:val="20"/>
                <w:color w:val="auto"/>
              </w:rPr>
            </w:pPr>
          </w:p>
        </w:tc>
        <w:tc>
          <w:tcPr>
            <w:tcW w:w="478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WYNN RESORTS, LIMITED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Rambas Marketing Co., LLC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International Marketing, Ltd (an Isle of Man limited liabilitycompany)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limited liability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 Clothiers, LLC (a 50%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Gallery,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Chamber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Vacations,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Asia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 Realty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PA,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Everett Property,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Koval,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Hotel Marketing &amp; Sales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WM Cayman Holdings Limited I (a Cayman Islands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Macau, Limited (a Cayman Islands company and a 72.3% owned company)</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WM Cayman Holdings Limited II (a Cayman Islands company)</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Wynn Resorts, International, Ltd. (an Isle of Man company)</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Wynn Resorts (Macau) Holdings, Ltd. (an Isle of Man company)</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Wynn Resorts (Macau), Ltd. (a Hong Kong Limited company)</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Wynn Resorts (Macau), S.A. (a Macau SA company)</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Palo Real Estate Company Ltd. (a Macau SA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Macau Development Company, LLC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Cotai Holding Company, Ltd. (an Isle of Man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Cotai Partner, Ltd. (an Isle of Man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IOM Holdco I, Ltd. (an Isle of Man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IOM Holdco II, Ltd. (as Isle of Man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Manpower, Limited (a Macau limited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SH Hoteleria Limitada (a Macau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Sunrise, LLC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Kevyn,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PW automotive, LLC (a Delaware Limited Liability Company and 50%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Interactive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Interactive,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North Asia, LLC</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subsidiaries are formed in the State of Nevada and wholly owned unless otherwise specifically identified.</w:t>
      </w:r>
    </w:p>
    <w:p>
      <w:pPr>
        <w:sectPr>
          <w:pgSz w:w="11900" w:h="16838" w:orient="portrait"/>
          <w:cols w:equalWidth="0" w:num="1">
            <w:col w:w="11420"/>
          </w:cols>
          <w:pgMar w:left="240" w:top="125"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consent to the incorporation by reference in Registration Statements No. 333-168323 and No. 333-100891 on Form S-8 and Registration Statement No. 333-192483 on Form S-3 of our reports dated February 28, 2014 with respect to the consolidated financial statements and schedules of Wynn Resorts, Limited and the effectiveness of internal control over financial reporting of Wynn Resorts, Limited, included in this Annual Report on Form 10-K for the year ended December 31,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ectPr>
          <w:pgSz w:w="11900" w:h="16838" w:orient="portrait"/>
          <w:cols w:equalWidth="0" w:num="1">
            <w:col w:w="11420"/>
          </w:cols>
          <w:pgMar w:left="240" w:top="125"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20"/>
                <w:szCs w:val="20"/>
                <w:color w:val="auto"/>
              </w:rPr>
            </w:pPr>
            <w:r>
              <w:rPr>
                <w:rFonts w:ascii="Arial" w:cs="Arial" w:eastAsia="Arial" w:hAnsi="Arial"/>
                <w:sz w:val="18"/>
                <w:szCs w:val="18"/>
                <w:color w:val="auto"/>
              </w:rPr>
              <w:t>Date: February 28, 2014</w:t>
            </w:r>
          </w:p>
        </w:tc>
        <w:tc>
          <w:tcPr>
            <w:tcW w:w="25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 Stephen A. Wynn</w:t>
            </w:r>
          </w:p>
        </w:tc>
      </w:tr>
      <w:tr>
        <w:trPr>
          <w:trHeight w:val="228"/>
        </w:trPr>
        <w:tc>
          <w:tcPr>
            <w:tcW w:w="606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16"/>
        </w:trPr>
        <w:tc>
          <w:tcPr>
            <w:tcW w:w="60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Chairman of the Board and</w:t>
            </w:r>
          </w:p>
        </w:tc>
      </w:tr>
      <w:tr>
        <w:trPr>
          <w:trHeight w:val="216"/>
        </w:trPr>
        <w:tc>
          <w:tcPr>
            <w:tcW w:w="60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2"/>
        </w:trPr>
        <w:tc>
          <w:tcPr>
            <w:tcW w:w="606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20"/>
                <w:szCs w:val="20"/>
                <w:color w:val="auto"/>
              </w:rPr>
            </w:pPr>
            <w:r>
              <w:rPr>
                <w:rFonts w:ascii="Arial" w:cs="Arial" w:eastAsia="Arial" w:hAnsi="Arial"/>
                <w:sz w:val="18"/>
                <w:szCs w:val="18"/>
                <w:color w:val="auto"/>
              </w:rPr>
              <w:t>Date: February 28, 2014</w:t>
            </w:r>
          </w:p>
        </w:tc>
        <w:tc>
          <w:tcPr>
            <w:tcW w:w="22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 Matt Maddox</w:t>
            </w:r>
          </w:p>
        </w:tc>
        <w:tc>
          <w:tcPr>
            <w:tcW w:w="940" w:type="dxa"/>
            <w:vAlign w:val="bottom"/>
          </w:tcPr>
          <w:p>
            <w:pPr>
              <w:spacing w:after="0"/>
              <w:rPr>
                <w:sz w:val="18"/>
                <w:szCs w:val="18"/>
                <w:color w:val="auto"/>
              </w:rPr>
            </w:pPr>
          </w:p>
        </w:tc>
      </w:tr>
      <w:tr>
        <w:trPr>
          <w:trHeight w:val="228"/>
        </w:trPr>
        <w:tc>
          <w:tcPr>
            <w:tcW w:w="606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Matt Maddox</w:t>
            </w:r>
          </w:p>
        </w:tc>
      </w:tr>
      <w:tr>
        <w:trPr>
          <w:trHeight w:val="216"/>
        </w:trPr>
        <w:tc>
          <w:tcPr>
            <w:tcW w:w="606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President and Chief Financial Officer</w:t>
            </w:r>
          </w:p>
        </w:tc>
      </w:tr>
      <w:tr>
        <w:trPr>
          <w:trHeight w:val="222"/>
        </w:trPr>
        <w:tc>
          <w:tcPr>
            <w:tcW w:w="606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0"/>
              </w:rPr>
              <w:t>(Principal Financial and Accounting Officer)</w:t>
            </w:r>
          </w:p>
        </w:tc>
      </w:tr>
    </w:tbl>
    <w:p>
      <w:pPr>
        <w:sectPr>
          <w:pgSz w:w="11900" w:h="16838" w:orient="portrait"/>
          <w:cols w:equalWidth="0" w:num="1">
            <w:col w:w="11420"/>
          </w:cols>
          <w:pgMar w:left="240" w:top="125"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Annual Report on Form 10-K of Wynn Resorts, Limited (the “Company”) for the year ended December 31, 2013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184"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Stephen A. Wynn</w:t>
            </w:r>
          </w:p>
        </w:tc>
      </w:tr>
      <w:tr>
        <w:trPr>
          <w:trHeight w:val="202"/>
        </w:trPr>
        <w:tc>
          <w:tcPr>
            <w:tcW w:w="20" w:type="dxa"/>
            <w:vAlign w:val="bottom"/>
          </w:tcPr>
          <w:p>
            <w:pPr>
              <w:spacing w:after="0"/>
              <w:rPr>
                <w:sz w:val="17"/>
                <w:szCs w:val="17"/>
                <w:color w:val="auto"/>
              </w:rPr>
            </w:pPr>
          </w:p>
        </w:tc>
        <w:tc>
          <w:tcPr>
            <w:tcW w:w="62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40" w:type="dxa"/>
            <w:vAlign w:val="bottom"/>
          </w:tcPr>
          <w:p>
            <w:pPr>
              <w:ind w:left="160"/>
              <w:spacing w:after="0" w:line="202" w:lineRule="exact"/>
              <w:rPr>
                <w:sz w:val="20"/>
                <w:szCs w:val="20"/>
                <w:color w:val="auto"/>
              </w:rPr>
            </w:pPr>
            <w:r>
              <w:rPr>
                <w:rFonts w:ascii="Arial" w:cs="Arial" w:eastAsia="Arial" w:hAnsi="Arial"/>
                <w:sz w:val="18"/>
                <w:szCs w:val="18"/>
                <w:color w:val="auto"/>
              </w:rPr>
              <w:t>Stephen A. Wynn</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160"/>
              <w:spacing w:after="0"/>
              <w:rPr>
                <w:sz w:val="20"/>
                <w:szCs w:val="20"/>
                <w:color w:val="auto"/>
              </w:rPr>
            </w:pPr>
            <w:r>
              <w:rPr>
                <w:rFonts w:ascii="Arial" w:cs="Arial" w:eastAsia="Arial" w:hAnsi="Arial"/>
                <w:sz w:val="18"/>
                <w:szCs w:val="18"/>
                <w:color w:val="auto"/>
                <w:w w:val="98"/>
              </w:rPr>
              <w:t>Chairman and Chief Executive Officer (Principal</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Executive Officer)</w:t>
            </w: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rPr>
              <w:t>Date:</w:t>
            </w:r>
          </w:p>
        </w:tc>
        <w:tc>
          <w:tcPr>
            <w:tcW w:w="3940" w:type="dxa"/>
            <w:vAlign w:val="bottom"/>
          </w:tcPr>
          <w:p>
            <w:pPr>
              <w:ind w:left="160"/>
              <w:spacing w:after="0"/>
              <w:rPr>
                <w:sz w:val="20"/>
                <w:szCs w:val="20"/>
                <w:color w:val="auto"/>
              </w:rPr>
            </w:pPr>
            <w:r>
              <w:rPr>
                <w:rFonts w:ascii="Arial" w:cs="Arial" w:eastAsia="Arial" w:hAnsi="Arial"/>
                <w:sz w:val="18"/>
                <w:szCs w:val="18"/>
                <w:color w:val="auto"/>
              </w:rPr>
              <w:t>February 28, 2014</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Matt Maddox</w:t>
            </w:r>
          </w:p>
        </w:tc>
      </w:tr>
      <w:tr>
        <w:trPr>
          <w:trHeight w:val="202"/>
        </w:trPr>
        <w:tc>
          <w:tcPr>
            <w:tcW w:w="20" w:type="dxa"/>
            <w:vAlign w:val="bottom"/>
          </w:tcPr>
          <w:p>
            <w:pPr>
              <w:spacing w:after="0"/>
              <w:rPr>
                <w:sz w:val="17"/>
                <w:szCs w:val="17"/>
                <w:color w:val="auto"/>
              </w:rPr>
            </w:pPr>
          </w:p>
        </w:tc>
        <w:tc>
          <w:tcPr>
            <w:tcW w:w="62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40" w:type="dxa"/>
            <w:vAlign w:val="bottom"/>
          </w:tcPr>
          <w:p>
            <w:pPr>
              <w:ind w:left="160"/>
              <w:spacing w:after="0" w:line="202" w:lineRule="exact"/>
              <w:rPr>
                <w:sz w:val="20"/>
                <w:szCs w:val="20"/>
                <w:color w:val="auto"/>
              </w:rPr>
            </w:pPr>
            <w:r>
              <w:rPr>
                <w:rFonts w:ascii="Arial" w:cs="Arial" w:eastAsia="Arial" w:hAnsi="Arial"/>
                <w:sz w:val="18"/>
                <w:szCs w:val="18"/>
                <w:color w:val="auto"/>
              </w:rPr>
              <w:t>Matt Maddox</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160"/>
              <w:spacing w:after="0"/>
              <w:rPr>
                <w:sz w:val="20"/>
                <w:szCs w:val="20"/>
                <w:color w:val="auto"/>
              </w:rPr>
            </w:pPr>
            <w:r>
              <w:rPr>
                <w:rFonts w:ascii="Arial" w:cs="Arial" w:eastAsia="Arial" w:hAnsi="Arial"/>
                <w:sz w:val="18"/>
                <w:szCs w:val="18"/>
                <w:color w:val="auto"/>
              </w:rPr>
              <w:t>President and Chief Financial Officer (Principal</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Financial and Accounting Officer)</w:t>
            </w: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rPr>
              <w:t>Date:</w:t>
            </w:r>
          </w:p>
        </w:tc>
        <w:tc>
          <w:tcPr>
            <w:tcW w:w="3940" w:type="dxa"/>
            <w:vAlign w:val="bottom"/>
          </w:tcPr>
          <w:p>
            <w:pPr>
              <w:ind w:left="160"/>
              <w:spacing w:after="0"/>
              <w:rPr>
                <w:sz w:val="20"/>
                <w:szCs w:val="20"/>
                <w:color w:val="auto"/>
              </w:rPr>
            </w:pPr>
            <w:r>
              <w:rPr>
                <w:rFonts w:ascii="Arial" w:cs="Arial" w:eastAsia="Arial" w:hAnsi="Arial"/>
                <w:sz w:val="18"/>
                <w:szCs w:val="18"/>
                <w:color w:val="auto"/>
              </w:rPr>
              <w:t>February 28,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1)"/>
      <w:numFmt w:val="decimal"/>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1)"/>
      <w:numFmt w:val="decimal"/>
      <w:start w:val="1"/>
    </w:lvl>
  </w:abstractNum>
  <w:abstractNum w:abstractNumId="23">
    <w:nsid w:val="5F5E7FD0"/>
    <w:multiLevelType w:val="hybridMultilevel"/>
    <w:lvl w:ilvl="0">
      <w:lvlJc w:val="left"/>
      <w:lvlText w:val="(%1)"/>
      <w:numFmt w:val="decimal"/>
      <w:start w:val="3"/>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1]"/>
      <w:numFmt w:val="decimal"/>
      <w:start w:val="1"/>
    </w:lvl>
  </w:abstractNum>
  <w:abstractNum w:abstractNumId="27">
    <w:nsid w:val="42C296BD"/>
    <w:multiLevelType w:val="hybridMultilevel"/>
    <w:lvl w:ilvl="0">
      <w:lvlJc w:val="left"/>
      <w:lvlText w:val="[%1]"/>
      <w:numFmt w:val="decimal"/>
      <w:start w:val="3"/>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1)"/>
      <w:numFmt w:val="decimal"/>
      <w:start w:val="1"/>
    </w:lvl>
  </w:abstractNum>
  <w:abstractNum w:abstractNumId="32">
    <w:nsid w:val="540A471C"/>
    <w:multiLevelType w:val="hybridMultilevel"/>
    <w:lvl w:ilvl="0">
      <w:lvlJc w:val="left"/>
      <w:lvlText w:val="(%1)"/>
      <w:numFmt w:val="decimal"/>
      <w:start w:val="1"/>
    </w:lvl>
  </w:abstractNum>
  <w:abstractNum w:abstractNumId="33">
    <w:nsid w:val="7BD3EE7B"/>
    <w:multiLevelType w:val="hybridMultilevel"/>
    <w:lvl w:ilvl="0">
      <w:lvlJc w:val="left"/>
      <w:lvlText w:val="[%1]"/>
      <w:numFmt w:val="decimal"/>
      <w:start w:val="1"/>
    </w:lvl>
  </w:abstractNum>
  <w:abstractNum w:abstractNumId="34">
    <w:nsid w:val="51D9C564"/>
    <w:multiLevelType w:val="hybridMultilevel"/>
    <w:lvl w:ilvl="0">
      <w:lvlJc w:val="left"/>
      <w:lvlText w:val="%1."/>
      <w:numFmt w:val="decimal"/>
      <w:start w:val="2"/>
    </w:lvl>
  </w:abstractNum>
  <w:abstractNum w:abstractNumId="35">
    <w:nsid w:val="613EFDC5"/>
    <w:multiLevelType w:val="hybridMultilevel"/>
    <w:lvl w:ilvl="0">
      <w:lvlJc w:val="left"/>
      <w:lvlText w:val="%1."/>
      <w:numFmt w:val="decimal"/>
      <w:start w:val="10"/>
    </w:lvl>
  </w:abstractNum>
  <w:abstractNum w:abstractNumId="36">
    <w:nsid w:val="BF72B14"/>
    <w:multiLevelType w:val="hybridMultilevel"/>
    <w:lvl w:ilvl="0">
      <w:lvlJc w:val="left"/>
      <w:lvlText w:val="%1."/>
      <w:numFmt w:val="decimal"/>
      <w:start w:val="12"/>
    </w:lvl>
  </w:abstractNum>
  <w:abstractNum w:abstractNumId="37">
    <w:nsid w:val="11447B73"/>
    <w:multiLevelType w:val="hybridMultilevel"/>
    <w:lvl w:ilvl="0">
      <w:lvlJc w:val="left"/>
      <w:lvlText w:val="%1."/>
      <w:numFmt w:val="decimal"/>
      <w:start w:val="14"/>
    </w:lvl>
  </w:abstractNum>
  <w:abstractNum w:abstractNumId="38">
    <w:nsid w:val="42963E5A"/>
    <w:multiLevelType w:val="hybridMultilevel"/>
    <w:lvl w:ilvl="0">
      <w:lvlJc w:val="left"/>
      <w:lvlText w:val="(%1)"/>
      <w:numFmt w:val="decimal"/>
      <w:start w:val="1"/>
    </w:lvl>
  </w:abstractNum>
  <w:abstractNum w:abstractNumId="39">
    <w:nsid w:val="A0382C5"/>
    <w:multiLevelType w:val="hybridMultilevel"/>
    <w:lvl w:ilvl="0">
      <w:lvlJc w:val="left"/>
      <w:lvlText w:val="(%1)"/>
      <w:numFmt w:val="decimal"/>
      <w:start w:val="3"/>
    </w:lvl>
  </w:abstractNum>
  <w:abstractNum w:abstractNumId="40">
    <w:nsid w:val="8F2B15E"/>
    <w:multiLevelType w:val="hybridMultilevel"/>
    <w:lvl w:ilvl="0">
      <w:lvlJc w:val="left"/>
      <w:lvlText w:val="(%1)"/>
      <w:numFmt w:val="decimal"/>
      <w:start w:val="1"/>
    </w:lvl>
  </w:abstractNum>
  <w:abstractNum w:abstractNumId="41">
    <w:nsid w:val="1A32234B"/>
    <w:multiLevelType w:val="hybridMultilevel"/>
    <w:lvl w:ilvl="0">
      <w:lvlJc w:val="left"/>
      <w:lvlText w:val="(%1)"/>
      <w:numFmt w:val="lowerLetter"/>
      <w:start w:val="1"/>
    </w:lvl>
  </w:abstractNum>
  <w:abstractNum w:abstractNumId="42">
    <w:nsid w:val="3B0FD379"/>
    <w:multiLevelType w:val="hybridMultilevel"/>
    <w:lvl w:ilvl="0">
      <w:lvlJc w:val="left"/>
      <w:lvlText w:val="(%1)"/>
      <w:numFmt w:val="lowerLetter"/>
      <w:start w:val="3"/>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1"/>
      <w:numFmt w:val="decimal"/>
      <w:start w:val="101"/>
    </w:lvl>
  </w:abstractNum>
  <w:abstractNum w:abstractNumId="46">
    <w:nsid w:val="6A5EE64"/>
    <w:multiLevelType w:val="hybridMultilevel"/>
    <w:lvl w:ilvl="0">
      <w:lvlJc w:val="left"/>
      <w:lvlText w:val="*"/>
      <w:numFmt w:val="bullet"/>
      <w:start w:val="1"/>
    </w:lvl>
  </w:abstractNum>
  <w:abstractNum w:abstractNumId="47">
    <w:nsid w:val="14330624"/>
    <w:multiLevelType w:val="hybridMultilevel"/>
    <w:lvl w:ilvl="0">
      <w:lvlJc w:val="left"/>
      <w:lvlText w:val="(%1)"/>
      <w:numFmt w:val="decimal"/>
      <w:start w:val="1"/>
    </w:lvl>
  </w:abstractNum>
  <w:abstractNum w:abstractNumId="48">
    <w:nsid w:val="7FFFCA11"/>
    <w:multiLevelType w:val="hybridMultilevel"/>
    <w:lvl w:ilvl="0">
      <w:lvlJc w:val="left"/>
      <w:lvlText w:val="(%1)"/>
      <w:numFmt w:val="decimal"/>
      <w:start w:val="3"/>
    </w:lvl>
  </w:abstractNum>
  <w:abstractNum w:abstractNumId="49">
    <w:nsid w:val="1A27709E"/>
    <w:multiLevelType w:val="hybridMultilevel"/>
    <w:lvl w:ilvl="0">
      <w:lvlJc w:val="left"/>
      <w:lvlText w:val="(%1)"/>
      <w:numFmt w:val="decimal"/>
      <w:start w:val="39"/>
    </w:lvl>
  </w:abstractNum>
  <w:abstractNum w:abstractNumId="50">
    <w:nsid w:val="71EA1109"/>
    <w:multiLevelType w:val="hybridMultilevel"/>
    <w:lvl w:ilvl="0">
      <w:lvlJc w:val="left"/>
      <w:lvlText w:val="%1."/>
      <w:numFmt w:val="decimal"/>
      <w:start w:val="1"/>
    </w:lvl>
    <w:lvl w:ilvl="1">
      <w:lvlJc w:val="left"/>
      <w:lvlText w:val="(%2)"/>
      <w:numFmt w:val="lowerLetter"/>
      <w:start w:val="1"/>
    </w:lvl>
  </w:abstractNum>
  <w:abstractNum w:abstractNumId="51">
    <w:nsid w:val="100F59DC"/>
    <w:multiLevelType w:val="hybridMultilevel"/>
    <w:lvl w:ilvl="0">
      <w:lvlJc w:val="left"/>
      <w:lvlText w:val="(%1)"/>
      <w:numFmt w:val="lowerLetter"/>
      <w:start w:val="2"/>
    </w:lvl>
    <w:lvl w:ilvl="1">
      <w:lvlJc w:val="left"/>
      <w:lvlText w:val="(%2)"/>
      <w:numFmt w:val="lowerRoman"/>
      <w:start w:val="1"/>
    </w:lvl>
  </w:abstractNum>
  <w:abstractNum w:abstractNumId="52">
    <w:nsid w:val="7FB7E0AA"/>
    <w:multiLevelType w:val="hybridMultilevel"/>
    <w:lvl w:ilvl="0">
      <w:lvlJc w:val="left"/>
      <w:lvlText w:val="(%1)"/>
      <w:numFmt w:val="lowerRoman"/>
      <w:start w:val="4"/>
    </w:lvl>
  </w:abstractNum>
  <w:abstractNum w:abstractNumId="53">
    <w:nsid w:val="6EB5BD4"/>
    <w:multiLevelType w:val="hybridMultilevel"/>
    <w:lvl w:ilvl="0">
      <w:lvlJc w:val="left"/>
      <w:lvlText w:val="(%1)"/>
      <w:numFmt w:val="lowerRoman"/>
      <w:start w:val="6"/>
    </w:lvl>
  </w:abstractNum>
  <w:abstractNum w:abstractNumId="54">
    <w:nsid w:val="6F6DD9AC"/>
    <w:multiLevelType w:val="hybridMultilevel"/>
    <w:lvl w:ilvl="0">
      <w:lvlJc w:val="left"/>
      <w:lvlText w:val="(%1)"/>
      <w:numFmt w:val="lowerLetter"/>
      <w:start w:val="4"/>
    </w:lvl>
    <w:lvl w:ilvl="1">
      <w:lvlJc w:val="left"/>
      <w:lvlText w:val="(%2)"/>
      <w:numFmt w:val="lowerRoman"/>
      <w:start w:val="1"/>
    </w:lvl>
  </w:abstractNum>
  <w:abstractNum w:abstractNumId="55">
    <w:nsid w:val="94211F2"/>
    <w:multiLevelType w:val="hybridMultilevel"/>
    <w:lvl w:ilvl="0">
      <w:lvlJc w:val="left"/>
      <w:lvlText w:val="(%1)"/>
      <w:numFmt w:val="lowerRoman"/>
      <w:start w:val="3"/>
    </w:lvl>
  </w:abstractNum>
  <w:abstractNum w:abstractNumId="56">
    <w:nsid w:val="885E1B"/>
    <w:multiLevelType w:val="hybridMultilevel"/>
    <w:lvl w:ilvl="0">
      <w:lvlJc w:val="left"/>
      <w:lvlText w:val="(%1)"/>
      <w:numFmt w:val="lowerLetter"/>
      <w:start w:val="5"/>
    </w:lvl>
  </w:abstractNum>
  <w:abstractNum w:abstractNumId="57">
    <w:nsid w:val="76272110"/>
    <w:multiLevelType w:val="hybridMultilevel"/>
    <w:lvl w:ilvl="0">
      <w:lvlJc w:val="left"/>
      <w:lvlText w:val="(%1)"/>
      <w:numFmt w:val="lowerLetter"/>
      <w:start w:val="6"/>
    </w:lvl>
    <w:lvl w:ilvl="1">
      <w:lvlJc w:val="left"/>
      <w:lvlText w:val="(%2)"/>
      <w:numFmt w:val="lowerLetter"/>
      <w:start w:val="9"/>
    </w:lvl>
  </w:abstractNum>
  <w:abstractNum w:abstractNumId="58">
    <w:nsid w:val="4C04A8AF"/>
    <w:multiLevelType w:val="hybridMultilevel"/>
    <w:lvl w:ilvl="0">
      <w:lvlJc w:val="left"/>
      <w:lvlText w:val="(%1)"/>
      <w:numFmt w:val="lowerRoman"/>
      <w:start w:val="2"/>
    </w:lvl>
  </w:abstractNum>
  <w:abstractNum w:abstractNumId="59">
    <w:nsid w:val="1716703B"/>
    <w:multiLevelType w:val="hybridMultilevel"/>
    <w:lvl w:ilvl="0">
      <w:lvlJc w:val="left"/>
      <w:lvlText w:val="(%1)"/>
      <w:numFmt w:val="lowerRoman"/>
      <w:start w:val="1"/>
    </w:lvl>
  </w:abstractNum>
  <w:abstractNum w:abstractNumId="60">
    <w:nsid w:val="14E17E33"/>
    <w:multiLevelType w:val="hybridMultilevel"/>
    <w:lvl w:ilvl="0">
      <w:lvlJc w:val="left"/>
      <w:lvlText w:val="(%1)"/>
      <w:numFmt w:val="lowerLetter"/>
      <w:start w:val="11"/>
    </w:lvl>
  </w:abstractNum>
  <w:abstractNum w:abstractNumId="61">
    <w:nsid w:val="3222E7CD"/>
    <w:multiLevelType w:val="hybridMultilevel"/>
    <w:lvl w:ilvl="0">
      <w:lvlJc w:val="left"/>
      <w:lvlText w:val="%1"/>
      <w:numFmt w:val="decimal"/>
      <w:start w:val="1"/>
    </w:lvl>
    <w:lvl w:ilvl="1">
      <w:lvlJc w:val="left"/>
      <w:lvlText w:val="(%2)"/>
      <w:numFmt w:val="lowerLetter"/>
      <w:start w:val="12"/>
    </w:lvl>
  </w:abstractNum>
  <w:abstractNum w:abstractNumId="62">
    <w:nsid w:val="74DE0EE3"/>
    <w:multiLevelType w:val="hybridMultilevel"/>
    <w:lvl w:ilvl="0">
      <w:lvlJc w:val="left"/>
      <w:lvlText w:val="%1."/>
      <w:numFmt w:val="decimal"/>
      <w:start w:val="2"/>
    </w:lvl>
    <w:lvl w:ilvl="1">
      <w:lvlJc w:val="left"/>
      <w:lvlText w:val="%2"/>
      <w:numFmt w:val="lowerLetter"/>
      <w:start w:val="1"/>
    </w:lvl>
  </w:abstractNum>
  <w:abstractNum w:abstractNumId="63">
    <w:nsid w:val="68EBC550"/>
    <w:multiLevelType w:val="hybridMultilevel"/>
    <w:lvl w:ilvl="0">
      <w:lvlJc w:val="left"/>
      <w:lvlText w:val="%1."/>
      <w:numFmt w:val="decimal"/>
      <w:start w:val="3"/>
    </w:lvl>
  </w:abstractNum>
  <w:abstractNum w:abstractNumId="64">
    <w:nsid w:val="2DF6D648"/>
    <w:multiLevelType w:val="hybridMultilevel"/>
    <w:lvl w:ilvl="0">
      <w:lvlJc w:val="left"/>
      <w:lvlText w:val="%1."/>
      <w:numFmt w:val="decimal"/>
      <w:start w:val="4"/>
    </w:lvl>
  </w:abstractNum>
  <w:abstractNum w:abstractNumId="65">
    <w:nsid w:val="46B7D447"/>
    <w:multiLevelType w:val="hybridMultilevel"/>
    <w:lvl w:ilvl="0">
      <w:lvlJc w:val="left"/>
      <w:lvlText w:val="(%1)"/>
      <w:numFmt w:val="lowerLetter"/>
      <w:start w:val="1"/>
    </w:lvl>
  </w:abstractNum>
  <w:abstractNum w:abstractNumId="66">
    <w:nsid w:val="4A2AC315"/>
    <w:multiLevelType w:val="hybridMultilevel"/>
    <w:lvl w:ilvl="0">
      <w:lvlJc w:val="left"/>
      <w:lvlText w:val="%1"/>
      <w:numFmt w:val="decimal"/>
      <w:start w:val="1"/>
    </w:lvl>
    <w:lvl w:ilvl="1">
      <w:lvlJc w:val="left"/>
      <w:lvlText w:val="(%2)"/>
      <w:numFmt w:val="lowerLetter"/>
      <w:start w:val="4"/>
    </w:lvl>
  </w:abstractNum>
  <w:abstractNum w:abstractNumId="67">
    <w:nsid w:val="39EE015C"/>
    <w:multiLevelType w:val="hybridMultilevel"/>
    <w:lvl w:ilvl="0">
      <w:lvlJc w:val="left"/>
      <w:lvlText w:val="(%1)"/>
      <w:numFmt w:val="decimal"/>
      <w:start w:val="6"/>
    </w:lvl>
    <w:lvl w:ilvl="1">
      <w:lvlJc w:val="left"/>
      <w:lvlText w:val="(%2)"/>
      <w:numFmt w:val="lowerLetter"/>
      <w:start w:val="6"/>
    </w:lvl>
  </w:abstractNum>
  <w:abstractNum w:abstractNumId="68">
    <w:nsid w:val="57FC4FBB"/>
    <w:multiLevelType w:val="hybridMultilevel"/>
    <w:lvl w:ilvl="0">
      <w:lvlJc w:val="left"/>
      <w:lvlText w:val="%1."/>
      <w:numFmt w:val="decimal"/>
      <w:start w:val="7"/>
    </w:lvl>
    <w:lvl w:ilvl="1">
      <w:lvlJc w:val="left"/>
      <w:lvlText w:val="(%2)"/>
      <w:numFmt w:val="lowerLetter"/>
      <w:start w:val="1"/>
    </w:lvl>
  </w:abstractNum>
  <w:abstractNum w:abstractNumId="69">
    <w:nsid w:val="CC1016F"/>
    <w:multiLevelType w:val="hybridMultilevel"/>
    <w:lvl w:ilvl="0">
      <w:lvlJc w:val="left"/>
      <w:lvlText w:val="(%1)"/>
      <w:numFmt w:val="lowerLetter"/>
      <w:start w:val="4"/>
    </w:lvl>
  </w:abstractNum>
  <w:abstractNum w:abstractNumId="70">
    <w:nsid w:val="43F18422"/>
    <w:multiLevelType w:val="hybridMultilevel"/>
    <w:lvl w:ilvl="0">
      <w:lvlJc w:val="left"/>
      <w:lvlText w:val="%1"/>
      <w:numFmt w:val="decimal"/>
      <w:start w:val="1"/>
    </w:lvl>
    <w:lvl w:ilvl="1">
      <w:lvlJc w:val="left"/>
      <w:lvlText w:val="(%2)"/>
      <w:numFmt w:val="lowerLetter"/>
      <w:start w:val="8"/>
    </w:lvl>
  </w:abstractNum>
  <w:abstractNum w:abstractNumId="71">
    <w:nsid w:val="60EF0119"/>
    <w:multiLevelType w:val="hybridMultilevel"/>
    <w:lvl w:ilvl="0">
      <w:lvlJc w:val="left"/>
      <w:lvlText w:val="%1."/>
      <w:numFmt w:val="decimal"/>
      <w:start w:val="8"/>
    </w:lvl>
    <w:lvl w:ilvl="1">
      <w:lvlJc w:val="left"/>
      <w:lvlText w:val="(%2)"/>
      <w:numFmt w:val="lowerLetter"/>
      <w:start w:val="1"/>
    </w:lvl>
  </w:abstractNum>
  <w:abstractNum w:abstractNumId="72">
    <w:nsid w:val="26F324BA"/>
    <w:multiLevelType w:val="hybridMultilevel"/>
    <w:lvl w:ilvl="0">
      <w:lvlJc w:val="left"/>
      <w:lvlText w:val="%1"/>
      <w:numFmt w:val="decimal"/>
      <w:start w:val="1"/>
    </w:lvl>
    <w:lvl w:ilvl="1">
      <w:lvlJc w:val="left"/>
      <w:lvlText w:val="(%2)"/>
      <w:numFmt w:val="lowerLetter"/>
      <w:start w:val="3"/>
    </w:lvl>
  </w:abstractNum>
  <w:abstractNum w:abstractNumId="73">
    <w:nsid w:val="7F01579B"/>
    <w:multiLevelType w:val="hybridMultilevel"/>
    <w:lvl w:ilvl="0">
      <w:lvlJc w:val="left"/>
      <w:lvlText w:val="%1."/>
      <w:numFmt w:val="decimal"/>
      <w:start w:val="9"/>
    </w:lvl>
    <w:lvl w:ilvl="1">
      <w:lvlJc w:val="left"/>
      <w:lvlText w:val="(%2)"/>
      <w:numFmt w:val="lowerLetter"/>
      <w:start w:val="1"/>
    </w:lvl>
  </w:abstractNum>
  <w:abstractNum w:abstractNumId="74">
    <w:nsid w:val="49DA307D"/>
    <w:multiLevelType w:val="hybridMultilevel"/>
    <w:lvl w:ilvl="0">
      <w:lvlJc w:val="left"/>
      <w:lvlText w:val="%1"/>
      <w:numFmt w:val="decimal"/>
      <w:start w:val="1"/>
    </w:lvl>
    <w:lvl w:ilvl="1">
      <w:lvlJc w:val="left"/>
      <w:lvlText w:val="(%2)"/>
      <w:numFmt w:val="lowerLetter"/>
      <w:start w:val="4"/>
    </w:lvl>
  </w:abstractNum>
  <w:abstractNum w:abstractNumId="75">
    <w:nsid w:val="7055A5F5"/>
    <w:multiLevelType w:val="hybridMultilevel"/>
    <w:lvl w:ilvl="0">
      <w:lvlJc w:val="left"/>
      <w:lvlText w:val="%1."/>
      <w:numFmt w:val="decimal"/>
      <w:start w:val="10"/>
    </w:lvl>
    <w:lvl w:ilvl="1">
      <w:lvlJc w:val="left"/>
      <w:lvlText w:val="(%2)"/>
      <w:numFmt w:val="lowerLetter"/>
      <w:start w:val="1"/>
    </w:lvl>
  </w:abstractNum>
  <w:abstractNum w:abstractNumId="76">
    <w:nsid w:val="5FB8370B"/>
    <w:multiLevelType w:val="hybridMultilevel"/>
    <w:lvl w:ilvl="0">
      <w:lvlJc w:val="left"/>
      <w:lvlText w:val="%1."/>
      <w:numFmt w:val="decimal"/>
      <w:start w:val="11"/>
    </w:lvl>
  </w:abstractNum>
  <w:abstractNum w:abstractNumId="77">
    <w:nsid w:val="50801EE1"/>
    <w:multiLevelType w:val="hybridMultilevel"/>
    <w:lvl w:ilvl="0">
      <w:lvlJc w:val="left"/>
      <w:lvlText w:val="%1."/>
      <w:numFmt w:val="decimal"/>
      <w:start w:val="15"/>
    </w:lvl>
  </w:abstractNum>
  <w:abstractNum w:abstractNumId="78">
    <w:nsid w:val="488AC1A"/>
    <w:multiLevelType w:val="hybridMultilevel"/>
    <w:lvl w:ilvl="0">
      <w:lvlJc w:val="left"/>
      <w:lvlText w:val="%1."/>
      <w:numFmt w:val="decimal"/>
      <w:start w:val="18"/>
    </w:lvl>
  </w:abstractNum>
  <w:abstractNum w:abstractNumId="79">
    <w:nsid w:val="5FB8011C"/>
    <w:multiLevelType w:val="hybridMultilevel"/>
    <w:lvl w:ilvl="0">
      <w:lvlJc w:val="left"/>
      <w:lvlText w:val="(%1)"/>
      <w:numFmt w:val="lowerLetter"/>
      <w:start w:val="1"/>
    </w:lvl>
  </w:abstractNum>
  <w:abstractNum w:abstractNumId="80">
    <w:nsid w:val="6AA78F7F"/>
    <w:multiLevelType w:val="hybridMultilevel"/>
    <w:lvl w:ilvl="0">
      <w:lvlJc w:val="left"/>
      <w:lvlText w:val="%1"/>
      <w:numFmt w:val="upperLetter"/>
      <w:start w:val="1"/>
    </w:lvl>
    <w:lvl w:ilvl="1">
      <w:lvlJc w:val="left"/>
      <w:lvlText w:val="(%2)"/>
      <w:numFmt w:val="lowerLetter"/>
      <w:start w:val="3"/>
    </w:lvl>
  </w:abstractNum>
  <w:abstractNum w:abstractNumId="81">
    <w:nsid w:val="7672BD23"/>
    <w:multiLevelType w:val="hybridMultilevel"/>
    <w:lvl w:ilvl="0">
      <w:lvlJc w:val="left"/>
      <w:lvlText w:val="%1"/>
      <w:numFmt w:val="decimal"/>
      <w:start w:val="1"/>
    </w:lvl>
    <w:lvl w:ilvl="1">
      <w:lvlJc w:val="left"/>
      <w:lvlText w:val="(%2)"/>
      <w:numFmt w:val="lowerLetter"/>
      <w:start w:val="7"/>
    </w:lvl>
  </w:abstractNum>
  <w:abstractNum w:abstractNumId="82">
    <w:nsid w:val="6FC75AF8"/>
    <w:multiLevelType w:val="hybridMultilevel"/>
    <w:lvl w:ilvl="0">
      <w:lvlJc w:val="left"/>
      <w:lvlText w:val="%1."/>
      <w:numFmt w:val="decimal"/>
      <w:start w:val="22"/>
    </w:lvl>
    <w:lvl w:ilvl="1">
      <w:lvlJc w:val="left"/>
      <w:lvlText w:val="%2"/>
      <w:numFmt w:val="lowerLetter"/>
      <w:start w:val="1"/>
    </w:lvl>
  </w:abstractNum>
  <w:abstractNum w:abstractNumId="83">
    <w:nsid w:val="6A5F7029"/>
    <w:multiLevelType w:val="hybridMultilevel"/>
    <w:lvl w:ilvl="0">
      <w:lvlJc w:val="left"/>
      <w:lvlText w:val="%1."/>
      <w:numFmt w:val="decimal"/>
      <w:start w:val="23"/>
    </w:lvl>
  </w:abstractNum>
  <w:abstractNum w:abstractNumId="84">
    <w:nsid w:val="7D5E18F8"/>
    <w:multiLevelType w:val="hybridMultilevel"/>
    <w:lvl w:ilvl="0">
      <w:lvlJc w:val="left"/>
      <w:lvlText w:val="%1."/>
      <w:numFmt w:val="decimal"/>
      <w:start w:val="24"/>
    </w:lvl>
  </w:abstractNum>
  <w:abstractNum w:abstractNumId="85">
    <w:nsid w:val="5F3534A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6">
    <w:nsid w:val="73A1821B"/>
    <w:multiLevelType w:val="hybridMultilevel"/>
    <w:lvl w:ilvl="0">
      <w:lvlJc w:val="left"/>
      <w:lvlText w:val="(%1)"/>
      <w:numFmt w:val="lowerLetter"/>
      <w:start w:val="3"/>
    </w:lvl>
    <w:lvl w:ilvl="1">
      <w:lvlJc w:val="left"/>
      <w:lvlText w:val="(%2)"/>
      <w:numFmt w:val="lowerRoman"/>
      <w:start w:val="1"/>
    </w:lvl>
  </w:abstractNum>
  <w:abstractNum w:abstractNumId="87">
    <w:nsid w:val="7DE67713"/>
    <w:multiLevelType w:val="hybridMultilevel"/>
    <w:lvl w:ilvl="0">
      <w:lvlJc w:val="left"/>
      <w:lvlText w:val="(%1)"/>
      <w:numFmt w:val="lowerLetter"/>
      <w:start w:val="4"/>
    </w:lvl>
  </w:abstractNum>
  <w:abstractNum w:abstractNumId="88">
    <w:nsid w:val="555C55B5"/>
    <w:multiLevelType w:val="hybridMultilevel"/>
    <w:lvl w:ilvl="0">
      <w:lvlJc w:val="left"/>
      <w:lvlText w:val="(%1)"/>
      <w:numFmt w:val="lowerLetter"/>
      <w:start w:val="6"/>
    </w:lvl>
    <w:lvl w:ilvl="1">
      <w:lvlJc w:val="left"/>
      <w:lvlText w:val="(%2)"/>
      <w:numFmt w:val="lowerRoman"/>
      <w:start w:val="1"/>
    </w:lvl>
  </w:abstractNum>
  <w:abstractNum w:abstractNumId="89">
    <w:nsid w:val="3FA62ACA"/>
    <w:multiLevelType w:val="hybridMultilevel"/>
    <w:lvl w:ilvl="0">
      <w:lvlJc w:val="left"/>
      <w:lvlText w:val="%1"/>
      <w:numFmt w:val="decimal"/>
      <w:start w:val="1"/>
    </w:lvl>
    <w:lvl w:ilvl="1">
      <w:lvlJc w:val="left"/>
      <w:lvlText w:val="(%2)"/>
      <w:numFmt w:val="lowerLetter"/>
      <w:start w:val="9"/>
    </w:lvl>
  </w:abstractNum>
  <w:abstractNum w:abstractNumId="90">
    <w:nsid w:val="14FCE74E"/>
    <w:multiLevelType w:val="hybridMultilevel"/>
    <w:lvl w:ilvl="0">
      <w:lvlJc w:val="left"/>
      <w:lvlText w:val="%1."/>
      <w:numFmt w:val="decimal"/>
      <w:start w:val="2"/>
    </w:lvl>
    <w:lvl w:ilvl="1">
      <w:lvlJc w:val="left"/>
      <w:lvlText w:val="%2"/>
      <w:numFmt w:val="lowerLetter"/>
      <w:start w:val="1"/>
    </w:lvl>
  </w:abstractNum>
  <w:abstractNum w:abstractNumId="91">
    <w:nsid w:val="6A3DD3E8"/>
    <w:multiLevelType w:val="hybridMultilevel"/>
    <w:lvl w:ilvl="0">
      <w:lvlJc w:val="left"/>
      <w:lvlText w:val="%1."/>
      <w:numFmt w:val="decimal"/>
      <w:start w:val="3"/>
    </w:lvl>
  </w:abstractNum>
  <w:abstractNum w:abstractNumId="92">
    <w:nsid w:val="71C91298"/>
    <w:multiLevelType w:val="hybridMultilevel"/>
    <w:lvl w:ilvl="0">
      <w:lvlJc w:val="left"/>
      <w:lvlText w:val="%1."/>
      <w:numFmt w:val="decimal"/>
      <w:start w:val="7"/>
    </w:lvl>
    <w:lvl w:ilvl="1">
      <w:lvlJc w:val="left"/>
      <w:lvlText w:val="(%2)"/>
      <w:numFmt w:val="lowerLetter"/>
      <w:start w:val="1"/>
    </w:lvl>
  </w:abstractNum>
  <w:abstractNum w:abstractNumId="93">
    <w:nsid w:val="9DAF632"/>
    <w:multiLevelType w:val="hybridMultilevel"/>
    <w:lvl w:ilvl="0">
      <w:lvlJc w:val="left"/>
      <w:lvlText w:val="%1."/>
      <w:numFmt w:val="decimal"/>
      <w:start w:val="8"/>
    </w:lvl>
    <w:lvl w:ilvl="1">
      <w:lvlJc w:val="left"/>
      <w:lvlText w:val="(%2)"/>
      <w:numFmt w:val="lowerLetter"/>
      <w:start w:val="1"/>
    </w:lvl>
  </w:abstractNum>
  <w:abstractNum w:abstractNumId="94">
    <w:nsid w:val="53299938"/>
    <w:multiLevelType w:val="hybridMultilevel"/>
    <w:lvl w:ilvl="0">
      <w:lvlJc w:val="left"/>
      <w:lvlText w:val="(%1)"/>
      <w:numFmt w:val="lowerLetter"/>
      <w:start w:val="3"/>
    </w:lvl>
  </w:abstractNum>
  <w:abstractNum w:abstractNumId="95">
    <w:nsid w:val="1FBFE8E0"/>
    <w:multiLevelType w:val="hybridMultilevel"/>
    <w:lvl w:ilvl="0">
      <w:lvlJc w:val="left"/>
      <w:lvlText w:val="%1"/>
      <w:numFmt w:val="decimal"/>
      <w:start w:val="1"/>
    </w:lvl>
    <w:lvl w:ilvl="1">
      <w:lvlJc w:val="left"/>
      <w:lvlText w:val="(%2)"/>
      <w:numFmt w:val="lowerLetter"/>
      <w:start w:val="7"/>
    </w:lvl>
  </w:abstractNum>
  <w:abstractNum w:abstractNumId="96">
    <w:nsid w:val="5092CA79"/>
    <w:multiLevelType w:val="hybridMultilevel"/>
    <w:lvl w:ilvl="0">
      <w:lvlJc w:val="left"/>
      <w:lvlText w:val="%1."/>
      <w:numFmt w:val="decimal"/>
      <w:start w:val="9"/>
    </w:lvl>
    <w:lvl w:ilvl="1">
      <w:lvlJc w:val="left"/>
      <w:lvlText w:val="(%2)"/>
      <w:numFmt w:val="lowerLetter"/>
      <w:start w:val="1"/>
    </w:lvl>
  </w:abstractNum>
  <w:abstractNum w:abstractNumId="97">
    <w:nsid w:val="1D545C4D"/>
    <w:multiLevelType w:val="hybridMultilevel"/>
    <w:lvl w:ilvl="0">
      <w:lvlJc w:val="left"/>
      <w:lvlText w:val="%1."/>
      <w:numFmt w:val="decimal"/>
      <w:start w:val="10"/>
    </w:lvl>
    <w:lvl w:ilvl="1">
      <w:lvlJc w:val="left"/>
      <w:lvlText w:val="(%2)"/>
      <w:numFmt w:val="lowerLetter"/>
      <w:start w:val="1"/>
    </w:lvl>
  </w:abstractNum>
  <w:abstractNum w:abstractNumId="98">
    <w:nsid w:val="59ADEA3D"/>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99">
    <w:nsid w:val="288F1A34"/>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00">
    <w:nsid w:val="2A155DBC"/>
    <w:multiLevelType w:val="hybridMultilevel"/>
    <w:lvl w:ilvl="0">
      <w:lvlJc w:val="left"/>
      <w:lvlText w:val="%1."/>
      <w:numFmt w:val="decimal"/>
      <w:start w:val="16"/>
    </w:lvl>
  </w:abstractNum>
  <w:abstractNum w:abstractNumId="101">
    <w:nsid w:val="1D9F6E5F"/>
    <w:multiLevelType w:val="hybridMultilevel"/>
    <w:lvl w:ilvl="0">
      <w:lvlJc w:val="left"/>
      <w:lvlText w:val="%1."/>
      <w:numFmt w:val="decimal"/>
      <w:start w:val="18"/>
    </w:lvl>
  </w:abstractNum>
  <w:abstractNum w:abstractNumId="102">
    <w:nsid w:val="97E1B4E"/>
    <w:multiLevelType w:val="hybridMultilevel"/>
    <w:lvl w:ilvl="0">
      <w:lvlJc w:val="left"/>
      <w:lvlText w:val="%1."/>
      <w:numFmt w:val="decimal"/>
      <w:start w:val="21"/>
    </w:lvl>
  </w:abstractNum>
  <w:abstractNum w:abstractNumId="103">
    <w:nsid w:val="51088277"/>
    <w:multiLevelType w:val="hybridMultilevel"/>
    <w:lvl w:ilvl="0">
      <w:lvlJc w:val="left"/>
      <w:lvlText w:val="(%1)"/>
      <w:numFmt w:val="lowerLetter"/>
      <w:start w:val="1"/>
    </w:lvl>
  </w:abstractNum>
  <w:abstractNum w:abstractNumId="104">
    <w:nsid w:val="1CA0C5FA"/>
    <w:multiLevelType w:val="hybridMultilevel"/>
    <w:lvl w:ilvl="0">
      <w:lvlJc w:val="left"/>
      <w:lvlText w:val="(%1)"/>
      <w:numFmt w:val="lowerLetter"/>
      <w:start w:val="3"/>
    </w:lvl>
  </w:abstractNum>
  <w:abstractNum w:abstractNumId="105">
    <w:nsid w:val="53584BCB"/>
    <w:multiLevelType w:val="hybridMultilevel"/>
    <w:lvl w:ilvl="0">
      <w:lvlJc w:val="left"/>
      <w:lvlText w:val="%1."/>
      <w:numFmt w:val="decimal"/>
      <w:start w:val="1"/>
    </w:lvl>
  </w:abstractNum>
  <w:abstractNum w:abstractNumId="106">
    <w:nsid w:val="415E286C"/>
    <w:multiLevelType w:val="hybridMultilevel"/>
    <w:lvl w:ilvl="0">
      <w:lvlJc w:val="left"/>
      <w:lvlText w:val="%1."/>
      <w:numFmt w:val="decimal"/>
      <w:start w:val="1"/>
    </w:lvl>
  </w:abstractNum>
  <w:abstractNum w:abstractNumId="107">
    <w:nsid w:val="7C58FD05"/>
    <w:multiLevelType w:val="hybridMultilevel"/>
    <w:lvl w:ilvl="0">
      <w:lvlJc w:val="left"/>
      <w:lvlText w:val="%1."/>
      <w:numFmt w:val="decimal"/>
      <w:start w:val="2"/>
    </w:lvl>
  </w:abstractNum>
  <w:abstractNum w:abstractNumId="108">
    <w:nsid w:val="23D86AAC"/>
    <w:multiLevelType w:val="hybridMultilevel"/>
    <w:lvl w:ilvl="0">
      <w:lvlJc w:val="left"/>
      <w:lvlText w:val="%1."/>
      <w:numFmt w:val="decimal"/>
      <w:start w:val="1"/>
    </w:lvl>
  </w:abstractNum>
  <w:abstractNum w:abstractNumId="109">
    <w:nsid w:val="45E6D486"/>
    <w:multiLevelType w:val="hybridMultilevel"/>
    <w:lvl w:ilvl="0">
      <w:lvlJc w:val="left"/>
      <w:lvlText w:val="%1."/>
      <w:numFmt w:val="decimal"/>
      <w:start w:val="1"/>
    </w:lvl>
  </w:abstractNum>
  <w:abstractNum w:abstractNumId="110">
    <w:nsid w:val="5C10FE21"/>
    <w:multiLevelType w:val="hybridMultilevel"/>
    <w:lvl w:ilvl="0">
      <w:lvlJc w:val="left"/>
      <w:lvlText w:val="%1."/>
      <w:numFmt w:val="decimal"/>
      <w:start w:val="1"/>
    </w:lvl>
    <w:lvl w:ilvl="1">
      <w:lvlJc w:val="left"/>
      <w:lvlText w:val="%2."/>
      <w:numFmt w:val="lowerLetter"/>
      <w:start w:val="1"/>
    </w:lvl>
  </w:abstractNum>
  <w:abstractNum w:abstractNumId="111">
    <w:nsid w:val="E7FFA2B"/>
    <w:multiLevelType w:val="hybridMultilevel"/>
    <w:lvl w:ilvl="0">
      <w:lvlJc w:val="left"/>
      <w:lvlText w:val="%1."/>
      <w:numFmt w:val="decimal"/>
      <w:start w:val="4"/>
    </w:lvl>
  </w:abstractNum>
  <w:abstractNum w:abstractNumId="112">
    <w:nsid w:val="3C5991AA"/>
    <w:multiLevelType w:val="hybridMultilevel"/>
    <w:lvl w:ilvl="0">
      <w:lvlJc w:val="left"/>
      <w:lvlText w:val="%1."/>
      <w:numFmt w:val="decimal"/>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lvl w:ilvl="1">
      <w:lvlJc w:val="left"/>
      <w:lvlText w:val="%2)"/>
      <w:numFmt w:val="lowerLetter"/>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2019-12-07T04:02:10Z</dcterms:created>
  <dcterms:modified xsi:type="dcterms:W3CDTF">2019-12-07T04:02:10Z</dcterms:modified>
</cp:coreProperties>
</file>