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As 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333-98369)</w:t>
      </w:r>
    </w:p>
    <w:p>
      <w:pPr>
        <w:spacing w:after="0" w:line="186"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$370,000,000</w:t>
      </w:r>
    </w:p>
    <w:p>
      <w:pPr>
        <w:spacing w:after="0" w:line="21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Las Vegas Capital Corp.</w:t>
      </w:r>
    </w:p>
    <w:p>
      <w:pPr>
        <w:spacing w:after="0" w:line="189"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12% Second Mortgage Notes due 2010</w:t>
      </w:r>
    </w:p>
    <w:p>
      <w:pPr>
        <w:spacing w:after="0" w:line="24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Wynn Las Vegas, LLC and Wynn Las Vegas Capital Corp. are offering $370 million aggregate principal amount of 12% second mortgage notes due 2010. We will pay interest on the second mortgage notes on May 1 and November 1 of each year, beginning May 1, 2003. The second mortgage notes will mature on November 1, 2010.</w:t>
      </w:r>
    </w:p>
    <w:p>
      <w:pPr>
        <w:spacing w:after="0" w:line="193" w:lineRule="exact"/>
        <w:rPr>
          <w:sz w:val="24"/>
          <w:szCs w:val="24"/>
          <w:color w:val="auto"/>
        </w:rPr>
      </w:pPr>
    </w:p>
    <w:p>
      <w:pPr>
        <w:jc w:val="both"/>
        <w:ind w:right="300"/>
        <w:spacing w:after="0" w:line="230" w:lineRule="auto"/>
        <w:rPr>
          <w:sz w:val="20"/>
          <w:szCs w:val="20"/>
          <w:color w:val="auto"/>
        </w:rPr>
      </w:pPr>
      <w:r>
        <w:rPr>
          <w:rFonts w:ascii="Arial" w:cs="Arial" w:eastAsia="Arial" w:hAnsi="Arial"/>
          <w:sz w:val="14"/>
          <w:szCs w:val="14"/>
          <w:color w:val="auto"/>
        </w:rPr>
        <w:t>We may redeem the second mortgage notes at any time on or after November 1, 2006 at a premium decreasing ratably to zero. In addition, until November 1, 2005, we may redeem up to 35% of the second mortgage notes with the net proceeds of one or more qualified equity offerings. If we undergo a change of control we must offer to repurchase the notes. If we sell certain assets or suffer an event of loss, we must offer to repurchase the notes if we do not use the proceeds as required. The second mortgage notes may also be subject to redemption requirements imposed by gaming laws and regulations of gaming authorities in Nevada.</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The second mortgage notes will be secured by:</w:t>
      </w:r>
    </w:p>
    <w:p>
      <w:pPr>
        <w:ind w:left="1080" w:hanging="532"/>
        <w:spacing w:after="0" w:line="208" w:lineRule="auto"/>
        <w:tabs>
          <w:tab w:leader="none" w:pos="108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a first priority lien on the proceeds of this offering; and</w:t>
      </w:r>
    </w:p>
    <w:p>
      <w:pPr>
        <w:ind w:left="1080" w:hanging="532"/>
        <w:spacing w:after="0" w:line="185" w:lineRule="auto"/>
        <w:tabs>
          <w:tab w:leader="none" w:pos="108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second priority liens on substantially all of our other existing and future assets, other than certain furniture, fixtures and equipment.</w:t>
      </w:r>
    </w:p>
    <w:p>
      <w:pPr>
        <w:spacing w:after="0" w:line="193" w:lineRule="exact"/>
        <w:rPr>
          <w:sz w:val="24"/>
          <w:szCs w:val="24"/>
          <w:color w:val="auto"/>
        </w:rPr>
      </w:pPr>
    </w:p>
    <w:p>
      <w:pPr>
        <w:ind w:right="100"/>
        <w:spacing w:after="0" w:line="233" w:lineRule="auto"/>
        <w:rPr>
          <w:sz w:val="20"/>
          <w:szCs w:val="20"/>
          <w:color w:val="auto"/>
        </w:rPr>
      </w:pPr>
      <w:r>
        <w:rPr>
          <w:rFonts w:ascii="Arial" w:cs="Arial" w:eastAsia="Arial" w:hAnsi="Arial"/>
          <w:sz w:val="14"/>
          <w:szCs w:val="14"/>
          <w:color w:val="auto"/>
        </w:rPr>
        <w:t>The second mortgage notes will be jointly and severally guaranteed by Wynn Resorts, Limited and Valvino Lamore, LLC, our indirect parents, and certain of Valvino's subsidiaries. The guarantees will be secured by second priority liens on substantially all of the guarantors' existing and future assets. The guarantee by Wynn Resorts, Limited of the second mortgage notes will not be secured unless Wynn Resorts, Limited grants specified liens to secure other guarantees or indebtedness.</w:t>
      </w:r>
    </w:p>
    <w:p>
      <w:pPr>
        <w:spacing w:after="0" w:line="193" w:lineRule="exact"/>
        <w:rPr>
          <w:sz w:val="24"/>
          <w:szCs w:val="24"/>
          <w:color w:val="auto"/>
        </w:rPr>
      </w:pPr>
    </w:p>
    <w:p>
      <w:pPr>
        <w:ind w:right="40"/>
        <w:spacing w:after="0" w:line="233" w:lineRule="auto"/>
        <w:rPr>
          <w:sz w:val="20"/>
          <w:szCs w:val="20"/>
          <w:color w:val="auto"/>
        </w:rPr>
      </w:pPr>
      <w:r>
        <w:rPr>
          <w:rFonts w:ascii="Arial" w:cs="Arial" w:eastAsia="Arial" w:hAnsi="Arial"/>
          <w:sz w:val="14"/>
          <w:szCs w:val="14"/>
          <w:color w:val="auto"/>
        </w:rPr>
        <w:t>Concurrent with the issuance of the second mortgage notes, we expect to enter into $1.0 billion of credit facilities, which will be secured by first priority liens on substantially all of our existing and future assets, other than the proceeds of this offering and certain furniture, fixtures and equipment. We also expect to enter into a $188.5 million furniture, fixtures and equipment loan facility, which will be secured by first priority liens on specified items of furniture, fixtures, and equipment.</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The second mortgage notes and guarantees will:</w:t>
      </w:r>
    </w:p>
    <w:p>
      <w:pPr>
        <w:ind w:left="1080" w:hanging="532"/>
        <w:spacing w:after="0" w:line="198" w:lineRule="auto"/>
        <w:tabs>
          <w:tab w:leader="none" w:pos="1080" w:val="left"/>
        </w:tabs>
        <w:numPr>
          <w:ilvl w:val="0"/>
          <w:numId w:val="2"/>
        </w:numPr>
        <w:rPr>
          <w:rFonts w:ascii="Arial" w:cs="Arial" w:eastAsia="Arial" w:hAnsi="Arial"/>
          <w:sz w:val="27"/>
          <w:szCs w:val="27"/>
          <w:color w:val="auto"/>
          <w:vertAlign w:val="subscript"/>
        </w:rPr>
      </w:pPr>
      <w:r>
        <w:rPr>
          <w:rFonts w:ascii="Arial" w:cs="Arial" w:eastAsia="Arial" w:hAnsi="Arial"/>
          <w:sz w:val="14"/>
          <w:szCs w:val="14"/>
          <w:color w:val="auto"/>
        </w:rPr>
        <w:t>rank senior in right of payment to any future subordinated indebtedness we or the guarantors may incur;</w:t>
      </w:r>
    </w:p>
    <w:p>
      <w:pPr>
        <w:ind w:left="1080" w:hanging="532"/>
        <w:spacing w:after="0" w:line="187" w:lineRule="auto"/>
        <w:tabs>
          <w:tab w:leader="none" w:pos="1080" w:val="left"/>
        </w:tabs>
        <w:numPr>
          <w:ilvl w:val="0"/>
          <w:numId w:val="2"/>
        </w:numPr>
        <w:rPr>
          <w:rFonts w:ascii="Arial" w:cs="Arial" w:eastAsia="Arial" w:hAnsi="Arial"/>
          <w:sz w:val="12"/>
          <w:szCs w:val="12"/>
          <w:color w:val="auto"/>
          <w:vertAlign w:val="subscript"/>
        </w:rPr>
      </w:pPr>
      <w:r>
        <w:rPr>
          <w:rFonts w:ascii="Arial" w:cs="Arial" w:eastAsia="Arial" w:hAnsi="Arial"/>
          <w:sz w:val="8"/>
          <w:szCs w:val="8"/>
          <w:color w:val="auto"/>
        </w:rPr>
        <w:t>be effectively senior to our and the guarantors' existing and future unsecured indebtedness and other liabilities; and</w:t>
      </w:r>
    </w:p>
    <w:p>
      <w:pPr>
        <w:ind w:left="1080" w:right="200" w:hanging="532"/>
        <w:spacing w:after="0" w:line="184" w:lineRule="auto"/>
        <w:tabs>
          <w:tab w:leader="none" w:pos="1080" w:val="left"/>
        </w:tabs>
        <w:numPr>
          <w:ilvl w:val="0"/>
          <w:numId w:val="2"/>
        </w:numPr>
        <w:rPr>
          <w:rFonts w:ascii="Arial" w:cs="Arial" w:eastAsia="Arial" w:hAnsi="Arial"/>
          <w:sz w:val="23"/>
          <w:szCs w:val="23"/>
          <w:color w:val="auto"/>
          <w:vertAlign w:val="subscript"/>
        </w:rPr>
      </w:pPr>
      <w:r>
        <w:rPr>
          <w:rFonts w:ascii="Arial" w:cs="Arial" w:eastAsia="Arial" w:hAnsi="Arial"/>
          <w:sz w:val="12"/>
          <w:szCs w:val="12"/>
          <w:color w:val="auto"/>
        </w:rPr>
        <w:t>be effectively subordinated to our and the guarantors' obligations under our $1.0 billion credit facilities and our $188.5 million furniture, fixtures and equipment loan facility, because those facilities will be secured by higher priority liens on our assets.</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Intercreditor agreements with the holders of our other secured indebtedness will impose restrictions on payment and enforcement of the second mortgage notes.</w:t>
      </w: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Concurrent with this offering, Wynn Resorts, Limited, our ultimate parent, is offering shares of common stock in an initial public offering expected to raise approximately $450 million in gross proceeds.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the second mortgage notes involves a high degree of risk. See "Risk Factors" beginning on page 17.</w:t>
      </w:r>
    </w:p>
    <w:p>
      <w:pPr>
        <w:spacing w:after="0" w:line="227" w:lineRule="exact"/>
        <w:rPr>
          <w:sz w:val="24"/>
          <w:szCs w:val="24"/>
          <w:color w:val="auto"/>
        </w:rPr>
      </w:pPr>
    </w:p>
    <w:p>
      <w:pPr>
        <w:ind w:right="140"/>
        <w:spacing w:after="0" w:line="234" w:lineRule="auto"/>
        <w:rPr>
          <w:sz w:val="20"/>
          <w:szCs w:val="20"/>
          <w:color w:val="auto"/>
        </w:rPr>
      </w:pPr>
      <w:r>
        <w:rPr>
          <w:rFonts w:ascii="Arial" w:cs="Arial" w:eastAsia="Arial" w:hAnsi="Arial"/>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80" w:type="dxa"/>
            <w:vAlign w:val="bottom"/>
          </w:tcPr>
          <w:p>
            <w:pPr>
              <w:jc w:val="right"/>
              <w:ind w:right="292"/>
              <w:spacing w:after="0"/>
              <w:rPr>
                <w:sz w:val="20"/>
                <w:szCs w:val="20"/>
                <w:color w:val="auto"/>
              </w:rPr>
            </w:pPr>
            <w:r>
              <w:rPr>
                <w:rFonts w:ascii="Arial" w:cs="Arial" w:eastAsia="Arial" w:hAnsi="Arial"/>
                <w:sz w:val="14"/>
                <w:szCs w:val="14"/>
                <w:b w:val="1"/>
                <w:bCs w:val="1"/>
                <w:color w:val="auto"/>
              </w:rPr>
              <w:t>Per Note</w:t>
            </w:r>
          </w:p>
        </w:tc>
        <w:tc>
          <w:tcPr>
            <w:tcW w:w="480" w:type="dxa"/>
            <w:vAlign w:val="bottom"/>
          </w:tcPr>
          <w:p>
            <w:pPr>
              <w:spacing w:after="0"/>
              <w:rPr>
                <w:sz w:val="15"/>
                <w:szCs w:val="15"/>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368"/>
        </w:trPr>
        <w:tc>
          <w:tcPr>
            <w:tcW w:w="6080" w:type="dxa"/>
            <w:vAlign w:val="bottom"/>
            <w:gridSpan w:val="2"/>
          </w:tcPr>
          <w:p>
            <w:pPr>
              <w:spacing w:after="0"/>
              <w:rPr>
                <w:sz w:val="20"/>
                <w:szCs w:val="20"/>
                <w:color w:val="auto"/>
              </w:rPr>
            </w:pPr>
            <w:r>
              <w:rPr>
                <w:rFonts w:ascii="Arial" w:cs="Arial" w:eastAsia="Arial" w:hAnsi="Arial"/>
                <w:sz w:val="14"/>
                <w:szCs w:val="14"/>
                <w:color w:val="auto"/>
              </w:rPr>
              <w:t>Public offering price(1)</w:t>
            </w:r>
          </w:p>
        </w:tc>
        <w:tc>
          <w:tcPr>
            <w:tcW w:w="1980" w:type="dxa"/>
            <w:vAlign w:val="bottom"/>
          </w:tcPr>
          <w:p>
            <w:pPr>
              <w:jc w:val="right"/>
              <w:ind w:right="112"/>
              <w:spacing w:after="0"/>
              <w:rPr>
                <w:sz w:val="20"/>
                <w:szCs w:val="20"/>
                <w:color w:val="auto"/>
              </w:rPr>
            </w:pPr>
            <w:r>
              <w:rPr>
                <w:rFonts w:ascii="Arial" w:cs="Arial" w:eastAsia="Arial" w:hAnsi="Arial"/>
                <w:sz w:val="14"/>
                <w:szCs w:val="14"/>
                <w:color w:val="auto"/>
              </w:rPr>
              <w:t>92.793%</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343,334,100</w:t>
            </w:r>
          </w:p>
        </w:tc>
      </w:tr>
      <w:tr>
        <w:trPr>
          <w:trHeight w:val="149"/>
        </w:trPr>
        <w:tc>
          <w:tcPr>
            <w:tcW w:w="608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discounts and commissions(2)</w:t>
            </w:r>
          </w:p>
        </w:tc>
        <w:tc>
          <w:tcPr>
            <w:tcW w:w="1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10,150,023</w:t>
            </w:r>
          </w:p>
        </w:tc>
      </w:tr>
      <w:tr>
        <w:trPr>
          <w:trHeight w:val="172"/>
        </w:trPr>
        <w:tc>
          <w:tcPr>
            <w:tcW w:w="6080" w:type="dxa"/>
            <w:vAlign w:val="bottom"/>
            <w:gridSpan w:val="2"/>
          </w:tcPr>
          <w:p>
            <w:pPr>
              <w:spacing w:after="0"/>
              <w:rPr>
                <w:sz w:val="20"/>
                <w:szCs w:val="20"/>
                <w:color w:val="auto"/>
              </w:rPr>
            </w:pPr>
            <w:r>
              <w:rPr>
                <w:rFonts w:ascii="Arial" w:cs="Arial" w:eastAsia="Arial" w:hAnsi="Arial"/>
                <w:sz w:val="14"/>
                <w:szCs w:val="14"/>
                <w:color w:val="auto"/>
              </w:rPr>
              <w:t>Proceeds, before expenses, to Wynn Las Vegas, LLC and Wynn Las Vegas Capital Corp.(2)</w:t>
            </w:r>
          </w:p>
        </w:tc>
        <w:tc>
          <w:tcPr>
            <w:tcW w:w="1980" w:type="dxa"/>
            <w:vAlign w:val="bottom"/>
          </w:tcPr>
          <w:p>
            <w:pPr>
              <w:jc w:val="right"/>
              <w:ind w:right="112"/>
              <w:spacing w:after="0"/>
              <w:rPr>
                <w:sz w:val="20"/>
                <w:szCs w:val="20"/>
                <w:color w:val="auto"/>
              </w:rPr>
            </w:pPr>
            <w:r>
              <w:rPr>
                <w:rFonts w:ascii="Arial" w:cs="Arial" w:eastAsia="Arial" w:hAnsi="Arial"/>
                <w:sz w:val="14"/>
                <w:szCs w:val="14"/>
                <w:color w:val="auto"/>
              </w:rPr>
              <w:t>89.793%</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333,184,077</w:t>
            </w:r>
          </w:p>
        </w:tc>
      </w:tr>
      <w:tr>
        <w:trPr>
          <w:trHeight w:val="105"/>
        </w:trPr>
        <w:tc>
          <w:tcPr>
            <w:tcW w:w="680" w:type="dxa"/>
            <w:vAlign w:val="bottom"/>
            <w:tcBorders>
              <w:bottom w:val="single" w:sz="8" w:color="808080"/>
            </w:tcBorders>
          </w:tcPr>
          <w:p>
            <w:pPr>
              <w:spacing w:after="0"/>
              <w:rPr>
                <w:sz w:val="9"/>
                <w:szCs w:val="9"/>
                <w:color w:val="auto"/>
              </w:rPr>
            </w:pPr>
          </w:p>
        </w:tc>
        <w:tc>
          <w:tcPr>
            <w:tcW w:w="5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196" w:lineRule="auto"/>
        <w:tabs>
          <w:tab w:leader="none" w:pos="540" w:val="left"/>
        </w:tabs>
        <w:numPr>
          <w:ilvl w:val="0"/>
          <w:numId w:val="3"/>
        </w:numPr>
        <w:rPr>
          <w:rFonts w:ascii="Arial" w:cs="Arial" w:eastAsia="Arial" w:hAnsi="Arial"/>
          <w:sz w:val="27"/>
          <w:szCs w:val="27"/>
          <w:color w:val="auto"/>
          <w:vertAlign w:val="subscript"/>
        </w:rPr>
      </w:pPr>
      <w:r>
        <w:rPr>
          <w:rFonts w:ascii="Arial" w:cs="Arial" w:eastAsia="Arial" w:hAnsi="Arial"/>
          <w:sz w:val="14"/>
          <w:szCs w:val="14"/>
          <w:color w:val="auto"/>
        </w:rPr>
        <w:t>The public offering price set forth above does not include accrued interest, if any. Interest on the second mortgage notes will accrue from October 30, 2002.</w:t>
      </w:r>
    </w:p>
    <w:p>
      <w:pPr>
        <w:spacing w:after="0" w:line="1" w:lineRule="exact"/>
        <w:rPr>
          <w:rFonts w:ascii="Arial" w:cs="Arial" w:eastAsia="Arial" w:hAnsi="Arial"/>
          <w:sz w:val="27"/>
          <w:szCs w:val="27"/>
          <w:color w:val="auto"/>
          <w:vertAlign w:val="subscript"/>
        </w:rPr>
      </w:pPr>
    </w:p>
    <w:p>
      <w:pPr>
        <w:jc w:val="both"/>
        <w:ind w:left="540" w:right="60" w:hanging="532"/>
        <w:spacing w:after="0" w:line="198" w:lineRule="auto"/>
        <w:tabs>
          <w:tab w:leader="none" w:pos="540" w:val="left"/>
        </w:tabs>
        <w:numPr>
          <w:ilvl w:val="0"/>
          <w:numId w:val="3"/>
        </w:numPr>
        <w:rPr>
          <w:rFonts w:ascii="Arial" w:cs="Arial" w:eastAsia="Arial" w:hAnsi="Arial"/>
          <w:sz w:val="24"/>
          <w:szCs w:val="24"/>
          <w:color w:val="auto"/>
          <w:vertAlign w:val="subscript"/>
        </w:rPr>
      </w:pPr>
      <w:r>
        <w:rPr>
          <w:rFonts w:ascii="Arial" w:cs="Arial" w:eastAsia="Arial" w:hAnsi="Arial"/>
          <w:sz w:val="12"/>
          <w:szCs w:val="12"/>
          <w:color w:val="auto"/>
        </w:rPr>
        <w:t>Of the $343,334,100 aggregate gross proceeds of second mortgage notes offered hereby, we have offered to sell $2,500,000 in aggregate gross proceeds of second mortgage notes to each of Stephen A. Wynn, Chairman of the Board, Chief Executive Officer and a principal stockholder of Wynn Resorts, and Aruze USA, Inc., another principal stockholder of Wynn Resorts, each of whom has agreed to purchase such amount at the price being offered to the public. The underwriters will not receive any underwriting discounts or commissions on these purchases.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659765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6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5640" w:type="dxa"/>
            <w:vAlign w:val="bottom"/>
            <w:gridSpan w:val="4"/>
          </w:tcPr>
          <w:p>
            <w:pPr>
              <w:jc w:val="center"/>
              <w:ind w:right="460"/>
              <w:spacing w:after="0"/>
              <w:rPr>
                <w:sz w:val="20"/>
                <w:szCs w:val="20"/>
                <w:color w:val="auto"/>
              </w:rPr>
            </w:pPr>
            <w:r>
              <w:rPr>
                <w:rFonts w:ascii="Arial" w:cs="Arial" w:eastAsia="Arial" w:hAnsi="Arial"/>
                <w:sz w:val="14"/>
                <w:szCs w:val="14"/>
                <w:i w:val="1"/>
                <w:iCs w:val="1"/>
                <w:color w:val="auto"/>
                <w:w w:val="88"/>
              </w:rPr>
              <w:t>Joint Book-Running Managers</w:t>
            </w:r>
          </w:p>
        </w:tc>
        <w:tc>
          <w:tcPr>
            <w:tcW w:w="2320" w:type="dxa"/>
            <w:vAlign w:val="bottom"/>
          </w:tcPr>
          <w:p>
            <w:pPr>
              <w:spacing w:after="0"/>
              <w:rPr>
                <w:sz w:val="14"/>
                <w:szCs w:val="14"/>
                <w:color w:val="auto"/>
              </w:rPr>
            </w:pPr>
          </w:p>
        </w:tc>
      </w:tr>
      <w:tr>
        <w:trPr>
          <w:trHeight w:val="419"/>
        </w:trPr>
        <w:tc>
          <w:tcPr>
            <w:tcW w:w="296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2480" w:type="dxa"/>
            <w:vAlign w:val="bottom"/>
            <w:gridSpan w:val="2"/>
          </w:tcPr>
          <w:p>
            <w:pPr>
              <w:jc w:val="center"/>
              <w:ind w:right="12"/>
              <w:spacing w:after="0"/>
              <w:rPr>
                <w:sz w:val="20"/>
                <w:szCs w:val="20"/>
                <w:color w:val="auto"/>
              </w:rPr>
            </w:pPr>
            <w:r>
              <w:rPr>
                <w:rFonts w:ascii="Arial" w:cs="Arial" w:eastAsia="Arial" w:hAnsi="Arial"/>
                <w:sz w:val="22"/>
                <w:szCs w:val="22"/>
                <w:b w:val="1"/>
                <w:bCs w:val="1"/>
                <w:color w:val="auto"/>
                <w:w w:val="89"/>
              </w:rPr>
              <w:t>Banc of America</w:t>
            </w:r>
          </w:p>
        </w:tc>
        <w:tc>
          <w:tcPr>
            <w:tcW w:w="3160" w:type="dxa"/>
            <w:vAlign w:val="bottom"/>
            <w:gridSpan w:val="2"/>
          </w:tcPr>
          <w:p>
            <w:pPr>
              <w:ind w:left="540"/>
              <w:spacing w:after="0"/>
              <w:rPr>
                <w:sz w:val="20"/>
                <w:szCs w:val="20"/>
                <w:color w:val="auto"/>
              </w:rPr>
            </w:pPr>
            <w:r>
              <w:rPr>
                <w:rFonts w:ascii="Arial" w:cs="Arial" w:eastAsia="Arial" w:hAnsi="Arial"/>
                <w:sz w:val="22"/>
                <w:szCs w:val="22"/>
                <w:b w:val="1"/>
                <w:bCs w:val="1"/>
                <w:color w:val="auto"/>
              </w:rPr>
              <w:t>Bear, Stearns &amp; Co. Inc.</w:t>
            </w:r>
          </w:p>
        </w:tc>
        <w:tc>
          <w:tcPr>
            <w:tcW w:w="2320" w:type="dxa"/>
            <w:vAlign w:val="bottom"/>
          </w:tcPr>
          <w:p>
            <w:pPr>
              <w:jc w:val="center"/>
              <w:ind w:left="372"/>
              <w:spacing w:after="0"/>
              <w:rPr>
                <w:sz w:val="20"/>
                <w:szCs w:val="20"/>
                <w:color w:val="auto"/>
              </w:rPr>
            </w:pPr>
            <w:r>
              <w:rPr>
                <w:rFonts w:ascii="Arial" w:cs="Arial" w:eastAsia="Arial" w:hAnsi="Arial"/>
                <w:sz w:val="22"/>
                <w:szCs w:val="22"/>
                <w:b w:val="1"/>
                <w:bCs w:val="1"/>
                <w:color w:val="auto"/>
                <w:w w:val="90"/>
              </w:rPr>
              <w:t>Dresdner Kleinwort</w:t>
            </w:r>
          </w:p>
        </w:tc>
      </w:tr>
      <w:tr>
        <w:trPr>
          <w:trHeight w:val="281"/>
        </w:trPr>
        <w:tc>
          <w:tcPr>
            <w:tcW w:w="2960" w:type="dxa"/>
            <w:vAlign w:val="bottom"/>
          </w:tcPr>
          <w:p>
            <w:pPr>
              <w:spacing w:after="0"/>
              <w:rPr>
                <w:sz w:val="24"/>
                <w:szCs w:val="24"/>
                <w:color w:val="auto"/>
              </w:rPr>
            </w:pPr>
          </w:p>
        </w:tc>
        <w:tc>
          <w:tcPr>
            <w:tcW w:w="2480" w:type="dxa"/>
            <w:vAlign w:val="bottom"/>
            <w:gridSpan w:val="2"/>
          </w:tcPr>
          <w:p>
            <w:pPr>
              <w:jc w:val="center"/>
              <w:ind w:right="12"/>
              <w:spacing w:after="0"/>
              <w:rPr>
                <w:sz w:val="20"/>
                <w:szCs w:val="20"/>
                <w:color w:val="auto"/>
              </w:rPr>
            </w:pPr>
            <w:r>
              <w:rPr>
                <w:rFonts w:ascii="Arial" w:cs="Arial" w:eastAsia="Arial" w:hAnsi="Arial"/>
                <w:sz w:val="22"/>
                <w:szCs w:val="22"/>
                <w:b w:val="1"/>
                <w:bCs w:val="1"/>
                <w:color w:val="auto"/>
                <w:w w:val="90"/>
              </w:rPr>
              <w:t>Securities LLC</w:t>
            </w: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20" w:type="dxa"/>
            <w:vAlign w:val="bottom"/>
          </w:tcPr>
          <w:p>
            <w:pPr>
              <w:jc w:val="center"/>
              <w:ind w:left="392"/>
              <w:spacing w:after="0"/>
              <w:rPr>
                <w:sz w:val="20"/>
                <w:szCs w:val="20"/>
                <w:color w:val="auto"/>
              </w:rPr>
            </w:pPr>
            <w:r>
              <w:rPr>
                <w:rFonts w:ascii="Arial" w:cs="Arial" w:eastAsia="Arial" w:hAnsi="Arial"/>
                <w:sz w:val="22"/>
                <w:szCs w:val="22"/>
                <w:b w:val="1"/>
                <w:bCs w:val="1"/>
                <w:color w:val="auto"/>
                <w:w w:val="84"/>
              </w:rPr>
              <w:t>Wasserstein</w:t>
            </w:r>
          </w:p>
        </w:tc>
      </w:tr>
      <w:tr>
        <w:trPr>
          <w:trHeight w:val="108"/>
        </w:trPr>
        <w:tc>
          <w:tcPr>
            <w:tcW w:w="2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22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358"/>
        </w:trPr>
        <w:tc>
          <w:tcPr>
            <w:tcW w:w="2960" w:type="dxa"/>
            <w:vAlign w:val="bottom"/>
          </w:tcPr>
          <w:p>
            <w:pPr>
              <w:ind w:left="700"/>
              <w:spacing w:after="0"/>
              <w:rPr>
                <w:sz w:val="20"/>
                <w:szCs w:val="20"/>
                <w:color w:val="auto"/>
              </w:rPr>
            </w:pPr>
            <w:r>
              <w:rPr>
                <w:rFonts w:ascii="Arial" w:cs="Arial" w:eastAsia="Arial" w:hAnsi="Arial"/>
                <w:sz w:val="22"/>
                <w:szCs w:val="22"/>
                <w:b w:val="1"/>
                <w:bCs w:val="1"/>
                <w:color w:val="auto"/>
              </w:rPr>
              <w:t>Fleet Securities, Inc.</w:t>
            </w:r>
          </w:p>
        </w:tc>
        <w:tc>
          <w:tcPr>
            <w:tcW w:w="1780" w:type="dxa"/>
            <w:vAlign w:val="bottom"/>
          </w:tcPr>
          <w:p>
            <w:pPr>
              <w:spacing w:after="0"/>
              <w:rPr>
                <w:sz w:val="24"/>
                <w:szCs w:val="24"/>
                <w:color w:val="auto"/>
              </w:rPr>
            </w:pPr>
          </w:p>
        </w:tc>
        <w:tc>
          <w:tcPr>
            <w:tcW w:w="3860" w:type="dxa"/>
            <w:vAlign w:val="bottom"/>
            <w:gridSpan w:val="3"/>
          </w:tcPr>
          <w:p>
            <w:pPr>
              <w:jc w:val="center"/>
              <w:ind w:right="2260"/>
              <w:spacing w:after="0"/>
              <w:rPr>
                <w:sz w:val="20"/>
                <w:szCs w:val="20"/>
                <w:color w:val="auto"/>
              </w:rPr>
            </w:pPr>
            <w:r>
              <w:rPr>
                <w:rFonts w:ascii="Arial" w:cs="Arial" w:eastAsia="Arial" w:hAnsi="Arial"/>
                <w:sz w:val="22"/>
                <w:szCs w:val="22"/>
                <w:b w:val="1"/>
                <w:bCs w:val="1"/>
                <w:color w:val="auto"/>
                <w:w w:val="90"/>
              </w:rPr>
              <w:t>Scotia Capital</w:t>
            </w:r>
          </w:p>
        </w:tc>
        <w:tc>
          <w:tcPr>
            <w:tcW w:w="2320" w:type="dxa"/>
            <w:vAlign w:val="bottom"/>
          </w:tcPr>
          <w:p>
            <w:pPr>
              <w:ind w:left="380"/>
              <w:spacing w:after="0"/>
              <w:rPr>
                <w:sz w:val="20"/>
                <w:szCs w:val="20"/>
                <w:color w:val="auto"/>
              </w:rPr>
            </w:pPr>
            <w:r>
              <w:rPr>
                <w:rFonts w:ascii="Arial" w:cs="Arial" w:eastAsia="Arial" w:hAnsi="Arial"/>
                <w:sz w:val="22"/>
                <w:szCs w:val="22"/>
                <w:b w:val="1"/>
                <w:bCs w:val="1"/>
                <w:color w:val="auto"/>
              </w:rPr>
              <w:t>SG Cowen</w:t>
            </w:r>
          </w:p>
        </w:tc>
      </w:tr>
      <w:tr>
        <w:trPr>
          <w:trHeight w:val="108"/>
        </w:trPr>
        <w:tc>
          <w:tcPr>
            <w:tcW w:w="2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22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466"/>
        </w:trPr>
        <w:tc>
          <w:tcPr>
            <w:tcW w:w="2960" w:type="dxa"/>
            <w:vAlign w:val="bottom"/>
          </w:tcPr>
          <w:p>
            <w:pPr>
              <w:spacing w:after="0"/>
              <w:rPr>
                <w:sz w:val="24"/>
                <w:szCs w:val="24"/>
                <w:color w:val="auto"/>
              </w:rPr>
            </w:pPr>
          </w:p>
        </w:tc>
        <w:tc>
          <w:tcPr>
            <w:tcW w:w="5640" w:type="dxa"/>
            <w:vAlign w:val="bottom"/>
            <w:gridSpan w:val="4"/>
          </w:tcPr>
          <w:p>
            <w:pPr>
              <w:jc w:val="center"/>
              <w:ind w:right="460"/>
              <w:spacing w:after="0"/>
              <w:rPr>
                <w:sz w:val="20"/>
                <w:szCs w:val="20"/>
                <w:color w:val="auto"/>
              </w:rPr>
            </w:pPr>
            <w:r>
              <w:rPr>
                <w:rFonts w:ascii="Arial" w:cs="Arial" w:eastAsia="Arial" w:hAnsi="Arial"/>
                <w:sz w:val="22"/>
                <w:szCs w:val="22"/>
                <w:b w:val="1"/>
                <w:bCs w:val="1"/>
                <w:color w:val="auto"/>
                <w:w w:val="89"/>
              </w:rPr>
              <w:t>Jefferies &amp; Company, Inc.</w:t>
            </w:r>
          </w:p>
        </w:tc>
        <w:tc>
          <w:tcPr>
            <w:tcW w:w="23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-619125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-619125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-309880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-309880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color w:val="auto"/>
        </w:rPr>
        <w:t>The date of this prospectus is October 25,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4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ARTWORK</w:t>
      </w:r>
    </w:p>
    <w:p>
      <w:pPr>
        <w:sectPr>
          <w:pgSz w:w="11900" w:h="16838" w:orient="portrait"/>
          <w:cols w:equalWidth="0" w:num="1">
            <w:col w:w="11420"/>
          </w:cols>
          <w:pgMar w:left="240" w:top="469" w:right="239" w:bottom="42"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[Le Rêve site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17 before making an investment decision.</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The second mortgage notes will be jointly issued by Wynn Las Vegas, LLC, a Nevada limited liability company, and its wholly owned subsidiary, Wynn Las Vegas Capital Corp., a Nevada corporation, referred to as Wynn Capital. The second mortgage notes will be guaranteed by Wynn Resorts, Limited, a Nevada corporation, our ultimate indirect parent, and, Valvino Lamore, LLC, a Nevada limited liability company, a subsidiary of Wynn Resorts, Limited and our indirect parent, and certain of Valvino's subsidiaries designated as restricted entities. In September 2002, all of the members of Valvino contributed their membership interests in Valvino to our ultimate parent, Wynn Resorts, Limited, a Nevada corporation, and Valvino became a wholly owned subsidiary of Wynn Resorts.</w:t>
      </w:r>
    </w:p>
    <w:p>
      <w:pPr>
        <w:spacing w:after="0" w:line="170"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collectively, Wynn Las Vegas, Valvino and its subsidiaries that are guaranteeing the second mortgage notes. References to any other entity mean that entity without any subsidiaries. References to the restricted entities or the restricted group mean Valvino, Wynn Resorts Holdings, LLC, Wynn Design &amp; Development, LLC, World Travel, LLC, Las Vegas Jet, LLC, Desert Inn Water Company, LLC and Palo, LLC.</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w:t>
      </w:r>
    </w:p>
    <w:p>
      <w:pPr>
        <w:spacing w:after="0" w:line="245" w:lineRule="exact"/>
        <w:rPr>
          <w:sz w:val="20"/>
          <w:szCs w:val="20"/>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and that Le Rêve will represent a natural extension of the concepts Mr. Wynn has utilized in developing other major destination casino resorts.</w:t>
      </w:r>
    </w:p>
    <w:p>
      <w:pPr>
        <w:spacing w:after="0" w:line="275"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Create a "Must-Visit" Destination Casino Resort on the Las Vegas Strip</w:t>
      </w:r>
      <w:r>
        <w:rPr>
          <w:rFonts w:ascii="Arial" w:cs="Arial" w:eastAsia="Arial" w:hAnsi="Arial"/>
          <w:sz w:val="16"/>
          <w:szCs w:val="16"/>
          <w:color w:val="auto"/>
        </w:rPr>
        <w:t>. 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jc w:val="both"/>
        <w:ind w:left="1080" w:right="3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Open the First New Major Hotel Casino Resort on the Las Vegas Strip in Almost Five Years</w:t>
      </w:r>
      <w:r>
        <w:rPr>
          <w:rFonts w:ascii="Arial" w:cs="Arial" w:eastAsia="Arial" w:hAnsi="Arial"/>
          <w:sz w:val="18"/>
          <w:szCs w:val="18"/>
          <w:color w:val="auto"/>
        </w:rPr>
        <w:t>. We believe that, at the time of Le Rêve's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in April 2005, it will have been almost five years since a major new hotel casino resort opened on the Las Vegas Strip. As a result, we expect that there will be a high level of customer anticipation for Le Rêve.</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-4105910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2" w:name="page3"/>
    <w:bookmarkEnd w:id="2"/>
    <w:p>
      <w:pPr>
        <w:ind w:left="1260"/>
        <w:spacing w:after="0"/>
        <w:rPr>
          <w:sz w:val="20"/>
          <w:szCs w:val="20"/>
          <w:color w:val="auto"/>
        </w:rPr>
      </w:pPr>
      <w:r>
        <w:rPr>
          <w:rFonts w:ascii="Arial" w:cs="Arial" w:eastAsia="Arial" w:hAnsi="Arial"/>
          <w:sz w:val="18"/>
          <w:szCs w:val="18"/>
          <w:color w:val="auto"/>
        </w:rPr>
        <w:t>an on-site, full-service Ferrari and Maserati dealership; and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art gallery displaying works from the private art collection of Mr. Wynn and his wife, Elaine Wynn.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20" w:right="340" w:hanging="532"/>
        <w:spacing w:after="0" w:line="26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Generate Substantial Revenue from Le Rêve's Non-Gaming Amenities</w:t>
      </w:r>
      <w:r>
        <w:rPr>
          <w:rFonts w:ascii="Arial" w:cs="Arial" w:eastAsia="Arial" w:hAnsi="Arial"/>
          <w:sz w:val="18"/>
          <w:szCs w:val="18"/>
          <w:color w:val="auto"/>
        </w:rPr>
        <w:t>. 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720" w:hanging="532"/>
        <w:spacing w:after="0" w:line="29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20" w:right="120" w:hanging="532"/>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Capitalize on Our Experienced Management Team</w:t>
      </w:r>
      <w:r>
        <w:rPr>
          <w:rFonts w:ascii="Arial" w:cs="Arial" w:eastAsia="Arial" w:hAnsi="Arial"/>
          <w:sz w:val="18"/>
          <w:szCs w:val="18"/>
          <w:color w:val="auto"/>
        </w:rPr>
        <w:t>. Mr. Wynn is designing Le Rêve and brings to the project his experience as the designer of</w:t>
      </w:r>
      <w:r>
        <w:rPr>
          <w:rFonts w:ascii="Arial" w:cs="Arial" w:eastAsia="Arial" w:hAnsi="Arial"/>
          <w:sz w:val="18"/>
          <w:szCs w:val="18"/>
          <w:i w:val="1"/>
          <w:iCs w:val="1"/>
          <w:color w:val="auto"/>
        </w:rPr>
        <w:t xml:space="preserve"> </w:t>
      </w:r>
      <w:r>
        <w:rPr>
          <w:rFonts w:ascii="Arial" w:cs="Arial" w:eastAsia="Arial" w:hAnsi="Arial"/>
          <w:sz w:val="18"/>
          <w:szCs w:val="18"/>
          <w:color w:val="auto"/>
        </w:rPr>
        <w:t>Bellagio, The Mirage and Treasure Island at The Mirage. Many of the other people on the design team worked with Mr. Wynn at Mirage Resorts to develop Bellagio.</w:t>
      </w:r>
    </w:p>
    <w:p>
      <w:pPr>
        <w:spacing w:after="0" w:line="221" w:lineRule="exact"/>
        <w:rPr>
          <w:rFonts w:ascii="Arial" w:cs="Arial" w:eastAsia="Arial" w:hAnsi="Arial"/>
          <w:sz w:val="18"/>
          <w:szCs w:val="18"/>
          <w:color w:val="auto"/>
        </w:rPr>
      </w:pPr>
    </w:p>
    <w:p>
      <w:pPr>
        <w:ind w:left="720" w:right="120" w:hanging="532"/>
        <w:spacing w:after="0" w:line="29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Carefully Manage Construction Costs and Risks</w:t>
      </w:r>
      <w:r>
        <w:rPr>
          <w:rFonts w:ascii="Arial" w:cs="Arial" w:eastAsia="Arial" w:hAnsi="Arial"/>
          <w:sz w:val="16"/>
          <w:szCs w:val="16"/>
          <w:color w:val="auto"/>
        </w:rPr>
        <w:t>. 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260" w:right="300" w:hanging="532"/>
        <w:spacing w:after="0" w:line="268"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260" w:hanging="532"/>
        <w:spacing w:after="0" w:line="259"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207" w:lineRule="exact"/>
        <w:rPr>
          <w:rFonts w:ascii="Arial" w:cs="Arial" w:eastAsia="Arial" w:hAnsi="Arial"/>
          <w:sz w:val="18"/>
          <w:szCs w:val="18"/>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Wynn Resorts' initial public offering;</w:t>
      </w:r>
    </w:p>
    <w:p>
      <w:pPr>
        <w:spacing w:after="0" w:line="238" w:lineRule="exact"/>
        <w:rPr>
          <w:rFonts w:ascii="Arial" w:cs="Arial" w:eastAsia="Arial" w:hAnsi="Arial"/>
          <w:sz w:val="18"/>
          <w:szCs w:val="18"/>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260" w:right="40" w:hanging="532"/>
        <w:spacing w:after="0" w:line="268"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and other financing fees with respect to our indebtedness if completion is delayed.</w:t>
      </w:r>
    </w:p>
    <w:p>
      <w:pPr>
        <w:spacing w:after="0" w:line="186" w:lineRule="exact"/>
        <w:rPr>
          <w:sz w:val="20"/>
          <w:szCs w:val="20"/>
          <w:color w:val="auto"/>
        </w:rPr>
      </w:pPr>
    </w:p>
    <w:p>
      <w:pPr>
        <w:jc w:val="both"/>
        <w:ind w:left="720" w:right="80"/>
        <w:spacing w:after="0" w:line="306" w:lineRule="auto"/>
        <w:rPr>
          <w:sz w:val="20"/>
          <w:szCs w:val="20"/>
          <w:color w:val="auto"/>
        </w:rPr>
      </w:pPr>
      <w:r>
        <w:rPr>
          <w:rFonts w:ascii="Arial" w:cs="Arial" w:eastAsia="Arial" w:hAnsi="Arial"/>
          <w:sz w:val="16"/>
          <w:szCs w:val="16"/>
          <w:color w:val="auto"/>
        </w:rPr>
        <w:t>We will enter into a disbursement agreement with the agents under the credit facilities and the furniture, fixtures and equipment loan facility and the second mortgage note trustee which will govern the sequence of funding and will require us to satisfy specified conditions before we may use the proceeds of our debt instruments and certain of the other sources described below to fund Le Rêve construction costs.</w:t>
      </w:r>
    </w:p>
    <w:p>
      <w:pPr>
        <w:spacing w:after="0" w:line="174" w:lineRule="exact"/>
        <w:rPr>
          <w:sz w:val="20"/>
          <w:szCs w:val="20"/>
          <w:color w:val="auto"/>
        </w:rPr>
      </w:pPr>
    </w:p>
    <w:p>
      <w:pPr>
        <w:ind w:left="720" w:right="300" w:hanging="532"/>
        <w:spacing w:after="0" w:line="29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the Significant Equity Investment. </w:t>
      </w:r>
      <w:r>
        <w:rPr>
          <w:rFonts w:ascii="Arial" w:cs="Arial" w:eastAsia="Arial" w:hAnsi="Arial"/>
          <w:sz w:val="16"/>
          <w:szCs w:val="16"/>
          <w:color w:val="auto"/>
        </w:rPr>
        <w:t>We will have a significant cash equity capitalization for the development of Le Rêve. From</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through the completion of Le Rêve, we expect to have received a total of approximately $949.0 million in cash equity contributions, which represents approximately 40% of the total estimated project costs. The $949.0 million derives from equity contributions from the prior members of Valvino and $386.7 million of the net proceeds of the concurrent initial public offering by Wynn Resorts. To date, Mr. Wynn has personally invested approximately $175 million in cash equity, which demonstrates his commitment to the Le Rêve project.</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Investing in the second mortgage notes involves substantial risks, including the following:</w:t>
      </w:r>
    </w:p>
    <w:p>
      <w:pPr>
        <w:spacing w:after="0" w:line="239" w:lineRule="exact"/>
        <w:rPr>
          <w:sz w:val="20"/>
          <w:szCs w:val="20"/>
          <w:color w:val="auto"/>
        </w:rPr>
      </w:pPr>
    </w:p>
    <w:p>
      <w:pPr>
        <w:ind w:left="720" w:hanging="53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720" w:hanging="53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720" w:right="40" w:hanging="53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600" w:top="131" w:right="279" w:bottom="0" w:gutter="0" w:footer="0" w:header="0"/>
        </w:sectPr>
      </w:pPr>
    </w:p>
    <w:bookmarkStart w:id="3" w:name="page4"/>
    <w:bookmarkEnd w:id="3"/>
    <w:p>
      <w:pPr>
        <w:ind w:left="1080" w:right="140"/>
        <w:spacing w:after="0" w:line="268" w:lineRule="auto"/>
        <w:rPr>
          <w:sz w:val="20"/>
          <w:szCs w:val="20"/>
          <w:color w:val="auto"/>
        </w:rPr>
      </w:pPr>
      <w:r>
        <w:rPr>
          <w:rFonts w:ascii="Arial" w:cs="Arial" w:eastAsia="Arial" w:hAnsi="Arial"/>
          <w:sz w:val="18"/>
          <w:szCs w:val="18"/>
          <w:color w:val="auto"/>
        </w:rPr>
        <w:t>We are highly leveraged and future cash flow may not be sufficient to meet our obligations, including our obligations under the second mortgage notes, and we might have difficulty obtaining more financing;</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securing the indebtedness under the credit facilities and FF&amp;E facility generally will be senior to the liens securing the second mortgage notes;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intercreditor agreements will limit the ability of the holders of the second mortgage notes to control decisions regarding the collateral and to take enforcement 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Gaming laws will impose additional restrictions on foreclosure;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Bankruptcy laws may significantly impair your rights to repossess and dispose of collateral securing the second mortgage notes; and</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Wynn Las Vegas and Wynn Capital are indirect subsidiaries of Wynn Resorts. Concurrent with this offering, Wynn Resorts is offering shares of its common stock in an initial public offering expected to raise approximately $450 million in gross proceeds. Wynn Resorts will contribute approximately $386.7 million of its initial public offering net proceeds and Valvino will contribute all of its existing cash on hand to Wynn Las Vegas. We intend to use</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contributions from Wynn Resorts and Valvino,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approximately $718.5 million under a $750.0 million revolving credit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$250.0 million under a delay draw term loan facility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of $188.5 million under a furniture, fixtures and equipment loan facility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fund Le Rêve's project costs. We have obtained commitments for the revolving credit facility and the delay draw term loan facility, and the placement agent for the furniture,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fixtures and equipment loan facility has received commitments from the lenders who will be parties to that loan facility. We sometimes refer to the revolving credit facility and the delay draw term loan facility as the credit facilities and to the furniture, fixtures and equipment loan facility as the FF&amp;E facility. Consummation of this offering is conditioned on consummation of the offering of Wynn Resorts' common stock and on Wynn Las Vegas entering into the agreements governing the credit facilities and FF&amp;E facility. These conditions may not be waived by the issuers.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the Macau-related subsidiaries, will not be guarantors and will not be subject to the covenants in the indenture governing the second mortgage notes, the credit facilities or the FF&amp;E facility. Wynn Resorts will also not be subject to those covenants. Wynn Resorts will guarantee the second mortgage notes on a senior unsecured basis (which will be pari passu with Wynn Resorts' guarantee of the credit facilities and the FF&amp;E facility).</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Wynn Resorts (Macau) S.A., a majority-owned indirect subsidiary of Wynn Resorts referred to as Wynn Macau,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 assets of Wynn Macau and other Macau-related subsidiaries will not serve as collateral for our Le Rêve indebtedness or for Wynn Resorts' guarantee.</w:t>
      </w:r>
    </w:p>
    <w:p>
      <w:pPr>
        <w:sectPr>
          <w:pgSz w:w="11900" w:h="16838" w:orient="portrait"/>
          <w:cols w:equalWidth="0" w:num="1">
            <w:col w:w="11400"/>
          </w:cols>
          <w:pgMar w:left="240" w:top="131" w:right="259" w:bottom="68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8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528435" cy="5490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8435" cy="549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 w:right="140" w:hanging="532"/>
        <w:spacing w:after="0" w:line="198" w:lineRule="auto"/>
        <w:tabs>
          <w:tab w:leader="none" w:pos="540" w:val="left"/>
        </w:tabs>
        <w:numPr>
          <w:ilvl w:val="0"/>
          <w:numId w:val="11"/>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5,576,923 shares of Wynn Resorts' common stock that each of Mr. Wynn and Aruze USA has agreed to purchase in the initial public offering of Wynn Resorts' common stock.</w:t>
      </w:r>
    </w:p>
    <w:p>
      <w:pPr>
        <w:spacing w:after="0" w:line="85" w:lineRule="exact"/>
        <w:rPr>
          <w:rFonts w:ascii="Arial" w:cs="Arial" w:eastAsia="Arial" w:hAnsi="Arial"/>
          <w:sz w:val="26"/>
          <w:szCs w:val="26"/>
          <w:color w:val="auto"/>
          <w:vertAlign w:val="subscript"/>
        </w:rPr>
      </w:pPr>
    </w:p>
    <w:p>
      <w:pPr>
        <w:ind w:left="540" w:right="60" w:hanging="532"/>
        <w:spacing w:after="0" w:line="186" w:lineRule="auto"/>
        <w:tabs>
          <w:tab w:leader="none" w:pos="540" w:val="left"/>
        </w:tabs>
        <w:numPr>
          <w:ilvl w:val="0"/>
          <w:numId w:val="11"/>
        </w:numPr>
        <w:rPr>
          <w:rFonts w:ascii="Arial" w:cs="Arial" w:eastAsia="Arial" w:hAnsi="Arial"/>
          <w:sz w:val="24"/>
          <w:szCs w:val="24"/>
          <w:color w:val="auto"/>
          <w:vertAlign w:val="subscript"/>
        </w:rPr>
      </w:pPr>
      <w:r>
        <w:rPr>
          <w:rFonts w:ascii="Arial" w:cs="Arial" w:eastAsia="Arial" w:hAnsi="Arial"/>
          <w:sz w:val="12"/>
          <w:szCs w:val="12"/>
          <w:color w:val="auto"/>
        </w:rPr>
        <w:t>Consists of shares held by Baron Asset Fund on behalf of the Baron Asset Fund Series, the Baron Growth Fund Series and the Baron Small Cap Fund Series. Ownership percentage includes 1,500,000 shares that Baron Asset Fund has agreed to purchase in Wynn Resorts' initial public offering of its common stock.</w:t>
      </w:r>
    </w:p>
    <w:p>
      <w:pPr>
        <w:spacing w:after="0" w:line="70" w:lineRule="exact"/>
        <w:rPr>
          <w:rFonts w:ascii="Arial" w:cs="Arial" w:eastAsia="Arial" w:hAnsi="Arial"/>
          <w:sz w:val="24"/>
          <w:szCs w:val="24"/>
          <w:color w:val="auto"/>
          <w:vertAlign w:val="subscript"/>
        </w:rPr>
      </w:pPr>
    </w:p>
    <w:p>
      <w:pPr>
        <w:ind w:left="540" w:right="120" w:hanging="532"/>
        <w:spacing w:after="0" w:line="186" w:lineRule="auto"/>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Following the completion of this offering and the offering of Wynn Resorts common stock,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1.7% of Wynn Resorts' outstanding shares. After giving effect to these restricted stock grants, the percentage ownership interests of Mr. Wynn, Aruze USA, Baron Asset Fund, Kenneth R. Wynn Family Trust,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other management and other affiliates and the public stockholders would be approximately 32.3%, 32.3%, 4.6%, 0.1%, 2.0% and 28.6%, respectively.</w:t>
      </w:r>
    </w:p>
    <w:p>
      <w:pPr>
        <w:spacing w:after="0" w:line="150" w:lineRule="exact"/>
        <w:rPr>
          <w:sz w:val="20"/>
          <w:szCs w:val="20"/>
          <w:color w:val="auto"/>
        </w:rPr>
      </w:pPr>
    </w:p>
    <w:p>
      <w:pPr>
        <w:ind w:left="54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Based on the number of shares proposed to be issued in Wynn Resorts' initial public offering, excluding any shares that may be issued pursuant to the exercise of the underwriters' over-allotment option in Wynn Resorts' initial public offering.</w:t>
      </w:r>
    </w:p>
    <w:p>
      <w:pPr>
        <w:spacing w:after="0" w:line="84" w:lineRule="exact"/>
        <w:rPr>
          <w:rFonts w:ascii="Arial" w:cs="Arial" w:eastAsia="Arial" w:hAnsi="Arial"/>
          <w:sz w:val="24"/>
          <w:szCs w:val="24"/>
          <w:color w:val="auto"/>
          <w:vertAlign w:val="subscript"/>
        </w:rPr>
      </w:pPr>
    </w:p>
    <w:p>
      <w:pPr>
        <w:ind w:left="540" w:right="40" w:hanging="532"/>
        <w:spacing w:after="0" w:line="19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on a senior unsecured basis (pari passu with its guarantee of the credit facilities and the FF&amp;E facility), but will not be a restricted entity. Wynn Resorts' subsidiaries that will develop the Macau opportunity will not be issuers, borrowers, guarantors or restricted entities with respect to the financing of Le Rêve, including the second mortgage notes.</w:t>
      </w:r>
    </w:p>
    <w:p>
      <w:pPr>
        <w:spacing w:after="0" w:line="72"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Includes a number of wholly owned and partially owned entities. Wynn Resorts owns an approximately 82.5% economic interest in, and effectively controls approximately 90% of the vote of, Wynn Macau indirectly through various subsidiaries.</w:t>
      </w:r>
    </w:p>
    <w:p>
      <w:pPr>
        <w:ind w:left="540" w:hanging="532"/>
        <w:spacing w:after="0" w:line="187"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Includes a number of wholly owned subsidiary limited liability companies. These entities include Rambas Marketing Co., LLC, Toasty, LLC and WorldWide Wynn, LLC.</w:t>
      </w:r>
    </w:p>
    <w:p>
      <w:pPr>
        <w:spacing w:after="0" w:line="85" w:lineRule="exact"/>
        <w:rPr>
          <w:rFonts w:ascii="Arial" w:cs="Arial" w:eastAsia="Arial" w:hAnsi="Arial"/>
          <w:sz w:val="27"/>
          <w:szCs w:val="27"/>
          <w:color w:val="auto"/>
          <w:vertAlign w:val="subscript"/>
        </w:rPr>
      </w:pPr>
    </w:p>
    <w:p>
      <w:pPr>
        <w:ind w:left="540" w:right="60" w:hanging="532"/>
        <w:spacing w:after="0" w:line="186"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The covenants in the credit agreement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73"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70" w:lineRule="exact"/>
        <w:rPr>
          <w:rFonts w:ascii="Arial" w:cs="Arial" w:eastAsia="Arial" w:hAnsi="Arial"/>
          <w:sz w:val="24"/>
          <w:szCs w:val="24"/>
          <w:color w:val="auto"/>
          <w:vertAlign w:val="subscript"/>
        </w:rPr>
      </w:pPr>
    </w:p>
    <w:p>
      <w:pPr>
        <w:jc w:val="both"/>
        <w:ind w:left="540" w:right="80" w:hanging="532"/>
        <w:spacing w:after="0" w:line="18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 million of the net proceeds of its initial public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on Issuers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Wynn Las Vegas and Wynn Capital are indirect wholly owned subsidiaries of Wynn Resorts. The principal executive offices of Wynn Las Vegas and Wynn Capital are located at 3145 Las Vegas Boulevard South, Las Vegas, Nevada 89109. The telephone number of Wynn Las Vegas and Wynn Capital is (702) 733-4444.</w:t>
      </w:r>
    </w:p>
    <w:p>
      <w:pPr>
        <w:sectPr>
          <w:pgSz w:w="11900" w:h="16838" w:orient="portrait"/>
          <w:cols w:equalWidth="0" w:num="1">
            <w:col w:w="11400"/>
          </w:cols>
          <w:pgMar w:left="240" w:top="1440" w:right="25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is a summary of the principal terms of the second mortgage notes. Please see "Description of the Second Mortgage Notes" for a more detailed description of the terms and conditions of the second mortgage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Issuers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5"/>
              </w:rPr>
              <w:t>Wynn Las Vegas and Wynn Capital. Wynn Las Vegas is constructing and will own and operate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8"/>
              </w:rPr>
              <w:t>Le Rêve. Wynn Capital is a wholly owned subsidiary of Wynn Las Vegas that was incorporated solely</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to serve as a co-issuer of the notes in order to facilitate this offering. Wynn Capital will not have any</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operations or material assets and will not have any revenues.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$370 million aggregate principal amount of 12% second mortgage notes due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Maturity</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November 1,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Interest Rate</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12% per year (calculated using a 360-day year).</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3"/>
              </w:rPr>
              <w:t>May 1 and November 1 beginning on May 1, 2003. Interest will accrue from the issue date of the</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second mortgage notes.</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Guarantors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Valvino and certain of its subsidiaries will guarantee the second mortgage notes. Wynn Resorts will</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guarantee the second mortgage notes on a senior unsecured basis (which will be pari passu with its</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1"/>
              </w:rPr>
              <w:t>guarantee of the credit facilities and the FF&amp;E facility), but will not become subject to the restrictive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6"/>
              </w:rPr>
              <w:t>covenants or other terms of the second mortgage notes. The guarantees may be released under certain</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circumstances.</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Security</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8"/>
              </w:rPr>
              <w:t>To the extent permitted by gaming and other applicable laws, and subject to specified permitted liens,</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the second mortgage notes will be secured by:</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a first priority lien on the net proceeds of this offering, which will be deposited in an interest</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86"/>
              </w:rPr>
              <w:t>reserve account, in a secured account pending release to fund disbursement requests under the</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disbursement agreement;</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0"/>
              </w:rPr>
              <w:t>a second priority lien on substantially all of the other existing and future assets of Wynn Las</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Vegas, including the land on which Le Rêve is to be constructed, all improvements</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5"/>
              </w:rPr>
              <w:t>constructed as part of the Le Rêve project, certain personal property (other than certain</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furniture, fixtures and equipment) and certain material agreements;</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3"/>
              </w:rPr>
              <w:t>a second priority lien on the $50.0 million to be deposited into the completion guarantor's</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completion guarantee deposit account;</w:t>
            </w:r>
          </w:p>
        </w:tc>
      </w:tr>
      <w:tr>
        <w:trPr>
          <w:trHeight w:val="891"/>
        </w:trPr>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760" w:type="dxa"/>
            <w:vAlign w:val="bottom"/>
          </w:tcPr>
          <w:p>
            <w:pPr>
              <w:ind w:left="1020"/>
              <w:spacing w:after="0"/>
              <w:rPr>
                <w:sz w:val="20"/>
                <w:szCs w:val="20"/>
                <w:color w:val="auto"/>
              </w:rPr>
            </w:pPr>
            <w:r>
              <w:rPr>
                <w:rFonts w:ascii="Arial" w:cs="Arial" w:eastAsia="Arial" w:hAnsi="Arial"/>
                <w:sz w:val="18"/>
                <w:szCs w:val="18"/>
                <w:color w:val="auto"/>
              </w:rPr>
              <w:t>8</w:t>
            </w:r>
          </w:p>
        </w:tc>
      </w:tr>
      <w:tr>
        <w:trPr>
          <w:trHeight w:val="228"/>
        </w:trPr>
        <w:tc>
          <w:tcPr>
            <w:tcW w:w="29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800" w:right="340" w:hanging="359"/>
        <w:spacing w:after="0" w:line="268" w:lineRule="auto"/>
        <w:tabs>
          <w:tab w:leader="none" w:pos="4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second priority lien on the $30.0 million to be deposited into Wynn Las Vegas' liquidity reserve account; and</w:t>
      </w:r>
    </w:p>
    <w:p>
      <w:pPr>
        <w:spacing w:after="0" w:line="185" w:lineRule="exact"/>
        <w:rPr>
          <w:rFonts w:ascii="Arial" w:cs="Arial" w:eastAsia="Arial" w:hAnsi="Arial"/>
          <w:sz w:val="18"/>
          <w:szCs w:val="18"/>
          <w:color w:val="auto"/>
        </w:rPr>
      </w:pPr>
    </w:p>
    <w:p>
      <w:pPr>
        <w:ind w:left="4800" w:right="60" w:hanging="359"/>
        <w:spacing w:after="0" w:line="332" w:lineRule="auto"/>
        <w:tabs>
          <w:tab w:leader="none" w:pos="4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third priority lien on the FF&amp;E collateral, consisting of specified items of furniture, fixtures and equipment that are also collateral for our FF&amp;E facility and our credit agreement.</w:t>
      </w:r>
    </w:p>
    <w:p>
      <w:pPr>
        <w:spacing w:after="0" w:line="139" w:lineRule="exact"/>
        <w:rPr>
          <w:sz w:val="20"/>
          <w:szCs w:val="20"/>
          <w:color w:val="auto"/>
        </w:rPr>
      </w:pPr>
    </w:p>
    <w:p>
      <w:pPr>
        <w:ind w:left="4240" w:right="220"/>
        <w:spacing w:after="0" w:line="268" w:lineRule="auto"/>
        <w:rPr>
          <w:sz w:val="20"/>
          <w:szCs w:val="20"/>
          <w:color w:val="auto"/>
        </w:rPr>
      </w:pPr>
      <w:r>
        <w:rPr>
          <w:rFonts w:ascii="Arial" w:cs="Arial" w:eastAsia="Arial" w:hAnsi="Arial"/>
          <w:sz w:val="18"/>
          <w:szCs w:val="18"/>
          <w:color w:val="auto"/>
        </w:rPr>
        <w:t>The guarantors' (except Wynn Resorts) obligations under the guarantees, to the extent permitted by gaming and other applicable laws, will be secured by:</w:t>
      </w:r>
    </w:p>
    <w:p>
      <w:pPr>
        <w:spacing w:after="0" w:line="186" w:lineRule="exact"/>
        <w:rPr>
          <w:sz w:val="20"/>
          <w:szCs w:val="20"/>
          <w:color w:val="auto"/>
        </w:rPr>
      </w:pPr>
    </w:p>
    <w:p>
      <w:pPr>
        <w:ind w:left="4800" w:right="160" w:hanging="359"/>
        <w:spacing w:after="0" w:line="294" w:lineRule="auto"/>
        <w:tabs>
          <w:tab w:leader="none" w:pos="4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second priority lien on substantially all of the existing and future assets (other than certain aircraft assets) of the guarantors, including the golf course land, the 20-acre parcel of land fronting Las Vegas Boulevard next to the Le Rêve site, to which we sometimes refer as the Phase II land, water rights for the golf course land and Le Rêve's water entertainment features, and certain specified material agreements; and</w:t>
      </w:r>
    </w:p>
    <w:p>
      <w:pPr>
        <w:spacing w:after="0" w:line="169" w:lineRule="exact"/>
        <w:rPr>
          <w:rFonts w:ascii="Arial" w:cs="Arial" w:eastAsia="Arial" w:hAnsi="Arial"/>
          <w:sz w:val="16"/>
          <w:szCs w:val="16"/>
          <w:color w:val="auto"/>
        </w:rPr>
      </w:pPr>
    </w:p>
    <w:p>
      <w:pPr>
        <w:ind w:left="4800" w:right="120" w:hanging="359"/>
        <w:spacing w:after="0" w:line="332" w:lineRule="auto"/>
        <w:tabs>
          <w:tab w:leader="none" w:pos="4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second priority pledge of the equity interests held by the guarantors in any of their existing or future subsidiaries, including the equity interests of Wynn Las Vegas.</w:t>
      </w:r>
    </w:p>
    <w:p>
      <w:pPr>
        <w:spacing w:after="0" w:line="1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The guarantees will not be secured by the aircraft assets.</w:t>
      </w:r>
    </w:p>
    <w:p>
      <w:pPr>
        <w:spacing w:after="0" w:line="225" w:lineRule="exact"/>
        <w:rPr>
          <w:sz w:val="20"/>
          <w:szCs w:val="20"/>
          <w:color w:val="auto"/>
        </w:rPr>
      </w:pPr>
    </w:p>
    <w:p>
      <w:pPr>
        <w:ind w:left="4240" w:right="80"/>
        <w:spacing w:after="0" w:line="254" w:lineRule="auto"/>
        <w:rPr>
          <w:sz w:val="20"/>
          <w:szCs w:val="20"/>
          <w:color w:val="auto"/>
        </w:rPr>
      </w:pPr>
      <w:r>
        <w:rPr>
          <w:rFonts w:ascii="Arial" w:cs="Arial" w:eastAsia="Arial" w:hAnsi="Arial"/>
          <w:sz w:val="18"/>
          <w:szCs w:val="18"/>
          <w:color w:val="auto"/>
        </w:rPr>
        <w:t>In the event that Wynn Resorts grants specified liens to secure other guarantees or indebtedness, Wynn Resorts will be required to grant liens on the same assets to secure its guarantee of the second mortgage notes and the credit facilities. Such liens securing the parent guarantee of the notes and the credit facilities will be subject to the subordination provisions of the intercreditor agreement and will have the same relative priorities as the second mortgage notes and the credit facilities have in the collateral.</w:t>
      </w:r>
    </w:p>
    <w:p>
      <w:pPr>
        <w:sectPr>
          <w:pgSz w:w="11900" w:h="16838" w:orient="portrait"/>
          <w:cols w:equalWidth="0" w:num="1">
            <w:col w:w="11420"/>
          </w:cols>
          <w:pgMar w:left="240" w:top="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Release of Collateral</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The second mortgage note holders' security interests in all or certain portions of the golf course land,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and related collateral (including water rights), and in all of the Phase II land may be released under</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certain circumstances. Upon any such release of those security interests, the disposition or transfer of</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such assets will no longer be subject to any of the restrictive covenants in the indenture.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Ranking</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The second mortgage notes will be general obligations of the issuers and will:</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rank senior in right of payment to any future subordinated indebtedness we or the guarantors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may incur,</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60" w:type="dxa"/>
            <w:vAlign w:val="bottom"/>
          </w:tcPr>
          <w:p>
            <w:pPr>
              <w:jc w:val="right"/>
              <w:ind w:right="5572"/>
              <w:spacing w:after="0"/>
              <w:rPr>
                <w:sz w:val="20"/>
                <w:szCs w:val="20"/>
                <w:color w:val="auto"/>
              </w:rPr>
            </w:pPr>
            <w:r>
              <w:rPr>
                <w:rFonts w:ascii="Arial" w:cs="Arial" w:eastAsia="Arial" w:hAnsi="Arial"/>
                <w:sz w:val="18"/>
                <w:szCs w:val="18"/>
                <w:color w:val="auto"/>
              </w:rPr>
              <w:t>9</w:t>
            </w:r>
          </w:p>
        </w:tc>
      </w:tr>
      <w:tr>
        <w:trPr>
          <w:trHeight w:val="228"/>
        </w:trPr>
        <w:tc>
          <w:tcPr>
            <w:tcW w:w="40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r>
        <w:trPr>
          <w:trHeight w:val="529"/>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senior to our and the guarantors' existing and future unsecured indebtedness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and other liabilities,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be effectively subordinated to our and the guarantors' obligations under our $1.0 billion credit</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facilities and our $188.5 million FF&amp;E facility (which we would request the FF&amp;E lenders to</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88"/>
              </w:rPr>
              <w:t>increase to $198.5 million if we purchase a replacement corporate aircraft), which are secured</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by higher priority liens on our assets.</w:t>
            </w:r>
          </w:p>
        </w:tc>
      </w:tr>
      <w:tr>
        <w:trPr>
          <w:trHeight w:val="426"/>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2"/>
              </w:rPr>
              <w:t>Concurrent with the issuance of the second mortgage notes, we expect to enter into $1.0 billion of</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4"/>
              </w:rPr>
              <w:t>credit facilities, which will be secured by first priority liens on substantially all of our existing and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future assets, other than the proceeds of this offering. We also expect to enter into a $188.5 million</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8"/>
              </w:rPr>
              <w:t>FF&amp;E loan facility, which will be secured by first priority liens on specified items of furniture,</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fixtures and equipment.</w:t>
            </w:r>
          </w:p>
        </w:tc>
      </w:tr>
      <w:tr>
        <w:trPr>
          <w:trHeight w:val="432"/>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0"/>
              </w:rPr>
              <w:t>The guarantees of the second mortgage notes will be secured obligations of the guarantors and will:</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rank senior in right of payment to any future subordinated indebtedness we or the guarantors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may incur;</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senior to our and the guarantors' existing and future unsecured indebtedness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and other liabilities;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subordinated to our and the guarantors' obligations under our credit facilities,</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2"/>
              </w:rPr>
              <w:t>our furniture, fixture and equipment loan facility, and any of our and the guarantors' future</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indebtedness that is secured with higher priority liens.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w w:val="95"/>
              </w:rPr>
              <w:t>Optional Redemption After Qualified Equity Offerings</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0"/>
              </w:rPr>
              <w:t>At any time prior to November 1, 2005 we may, on one or more occasions redeem up to 35% of the</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outstanding second mortgage notes at a redemption price of 112%, plus accrued and unpaid interest,</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6"/>
              </w:rPr>
              <w:t>with the net cash proceeds of one or more qualified equity offerings of Wynn Resorts that are</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contributed to us, as long as, among other things:</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we redeem the second mortgage notes within 60 days of the closing of the qualified equity</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offering;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at least 65% of the aggregate principal amount of second mortgage notes originally issued</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remains outstanding (excluding notes held by Wynn Resorts and its affiliates).</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60" w:type="dxa"/>
            <w:vAlign w:val="bottom"/>
          </w:tcPr>
          <w:p>
            <w:pPr>
              <w:jc w:val="right"/>
              <w:ind w:right="5532"/>
              <w:spacing w:after="0"/>
              <w:rPr>
                <w:sz w:val="20"/>
                <w:szCs w:val="20"/>
                <w:color w:val="auto"/>
              </w:rPr>
            </w:pPr>
            <w:r>
              <w:rPr>
                <w:rFonts w:ascii="Arial" w:cs="Arial" w:eastAsia="Arial" w:hAnsi="Arial"/>
                <w:sz w:val="18"/>
                <w:szCs w:val="18"/>
                <w:color w:val="auto"/>
              </w:rPr>
              <w:t>10</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gridSpan w:val="2"/>
          </w:tcPr>
          <w:p>
            <w:pPr>
              <w:spacing w:after="0"/>
              <w:rPr>
                <w:sz w:val="19"/>
                <w:szCs w:val="19"/>
                <w:color w:val="auto"/>
              </w:rPr>
            </w:pPr>
          </w:p>
        </w:tc>
      </w:tr>
      <w:tr>
        <w:trPr>
          <w:trHeight w:val="529"/>
        </w:trPr>
        <w:tc>
          <w:tcPr>
            <w:tcW w:w="4060" w:type="dxa"/>
            <w:vAlign w:val="bottom"/>
          </w:tcPr>
          <w:p>
            <w:pPr>
              <w:spacing w:after="0"/>
              <w:rPr>
                <w:sz w:val="20"/>
                <w:szCs w:val="20"/>
                <w:color w:val="auto"/>
              </w:rPr>
            </w:pPr>
            <w:r>
              <w:rPr>
                <w:rFonts w:ascii="Arial" w:cs="Arial" w:eastAsia="Arial" w:hAnsi="Arial"/>
                <w:sz w:val="18"/>
                <w:szCs w:val="18"/>
                <w:color w:val="auto"/>
              </w:rPr>
              <w:t>Optional Redemption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Except in connection with a qualified equity offering of Wynn Resorts, we cannot redeem the second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5"/>
              </w:rPr>
              <w:t>mortgage notes until November 1, 2006. Thereafter, we may redeem some or all of the second</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mortgage notes at a premium declining ratably to zero, plus accrued interest.</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Gaming Redemption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The second mortgage notes will be subject to redemption requirements imposed by gaming laws and</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If a change of control occurs, we must offer to repurchase the second mortgage notes at 101% of their</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principal amount, plus accrued interest.</w:t>
            </w:r>
          </w:p>
        </w:tc>
      </w:tr>
      <w:tr>
        <w:trPr>
          <w:trHeight w:val="426"/>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2"/>
              </w:rPr>
              <w:t>We might not be able to pay you the required price for the second mortgage notes you present for</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repurchase at the time of a change of control, because:</w:t>
            </w:r>
          </w:p>
        </w:tc>
      </w:tr>
      <w:tr>
        <w:trPr>
          <w:trHeight w:val="432"/>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we might not have enough funds at that time; or</w:t>
            </w:r>
          </w:p>
        </w:tc>
      </w:tr>
      <w:tr>
        <w:trPr>
          <w:trHeight w:val="432"/>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3"/>
              </w:rPr>
              <w:t>the terms of our credit facilities, FF&amp;E facility or other debt might prevent us from paying.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-8277860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-8277860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7" w:name="page8"/>
    <w:bookmarkEnd w:id="7"/>
    <w:p>
      <w:pPr>
        <w:spacing w:after="0"/>
        <w:tabs>
          <w:tab w:leader="none" w:pos="4220" w:val="left"/>
        </w:tabs>
        <w:rPr>
          <w:sz w:val="20"/>
          <w:szCs w:val="20"/>
          <w:color w:val="auto"/>
        </w:rPr>
      </w:pPr>
      <w:r>
        <w:rPr>
          <w:rFonts w:ascii="Arial" w:cs="Arial" w:eastAsia="Arial" w:hAnsi="Arial"/>
          <w:sz w:val="18"/>
          <w:szCs w:val="18"/>
          <w:color w:val="auto"/>
        </w:rPr>
        <w:t>Asset Sales and Events of Loss</w:t>
      </w:r>
      <w:r>
        <w:rPr>
          <w:sz w:val="20"/>
          <w:szCs w:val="20"/>
          <w:color w:val="auto"/>
        </w:rPr>
        <w:tab/>
      </w:r>
      <w:r>
        <w:rPr>
          <w:rFonts w:ascii="Arial" w:cs="Arial" w:eastAsia="Arial" w:hAnsi="Arial"/>
          <w:sz w:val="15"/>
          <w:szCs w:val="15"/>
          <w:color w:val="auto"/>
        </w:rPr>
        <w:t>If we or the restricted entities sell certain assets or experience certain events of loss following the</w:t>
      </w:r>
    </w:p>
    <w:p>
      <w:pPr>
        <w:spacing w:after="0" w:line="15" w:lineRule="exact"/>
        <w:rPr>
          <w:sz w:val="20"/>
          <w:szCs w:val="20"/>
          <w:color w:val="auto"/>
        </w:rPr>
      </w:pPr>
    </w:p>
    <w:p>
      <w:pPr>
        <w:ind w:left="4240" w:right="240"/>
        <w:spacing w:after="0" w:line="255" w:lineRule="auto"/>
        <w:rPr>
          <w:sz w:val="20"/>
          <w:szCs w:val="20"/>
          <w:color w:val="auto"/>
        </w:rPr>
      </w:pPr>
      <w:r>
        <w:rPr>
          <w:rFonts w:ascii="Arial" w:cs="Arial" w:eastAsia="Arial" w:hAnsi="Arial"/>
          <w:sz w:val="18"/>
          <w:szCs w:val="18"/>
          <w:color w:val="auto"/>
        </w:rPr>
        <w:t>final completion date of Le Rêve, we may be required to offer to repurchase the second mortgage notes with any remaining net cash proceeds after satisfying our senior debt and other obligations if we do not use the proceeds as required.</w:t>
      </w:r>
    </w:p>
    <w:p>
      <w:pPr>
        <w:spacing w:after="0" w:line="198"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Certain Indenture Provisions</w:t>
      </w:r>
      <w:r>
        <w:rPr>
          <w:sz w:val="20"/>
          <w:szCs w:val="20"/>
          <w:color w:val="auto"/>
        </w:rPr>
        <w:tab/>
      </w:r>
      <w:r>
        <w:rPr>
          <w:rFonts w:ascii="Arial" w:cs="Arial" w:eastAsia="Arial" w:hAnsi="Arial"/>
          <w:sz w:val="15"/>
          <w:szCs w:val="15"/>
          <w:color w:val="auto"/>
        </w:rPr>
        <w:t>The indenture governing the second mortgage notes will contain covenants restricting our and the</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restricted entities' ability to: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pay dividends or distributions on capital stock or repurchase capital stock;</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incur additional debt;</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make investments;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create liens on assets to secure debt;</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enter into transactions with affiliates;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issue stock of subsidiaries;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enter into sale-leaseback transactions;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engage in other businesses;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merge or consolidate with another company;</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transfer and sell assets;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issue preferred stock;</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designate restricted and unrestricted subsidiaries.</w:t>
            </w:r>
          </w:p>
        </w:tc>
      </w:tr>
      <w:tr>
        <w:trPr>
          <w:trHeight w:val="891"/>
        </w:trPr>
        <w:tc>
          <w:tcPr>
            <w:tcW w:w="3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60" w:type="dxa"/>
            <w:vAlign w:val="bottom"/>
          </w:tcPr>
          <w:p>
            <w:pPr>
              <w:ind w:left="960"/>
              <w:spacing w:after="0"/>
              <w:rPr>
                <w:sz w:val="20"/>
                <w:szCs w:val="20"/>
                <w:color w:val="auto"/>
              </w:rPr>
            </w:pPr>
            <w:r>
              <w:rPr>
                <w:rFonts w:ascii="Arial" w:cs="Arial" w:eastAsia="Arial" w:hAnsi="Arial"/>
                <w:sz w:val="18"/>
                <w:szCs w:val="18"/>
                <w:color w:val="auto"/>
              </w:rPr>
              <w:t>11</w:t>
            </w:r>
          </w:p>
        </w:tc>
      </w:tr>
      <w:tr>
        <w:trPr>
          <w:trHeight w:val="228"/>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gridSpan w:val="2"/>
          </w:tcPr>
          <w:p>
            <w:pPr>
              <w:spacing w:after="0"/>
              <w:rPr>
                <w:sz w:val="19"/>
                <w:szCs w:val="19"/>
                <w:color w:val="auto"/>
              </w:rPr>
            </w:pPr>
          </w:p>
        </w:tc>
      </w:tr>
      <w:tr>
        <w:trPr>
          <w:trHeight w:val="535"/>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The indenture will also contain certain covenants restricting the activities of Wynn Capital.</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We will enter into a disbursement agreement with the trustee, representatives of the lenders under the</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2"/>
              </w:rPr>
              <w:t>credit facilities and the FF&amp;E facility and a disbursement agent that will establish the conditions to</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2"/>
              </w:rPr>
              <w:t>and sequencing of funding of, the equity contributions held by us from Wynn Resorts, borrowings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under the credit facilities and FF&amp;E facility and disbursements of funds from the account holding the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of the second mortgage notes.</w:t>
            </w:r>
          </w:p>
        </w:tc>
      </w:tr>
      <w:tr>
        <w:trPr>
          <w:trHeight w:val="426"/>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3"/>
              </w:rPr>
              <w:t>Under the disbursement agreement, it will be a condition to disbursement of the proceeds of this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1"/>
              </w:rPr>
              <w:t>offering that we first use a substantial portion of the cash equity contributions, other than the equity</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contributions that will be segregated into the completion guarantee account and the liquidity reserve</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account, to fund construction of the Le Rêve project. In turn, it is a condition to disbursement of</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5"/>
              </w:rPr>
              <w:t>borrowings under the credit facilities and the FF&amp;E facility that we first use the proceeds of this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offering, other than amounts sufficient to pay interest on the notes on the two ensuing payment dates,</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before we are permitted to borrow under those facilities.</w:t>
            </w:r>
          </w:p>
        </w:tc>
      </w:tr>
      <w:tr>
        <w:trPr>
          <w:trHeight w:val="426"/>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9"/>
              </w:rPr>
              <w:t>The disbursement agreement will also set forth procedures for approving construction change orders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and amendments to the construction budget and schedule. Inspection &amp; Valuation International, Inc.</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will act as independent construction consultant on behalf of the lenders under the disbursement</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7"/>
              </w:rPr>
              <w:t>agreement and will be required to approve certain portions of each request by Wynn Las Vegas for the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disbursement of funds.</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Intercreditor Agreement with Credit Agreement</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5"/>
              </w:rPr>
              <w:t>Representatives of the lenders under the credit facilities and the trustee will enter into a project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Lenders</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lenders intercreditor agreement that will govern the relations between the holders of the second</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mortgage notes and the lenders under the credit facilities. The project lenders intercreditor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-3646805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240" w:right="60"/>
        <w:spacing w:after="0" w:line="292" w:lineRule="auto"/>
        <w:rPr>
          <w:sz w:val="20"/>
          <w:szCs w:val="20"/>
          <w:color w:val="auto"/>
        </w:rPr>
      </w:pPr>
      <w:r>
        <w:rPr>
          <w:rFonts w:ascii="Arial" w:cs="Arial" w:eastAsia="Arial" w:hAnsi="Arial"/>
          <w:sz w:val="16"/>
          <w:szCs w:val="16"/>
          <w:color w:val="auto"/>
        </w:rPr>
        <w:t>will reflect the fact that the second mortgage note holders will have a first priority security interest in the proceeds of this offering but that the lenders under the credit facilities will have a first priority security interest in substantially all of the other assets of Wynn Las Vegas and the restricted entities (other than certain furniture, fixtures and equipment) and the second mortgage note holders will have a second priority security interest in such collateral.</w:t>
      </w:r>
    </w:p>
    <w:p>
      <w:pPr>
        <w:sectPr>
          <w:pgSz w:w="11900" w:h="16838" w:orient="portrait"/>
          <w:cols w:equalWidth="0" w:num="1">
            <w:col w:w="11420"/>
          </w:cols>
          <w:pgMar w:left="240" w:top="131" w:right="239" w:bottom="2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1"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project lenders intercreditor agreement will provide that, until the indebtedness under the credit facilities has been repaid in full:</w:t>
      </w:r>
    </w:p>
    <w:p>
      <w:pPr>
        <w:spacing w:after="0" w:line="186" w:lineRule="exact"/>
        <w:rPr>
          <w:sz w:val="20"/>
          <w:szCs w:val="20"/>
          <w:color w:val="auto"/>
        </w:rPr>
      </w:pPr>
    </w:p>
    <w:p>
      <w:pPr>
        <w:ind w:left="560" w:hanging="359"/>
        <w:spacing w:after="0" w:line="298"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the exclusive right to exercise remedies against the collateral securing the second mortgage notes and the credit facilities, and to determine the circumstances and manner in which that collateral may be disposed of, subject to the rights of the lenders under the FF&amp;E facility with respect to the FF&amp;E collateral,</w:t>
      </w:r>
    </w:p>
    <w:p>
      <w:pPr>
        <w:spacing w:after="0" w:line="166" w:lineRule="exact"/>
        <w:rPr>
          <w:rFonts w:ascii="Arial" w:cs="Arial" w:eastAsia="Arial" w:hAnsi="Arial"/>
          <w:sz w:val="16"/>
          <w:szCs w:val="16"/>
          <w:color w:val="auto"/>
        </w:rPr>
      </w:pPr>
    </w:p>
    <w:p>
      <w:pPr>
        <w:ind w:left="560" w:right="60" w:hanging="359"/>
        <w:spacing w:after="0" w:line="332"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agent under the credit facilities can amend various terms of, and waive defaults under, the security documents without the consent of the second mortgage noteholders and</w:t>
      </w:r>
    </w:p>
    <w:p>
      <w:pPr>
        <w:spacing w:after="0" w:line="139" w:lineRule="exact"/>
        <w:rPr>
          <w:rFonts w:ascii="Arial" w:cs="Arial" w:eastAsia="Arial" w:hAnsi="Arial"/>
          <w:sz w:val="16"/>
          <w:szCs w:val="16"/>
          <w:color w:val="auto"/>
        </w:rPr>
      </w:pPr>
    </w:p>
    <w:p>
      <w:pPr>
        <w:ind w:left="560" w:right="200" w:hanging="359"/>
        <w:spacing w:after="0" w:line="25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agent under the credit facilities has the right to amend the disbursement agreement or to waive any defaults, or conditions to funding, under the disbursement agreement in certain circumstances.</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project lenders intercreditor agreement, the note holders cannot vote to accept a plan of reorganization or other restructuring plan, unless lenders holding two-thirds of the outstanding loans under the credit facilities vote in favor of that plan. However, the note holders are not required to vote in favor of a plan that the lenders under the credit facilities approve, and are free to challenge any such plan on fundamental fairness and other grounds.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project lenders intercreditor agreement will limit the exercise of remedies by the second mortgage note holders against their collateral and may prevent timely payment on the second mortgage notes if a default has occurred. Under the project lenders intercreditor agreement, the trustee will have the exclusive right to exercise, or not exercise, remedies against the net proceeds of this offering.</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representative of the lenders under the credit facilities and the trustee for the second mortgage notes, on the one hand, and the representative of the lenders under the FF&amp;E facility, on the other hand, will enter into an FF&amp;E intercreditor agreement that will govern the relations between the credit facilities lenders and the second mortgage note holders, on the one hand, and the lenders under the FF&amp;E facility on the other hand.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sectPr>
      </w:pPr>
    </w:p>
    <w:p>
      <w:pPr>
        <w:spacing w:after="0" w:line="376" w:lineRule="exact"/>
        <w:rPr>
          <w:sz w:val="20"/>
          <w:szCs w:val="20"/>
          <w:color w:val="auto"/>
        </w:rPr>
      </w:pPr>
    </w:p>
    <w:p>
      <w:pPr>
        <w:ind w:left="4240" w:right="60"/>
        <w:spacing w:after="0" w:line="298" w:lineRule="auto"/>
        <w:rPr>
          <w:sz w:val="20"/>
          <w:szCs w:val="20"/>
          <w:color w:val="auto"/>
        </w:rPr>
      </w:pPr>
      <w:r>
        <w:rPr>
          <w:rFonts w:ascii="Arial" w:cs="Arial" w:eastAsia="Arial" w:hAnsi="Arial"/>
          <w:sz w:val="16"/>
          <w:szCs w:val="16"/>
          <w:color w:val="auto"/>
        </w:rPr>
        <w:t>The FF&amp;E intercreditor agreement will reflect the fact that the lenders under the FF&amp;E facility will have a first priority lien on the furniture, fixtures and equipment for Le Rêve that is financed by draws on the FF&amp;E facility, the lenders under the credit facilities will have a second priority lien on such collateral and the second mortgage note holders will have a third priority lien on such collateral.</w:t>
      </w:r>
    </w:p>
    <w:p>
      <w:pPr>
        <w:spacing w:after="0" w:line="167" w:lineRule="exact"/>
        <w:rPr>
          <w:sz w:val="20"/>
          <w:szCs w:val="20"/>
          <w:color w:val="auto"/>
        </w:rPr>
      </w:pPr>
    </w:p>
    <w:p>
      <w:pPr>
        <w:ind w:left="4240" w:right="260"/>
        <w:spacing w:after="0" w:line="291" w:lineRule="auto"/>
        <w:rPr>
          <w:sz w:val="20"/>
          <w:szCs w:val="20"/>
          <w:color w:val="auto"/>
        </w:rPr>
      </w:pPr>
      <w:r>
        <w:rPr>
          <w:rFonts w:ascii="Arial" w:cs="Arial" w:eastAsia="Arial" w:hAnsi="Arial"/>
          <w:sz w:val="16"/>
          <w:szCs w:val="16"/>
          <w:color w:val="auto"/>
        </w:rPr>
        <w:t>The lenders under the FF&amp;E facility will have, until repayment in full of the FF&amp;E facility, the exclusive right to dispose of any of the FF&amp;E collateral or otherwise exercise any of the remedies available to a secured creditor in connection with the FF&amp;E collateral. The FF&amp;E intercreditor agreement will also limit the exercise of remedies by the lenders under the credit facilities and the second mortgage note holders against the FF&amp;E collateral and may prevent timely payment on the second mortgage notes if a default has occurred.</w:t>
      </w:r>
    </w:p>
    <w:p>
      <w:pPr>
        <w:spacing w:after="0" w:line="17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$50 Million Completion Guarantee</w:t>
      </w:r>
      <w:r>
        <w:rPr>
          <w:sz w:val="20"/>
          <w:szCs w:val="20"/>
          <w:color w:val="auto"/>
        </w:rPr>
        <w:tab/>
      </w:r>
      <w:r>
        <w:rPr>
          <w:rFonts w:ascii="Arial" w:cs="Arial" w:eastAsia="Arial" w:hAnsi="Arial"/>
          <w:sz w:val="15"/>
          <w:szCs w:val="15"/>
          <w:color w:val="auto"/>
        </w:rPr>
        <w:t>One of our wholly owned unrestricted subsidiaries, a special purpose entity sometimes referred to as</w:t>
      </w:r>
    </w:p>
    <w:p>
      <w:pPr>
        <w:spacing w:after="0" w:line="15" w:lineRule="exact"/>
        <w:rPr>
          <w:sz w:val="20"/>
          <w:szCs w:val="20"/>
          <w:color w:val="auto"/>
        </w:rPr>
      </w:pPr>
    </w:p>
    <w:p>
      <w:pPr>
        <w:ind w:left="4240" w:right="80"/>
        <w:spacing w:after="0" w:line="252" w:lineRule="auto"/>
        <w:rPr>
          <w:sz w:val="20"/>
          <w:szCs w:val="20"/>
          <w:color w:val="auto"/>
        </w:rPr>
      </w:pPr>
      <w:r>
        <w:rPr>
          <w:rFonts w:ascii="Arial" w:cs="Arial" w:eastAsia="Arial" w:hAnsi="Arial"/>
          <w:sz w:val="18"/>
          <w:szCs w:val="18"/>
          <w:color w:val="auto"/>
        </w:rPr>
        <w:t>the completion guarantor, will be providing a $50.0 million completion guarantee in favor of the trustee (for the benefit of the holders of the second mortgage notes) and the administrative agent (as the representative of the lenders under the credit facilities). The completion guarantee will, subject to a $50.0 million cap, guarantee completion in full of the construction and opening of Le Rêve, including all furniture, fixtures and equipment, the parking structure, the golf course and the availability of initial working capital.</w:t>
      </w:r>
    </w:p>
    <w:p>
      <w:pPr>
        <w:spacing w:after="0" w:line="202" w:lineRule="exact"/>
        <w:rPr>
          <w:sz w:val="20"/>
          <w:szCs w:val="20"/>
          <w:color w:val="auto"/>
        </w:rPr>
      </w:pPr>
    </w:p>
    <w:p>
      <w:pPr>
        <w:ind w:left="4240" w:right="20"/>
        <w:spacing w:after="0" w:line="291" w:lineRule="auto"/>
        <w:rPr>
          <w:sz w:val="20"/>
          <w:szCs w:val="20"/>
          <w:color w:val="auto"/>
        </w:rPr>
      </w:pPr>
      <w:r>
        <w:rPr>
          <w:rFonts w:ascii="Arial" w:cs="Arial" w:eastAsia="Arial" w:hAnsi="Arial"/>
          <w:sz w:val="16"/>
          <w:szCs w:val="16"/>
          <w:color w:val="auto"/>
        </w:rPr>
        <w:t>Wynn Resorts will make a capital contribution concurrently with the closing of its initial public offering of $50.0 million of the net proceeds of that offering to the completion guarantor to support the completion guarantor's obligations under the completion guarantee. These funds will be deposited into a collateral account to be held in cash and/or certain permitted securities, and pledged to the lenders under the credit facilities on a first priority basis and the holders of the second mortgage notes on a second priority basis.</w:t>
      </w:r>
    </w:p>
    <w:p>
      <w:pPr>
        <w:spacing w:after="0" w:line="174" w:lineRule="exact"/>
        <w:rPr>
          <w:sz w:val="20"/>
          <w:szCs w:val="20"/>
          <w:color w:val="auto"/>
        </w:rPr>
      </w:pPr>
    </w:p>
    <w:p>
      <w:pPr>
        <w:ind w:left="4240"/>
        <w:spacing w:after="0" w:line="294" w:lineRule="auto"/>
        <w:rPr>
          <w:sz w:val="20"/>
          <w:szCs w:val="20"/>
          <w:color w:val="auto"/>
        </w:rPr>
      </w:pPr>
      <w:r>
        <w:rPr>
          <w:rFonts w:ascii="Arial" w:cs="Arial" w:eastAsia="Arial" w:hAnsi="Arial"/>
          <w:sz w:val="16"/>
          <w:szCs w:val="16"/>
          <w:color w:val="auto"/>
        </w:rPr>
        <w:t>Pursuant to the disbursement agreement, funds in the completion guarantee account will be available to us on a gradual basis to apply to the costs of the project, including for cost overruns, only after fifty percent of the Le Rêve construction work has been completed. After completion and opening of Le Rêve, any amounts remaining in the completion guarantee account may be released to us, and at our direction to our parent, Wynn Resorts.</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9" w:name="page10"/>
    <w:bookmarkEnd w:id="9"/>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Liquidity Reserve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Limitations on Exercise of Remedies Against Completion Guarantee Account and Liquidity Reserve Account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Wynn Resorts will, concurrently with the closing of its initial public offering, make a capital contribution to us in an amount equal to $30.0 million. We will deposit these funds in the liquidity reserve account to be held in cash and/or permitted securities. The lenders under the credit facilities will have a first priority lien on this account and the holders of the second mortgage notes will have a second priority lien on this account.</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Amounts in the liquidity reserve account will be available to us on a gradual basis to apply to the costs of the project, including cost overruns, only after fifty percent of the construction work has been completed and only after amounts in the completion guarantee account have been exhausted. Following completion of Le Rêve, funds remaining in the liquidity reserve account will be available to meet our debt service needs. Once we have met prescribed cash flow tests for a period of four consecutive calendar quarters after the opening of Le Rêve, any remaining funds will be used to reduce the outstanding balance on our revolving credit facility but without reducing the revolving credit facility commitment.</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If an event of default occurs while amounts are outstanding under the credit facilities, the holders of the second mortgage notes will have limited or no recourse to the funds in the completion guarantee account and the liquidity reserve account because the lenders under the credit facilities would be entitled to payment in full of their obligations before the holders of the second mortgage notes are entitled to payments from any of our assets.</w:t>
      </w:r>
    </w:p>
    <w:p>
      <w:pPr>
        <w:spacing w:after="0" w:line="17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intend to use the net proceeds from this offering, along with the borrowings under the credit facilities and FF&amp;E facility and equity contributions from Wynn Resorts and Valvino, to design, construct, develop, equip and open Le Rêve.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net proceeds of this offering will be deposited in a secured account and will be invested in highly rated securities at our discretion pending disbursement under the disbursement agreement. The trustee under the indenture governing the second mortgage notes, for the benefit of the holders of the second mortgage notes, will have a first priority lien on the net proceeds held in the secured account.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939" w:orient="portrait"/>
          <w:cols w:equalWidth="0" w:num="2">
            <w:col w:w="3840" w:space="400"/>
            <w:col w:w="7180"/>
          </w:cols>
          <w:pgMar w:left="240" w:top="347" w:right="239" w:bottom="0" w:gutter="0" w:footer="0" w:header="0"/>
        </w:sectPr>
      </w:pPr>
    </w:p>
    <w:p>
      <w:pPr>
        <w:spacing w:after="0" w:line="376" w:lineRule="exact"/>
        <w:rPr>
          <w:sz w:val="20"/>
          <w:szCs w:val="20"/>
          <w:color w:val="auto"/>
        </w:rPr>
      </w:pPr>
    </w:p>
    <w:p>
      <w:pPr>
        <w:ind w:left="4220" w:right="40"/>
        <w:spacing w:after="0" w:line="289" w:lineRule="auto"/>
        <w:rPr>
          <w:sz w:val="20"/>
          <w:szCs w:val="20"/>
          <w:color w:val="auto"/>
        </w:rPr>
      </w:pPr>
      <w:r>
        <w:rPr>
          <w:rFonts w:ascii="Arial" w:cs="Arial" w:eastAsia="Arial" w:hAnsi="Arial"/>
          <w:sz w:val="16"/>
          <w:szCs w:val="16"/>
          <w:color w:val="auto"/>
        </w:rPr>
        <w:t>The disbursement agreement will require, among other conditions, that a substantial portion of the cash equity contributions made by Wynn Resorts and Valvino be expended on the Le Rêve project before the proceeds of this offering are released from the secured account and applied to the project. The remaining cash equity contribution will be held in the completion guarantee account and the liquidity reserve account. None of the proceeds of this offering of second mortgage notes will be used to fund the development or construction of Wynn Macau's casino(s) in Macau. For more information regarding the sources and uses of the financing for the construction of Le Rêve, please see "Use of Proceeds."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Foreign Investors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prospectus does not constitute an offer to sell, or a solicitation of an offer to buy, the notes in any non-U.S. jurisdiction in which it is unlawful to make such offer or solicitation. The law of certain non-U.S. jurisdictions restricts distribution of this prospectus and the offer and sale of the notes. Persons who receive this prospectus or possess any of the notes must inform themselves about and observe any such restrictions. This prospectus may not be used for, or in connection with, any offer to, or solicitation by, anyone in any non-U.S. jurisdiction or circumstances in which such offer or solicitation is not authorized or is unlawful. Neither we nor the underwriters are making any representation to any offeree or purchaser of the notes regarding the legality of investment in the notes by any offeree or purchaser.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and the guarantors of the second mortgage notes may be unable to meet their obligations under the second mortgage notes and you may lose all or part of your investment in the second mortgage notes.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Concurrent with the closing of this offering and Wynn Resorts' initial public offering of common stock, we will enter into credit facilities providing for borrowings up to $1 billion and the FF&amp;E facility providing for additional loans up to $188.5 million, which Wynn Las Vegas may request the FF&amp;E lenders to</w:t>
      </w:r>
    </w:p>
    <w:p>
      <w:pPr>
        <w:sectPr>
          <w:pgSz w:w="11900" w:h="16939" w:orient="portrait"/>
          <w:cols w:equalWidth="0" w:num="1">
            <w:col w:w="11420"/>
          </w:cols>
          <w:pgMar w:left="240" w:top="347" w:right="239" w:bottom="0" w:gutter="0" w:footer="0" w:header="0"/>
          <w:type w:val="continuous"/>
        </w:sectPr>
      </w:pPr>
    </w:p>
    <w:bookmarkStart w:id="10" w:name="page11"/>
    <w:bookmarkEnd w:id="10"/>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increase to $198.5 million if we purchase a replacement corporate aircraft. The closings of this offering, Wynn Resorts' initial public offering, the credit facilities and the FF&amp;E facility will be conditioned on each other. Wynn Resorts will contribute $386.7 million of the net proceeds of its initial public offering and Valvino will contribute all of its existing cash to Wynn Las Vegas.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enter into a disbursement agreement with the agents under the credit facilities and the FF&amp;E facility and the second mortgage note trustee. Under the disbursement agreement, we are required to first use the equity contributions from Wynn Resorts and Valvino,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we will be permitted to use the proceeds of the second mortgage notes. We will not be permitted to borrow under the credit facilities or the FF&amp;E facility until we have applied all of the proceeds of this offering, other than amounts sufficient to pay interest on the notes on the two ensuing payment dates, which is expected to be approximately 14 to 17 months after the closing of this offering.</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ability to borrow under the credit facilities and the FF&amp;E facility will be subject to various conditions precedent. As such, substantially all of the proceeds from this offering will have been spent before we know whether the conditions to disbursement of funds under the credit facilities and the FF&amp;E facility will have been satisfied. In addition to other customary conditions to funding for these types of facilities, our ability to draw on the credit facilities and the FF&amp;E facility will be subject to the following conditions:</w:t>
      </w:r>
    </w:p>
    <w:p>
      <w:pPr>
        <w:spacing w:after="0" w:line="211" w:lineRule="exact"/>
        <w:rPr>
          <w:sz w:val="20"/>
          <w:szCs w:val="20"/>
          <w:color w:val="auto"/>
        </w:rPr>
      </w:pPr>
    </w:p>
    <w:p>
      <w:pPr>
        <w:ind w:left="1080" w:right="100" w:hanging="532"/>
        <w:spacing w:after="0" w:line="283"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23"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 and</w:t>
      </w:r>
    </w:p>
    <w:p>
      <w:pPr>
        <w:spacing w:after="0" w:line="7"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our lenders under the credit facilities and their consultants and is therefore beyond our control.</w:t>
      </w:r>
    </w:p>
    <w:p>
      <w:pPr>
        <w:spacing w:after="0" w:line="194"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Although these conditions must also be satisfied before we may draw funds from the second mortgage notes secured account, the lenders under our credit facilities and the FF&amp;E facility will not confirm that, from their perspective, any conditions have been satisfied until we request draws under their respective facilities.</w:t>
      </w:r>
    </w:p>
    <w:p>
      <w:pPr>
        <w:spacing w:after="0" w:line="194"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Any failure to satisfy the conditions to drawdowns under the credit facilities or the FF&amp;E facility could severely impact our ability to complete Le Rêve and could arise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other than from the secured proceeds account, effectively would be subordinated to the lenders under these facilities, given that these facilities are secured by liens that are prior to the liens securing the second mortage notes. Neither we nor Wynn Resorts may have access to alternative sources of funds necessary to complete Le Rêve on satisfactory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ours which will become due through the estimated commencement date of operations of Le Rêve have been included in our estimate of the total development cost.</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the project is halfway completed. If we are unable to use these contingencies or if these contingencies are not sufficient to cover these costs, we may not have the funds required to pay the excess costs. Our inability to pay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development costs as they are incurred will negatively affect our ability to complete Le Rêve and thus may significantly impair our business operations and prospects.</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disbursement agreement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ectPr>
          <w:pgSz w:w="11900" w:h="16912" w:orient="portrait"/>
          <w:cols w:equalWidth="0" w:num="1">
            <w:col w:w="11420"/>
          </w:cols>
          <w:pgMar w:left="240" w:top="131" w:right="239" w:bottom="0" w:gutter="0" w:footer="0" w:header="0"/>
        </w:sectPr>
      </w:pPr>
    </w:p>
    <w:bookmarkStart w:id="11" w:name="page12"/>
    <w:bookmarkEnd w:id="11"/>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2"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pacing w:after="0" w:line="18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w:t>
      </w:r>
    </w:p>
    <w:p>
      <w:pPr>
        <w:sectPr>
          <w:pgSz w:w="11900" w:h="16958" w:orient="portrait"/>
          <w:cols w:equalWidth="0" w:num="1">
            <w:col w:w="11420"/>
          </w:cols>
          <w:pgMar w:left="240" w:top="131" w:right="239" w:bottom="0" w:gutter="0" w:footer="0" w:header="0"/>
        </w:sectPr>
      </w:pPr>
    </w:p>
    <w:bookmarkStart w:id="12" w:name="page13"/>
    <w:bookmarkEnd w:id="12"/>
    <w:p>
      <w:pPr>
        <w:ind w:right="20"/>
        <w:spacing w:after="0" w:line="310" w:lineRule="auto"/>
        <w:rPr>
          <w:sz w:val="20"/>
          <w:szCs w:val="20"/>
          <w:color w:val="auto"/>
        </w:rPr>
      </w:pPr>
      <w:r>
        <w:rPr>
          <w:rFonts w:ascii="Arial" w:cs="Arial" w:eastAsia="Arial" w:hAnsi="Arial"/>
          <w:sz w:val="15"/>
          <w:szCs w:val="15"/>
          <w:color w:val="auto"/>
        </w:rPr>
        <w:t>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 Rêve is scheduled to open in April 2005, and Wynn Resorts' subsidiary Wynn Macau may pursue development of its first permanent casino resort in Macau in the same time period. If both projects are being built simultaneously, members of Wynn Resorts' senior management will be involved in planning and developing both projects. Developing the Macau opportunity simultaneously with Le Rêve may divert management resources from the construction and/or opening of Le Rêve. Management's inability to devote sufficient time and attention to the Le Rêve project may delay the construction or opening of Le Rêve. This type of delay could have a negative effect on our business and operations.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debt in relation to our equity, which debt will increase during the construction period. Concurrent with the closing of this offering, we will enter into debt facilities that will result in total outstanding indebtedness of approximately $1.5 billion, including the second mortgage notes, by the time Le Rêve is completed.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the second mortgage notes;</w:t>
      </w:r>
    </w:p>
    <w:p>
      <w:pPr>
        <w:spacing w:after="0" w:line="36"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do not complete construction of Le Rêve by the scheduled completion date, which may be extended in accordance with the disbursement agreement, but not beyond September 30, 2005, except for certain limited permitted extensions due to force majeure events, fail to meet our payment obligations or otherwise default under the agreements governing our other indebtedness, the lenders under those agreements will have the right to accelerate the indebtedness and exercise other rights and remedies against us. These rights and remedies include the rights to:</w:t>
      </w:r>
    </w:p>
    <w:p>
      <w:pPr>
        <w:spacing w:after="0" w:line="180" w:lineRule="exact"/>
        <w:rPr>
          <w:rFonts w:ascii="Arial" w:cs="Arial" w:eastAsia="Arial" w:hAnsi="Arial"/>
          <w:sz w:val="16"/>
          <w:szCs w:val="16"/>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we are insolvent, to initiate involuntary bankruptcy proceedings against us,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80" w:hanging="532"/>
        <w:spacing w:after="0" w:line="28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22" w:lineRule="exact"/>
        <w:rPr>
          <w:rFonts w:ascii="Arial" w:cs="Arial" w:eastAsia="Arial" w:hAnsi="Arial"/>
          <w:sz w:val="16"/>
          <w:szCs w:val="16"/>
          <w:color w:val="auto"/>
        </w:rPr>
      </w:pPr>
    </w:p>
    <w:p>
      <w:pPr>
        <w:ind w:left="1080" w:right="54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Once Le Rêve is operating, we will be required to use a substantial portion of our cash flow from operations to service and amortize our indebtedness, which will reduce the available cash flow to fund working capital, capital expenditures and other general corporate purposes;</w:t>
      </w:r>
    </w:p>
    <w:p>
      <w:pPr>
        <w:sectPr>
          <w:pgSz w:w="11900" w:h="16838" w:orient="portrait"/>
          <w:cols w:equalWidth="0" w:num="1">
            <w:col w:w="11400"/>
          </w:cols>
          <w:pgMar w:left="240" w:top="131" w:right="259"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13" w:name="page14"/>
    <w:bookmarkEnd w:id="13"/>
    <w:p>
      <w:pPr>
        <w:spacing w:after="0" w:line="6" w:lineRule="exact"/>
        <w:rPr>
          <w:sz w:val="20"/>
          <w:szCs w:val="20"/>
          <w:color w:val="auto"/>
        </w:rPr>
      </w:pPr>
    </w:p>
    <w:p>
      <w:pPr>
        <w:ind w:left="1080" w:right="4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21" w:lineRule="exact"/>
        <w:rPr>
          <w:rFonts w:ascii="Arial" w:cs="Arial" w:eastAsia="Arial" w:hAnsi="Arial"/>
          <w:sz w:val="18"/>
          <w:szCs w:val="18"/>
          <w:color w:val="auto"/>
        </w:rPr>
      </w:pPr>
    </w:p>
    <w:p>
      <w:pPr>
        <w:ind w:left="1080" w:right="52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terms of the indenture, our credit facilities and our FF&amp;E facility, we will be permitted to incur additional indebtedness, which will be limited under our credit facilities and FF&amp;E facility to $71 million, of which up to $60 million may be secured senior indebtedness. We will also be permitted to incur additional secured senior indebtedness in an amount sufficient to acquire up to ten indentified parcels of land adjacent to the golf course land at fair market value. If we incur additional indebtedness, the risks described above will be exacerbated.</w:t>
      </w:r>
    </w:p>
    <w:p>
      <w:pPr>
        <w:spacing w:after="0" w:line="19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 including our obligations under the second mortgage notes.</w:t>
      </w:r>
    </w:p>
    <w:p>
      <w:pPr>
        <w:spacing w:after="0" w:line="18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Before the opening of Le Rêve, which is expected to occur in April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94" w:lineRule="exact"/>
        <w:rPr>
          <w:sz w:val="20"/>
          <w:szCs w:val="20"/>
          <w:color w:val="auto"/>
        </w:rPr>
      </w:pPr>
    </w:p>
    <w:p>
      <w:pPr>
        <w:jc w:val="both"/>
        <w:ind w:right="40" w:firstLine="341"/>
        <w:spacing w:after="0" w:line="256"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21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these factors are beyond our control. Any inability to meet our debt service obligations would have a material adverse effect on us. In addition, future financing documents for the Macau opportunity may contain restrictions or prohibitions on the distribution to Wynn Resorts of any cash flow generated by the casino(s). Any cash flow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generated by one or more Macau casinos operated by Wynn Macau will not be generated by entities which are guarantors of our indebtedness. Thus, any cash flow generated by the Macau casinos may not be available to service our debt service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mortgage notes will have a junior lien on a substantial portion of our assets, and will have no liens on certain assets.</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Although the holders of the second mortgage notes will have a first priority lien on the net proceeds of this offering, once those proceeds are disbursed pursuant to the disbursement agreement for the construction of the Le Rêve project, they will have only a second priority lien on the assets comprising the project and a third priority lien on the furniture, fixtures and equipment that are purchased under the FF&amp;E facility. None of the assets of Wynn Resorts will secure its guarantee of the second mortgage notes, unless Wynn Resorts grants specified liens to secure other guarantees or indebtedness and is required to grant second priority liens on the same assets to secure the second mortgage notes.</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the second mortgage notes will not have a lien on our gaming license because under the Nevada gaming laws it may not be pledged as collateral. In addition, we must seek approval from the Public Utilities Commission of Nevada before we may grant any liens in the water rights which would be used for general irrigation purposes, irrigation of the golf course and to supply water for the Lê Reve lake. We will not have such approval at the time of the closing and may not obtain such approval before we begin disbursing the second mortgage notes proceeds or at all. The credit facilities, the FF&amp;E facility and the second mortgage notes will not be secured by any assets related to Wynn Macau's planned operations in Macau.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guarantors of the second mortgage notes likely will not be able to contribute to any payments with respect to the second mortgage notes.</w:t>
      </w:r>
    </w:p>
    <w:p>
      <w:pPr>
        <w:spacing w:after="0" w:line="25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primary purpose of the guarantees (except the unsecured guarantee of Wynn Resorts) is to provide second priority liens on the assets of the guarantors, including the golf course, the Phase II land, and equity interests in their subsidiaries. While Valvino and its subsidiaries hold assets that are integral to Le Rêve, they are not expected to have operations that generate significant cash flows. As such, you should not expect Valvino or any of the other guarantors to contribute to any payments of principal, interest or other amounts required to be made on the second mortgage notes.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Wynn Resorts will be able to contribute to payments of principal, interest or other amounts required to be made on the second mortgage notes only to the extent it has unrestricted funds from other sources. The subsidiaries of Wynn Resorts will have no obligation to make payments or distributions to Wynn Resorts to enable Wynn Resorts to make payments under its guarantee. In addition, the subsidiaries of Wynn Resorts may be parties to financing or other agreements that restrict their ability to make any payments or distributions to Wynn Resorts.</w:t>
      </w:r>
    </w:p>
    <w:p>
      <w:pPr>
        <w:spacing w:after="0" w:line="161"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The credit facilities, the FF&amp;E facility and the indenture governing the second mortgage notes will contain covenants that will restrict our ability to engage in certain transactions and may impair our ability to respond to changing business and economic conditions.</w:t>
      </w:r>
    </w:p>
    <w:p>
      <w:pPr>
        <w:spacing w:after="0" w:line="134" w:lineRule="exact"/>
        <w:rPr>
          <w:sz w:val="20"/>
          <w:szCs w:val="20"/>
          <w:color w:val="auto"/>
        </w:rPr>
      </w:pPr>
    </w:p>
    <w:p>
      <w:pPr>
        <w:jc w:val="center"/>
        <w:spacing w:after="0" w:line="332"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impose operating and financial restrictions on us and specified affiliates designated as restricted entities. The restrictions that will be imposed under these debt instruments will include, among other things, limitations</w:t>
      </w:r>
    </w:p>
    <w:p>
      <w:pPr>
        <w:sectPr>
          <w:pgSz w:w="11900" w:h="16844" w:orient="portrait"/>
          <w:cols w:equalWidth="0" w:num="1">
            <w:col w:w="11400"/>
          </w:cols>
          <w:pgMar w:left="240" w:top="145" w:right="259" w:bottom="0" w:gutter="0" w:footer="0" w:header="0"/>
        </w:sectPr>
      </w:pPr>
    </w:p>
    <w:bookmarkStart w:id="14" w:name="page15"/>
    <w:bookmarkEnd w:id="14"/>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on our ability to:</w:t>
      </w:r>
    </w:p>
    <w:p>
      <w:pPr>
        <w:spacing w:after="0" w:line="239" w:lineRule="exact"/>
        <w:rPr>
          <w:sz w:val="20"/>
          <w:szCs w:val="20"/>
          <w:color w:val="auto"/>
        </w:rPr>
      </w:pPr>
    </w:p>
    <w:p>
      <w:pPr>
        <w:ind w:left="5620" w:right="5080" w:hanging="5072"/>
        <w:spacing w:after="0" w:line="613" w:lineRule="auto"/>
        <w:tabs>
          <w:tab w:leader="none" w:pos="10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dividends or distributions on capital stock or repurchase capital stock; 24</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-1928495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credit facilities will require us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other events beyond our control and delayed completion of Le Rêve. As a result, we cannot assure you that we will be able to comply with these covenants. Our failure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 Risks Related to the Offering and the Second Mortgage Notes—The liens securing the indebtedness under the credit facilities and FF&amp;E facility generally will be senior to the liens securing the second mortgage notes."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 profitable.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Wynn Resorts has entered into an employment agreement with Mr. Wynn. However, we cannot assure you that Mr. Wynn will remain with us. If Wynn Resorts loses the services of Mr. Wynn or if he is unable to devote sufficient attention to our operations, our business may be significantly impaired. In addition, if Mr. Wynn is no longer either employed by Wynn Resorts as Chief Executive Officer or serving as Chairman of the Board of Wynn Resorts, other than as a result of death or disability or other limited circumstances, it would</w:t>
      </w:r>
    </w:p>
    <w:p>
      <w:pPr>
        <w:sectPr>
          <w:pgSz w:w="11900" w:h="16868" w:orient="portrait"/>
          <w:cols w:equalWidth="0" w:num="1">
            <w:col w:w="11380"/>
          </w:cols>
          <w:pgMar w:left="240" w:top="131" w:right="279" w:bottom="0" w:gutter="0" w:footer="0" w:header="0"/>
        </w:sectPr>
      </w:pPr>
    </w:p>
    <w:bookmarkStart w:id="15" w:name="page16"/>
    <w:bookmarkEnd w:id="15"/>
    <w:p>
      <w:pPr>
        <w:ind w:right="480"/>
        <w:spacing w:after="0" w:line="268" w:lineRule="auto"/>
        <w:rPr>
          <w:sz w:val="20"/>
          <w:szCs w:val="20"/>
          <w:color w:val="auto"/>
        </w:rPr>
      </w:pPr>
      <w:r>
        <w:rPr>
          <w:rFonts w:ascii="Arial" w:cs="Arial" w:eastAsia="Arial" w:hAnsi="Arial"/>
          <w:sz w:val="18"/>
          <w:szCs w:val="18"/>
          <w:color w:val="auto"/>
        </w:rPr>
        <w:t>constitute a change of control that requires us to repay the second mortgage notes and would constitute an event of default under the credit facilities and the FF&amp;E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we may be entirely dependent upon one property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We do not expect to have material assets or operations other than Le Rêve for the foreseeable future. As a result, we likely will be entirely dependent upon Le Rêve for all of our cash flow. The Macau-related entities are not guarantors of our indebtedness and their stock and assets are not collateral for our obligations or for Wynn Resorts' guarantee. In addition, the financing documents for the Macau opportunity may contain restrictions or prohibitions on the distribution to Wynn Resorts of any cash flow generated by these projects. Accordingly, cash flow generated by those Macau casino(s) will not be available to service our indebtedness, including our obligations under the second mortgage notes, or support our operations. See "—Risks Related to Our Substantial Indebtedness—We may not generate sufficient cash flow to meet our substantial debt service and other obligations, including our obligations under the second mortgage notes."</w:t>
      </w:r>
    </w:p>
    <w:p>
      <w:pPr>
        <w:spacing w:after="0" w:line="15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greater degrees of risk than a gaming company with more operating properties. The risks to which we will have a greater degree of exposure include the following:</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6" w:name="page17"/>
    <w:bookmarkEnd w:id="16"/>
    <w:p>
      <w:pPr>
        <w:spacing w:after="0" w:line="86"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Also, although we have obtained title insurance policies to protect the lenders under our credit facilities and the note holders against defects in title of the Le Rêve property, the amount of our debt will be so large that any losses due to defects in title may exceed the resources of the title insurance companies.</w:t>
      </w:r>
    </w:p>
    <w:p>
      <w:pPr>
        <w:spacing w:after="0" w:line="139" w:lineRule="exact"/>
        <w:rPr>
          <w:sz w:val="20"/>
          <w:szCs w:val="20"/>
          <w:color w:val="auto"/>
        </w:rPr>
      </w:pPr>
    </w:p>
    <w:p>
      <w:pPr>
        <w:ind w:right="60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3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Wynn Resorts' ownership and management of both Le Rêve and a second resort developed on either the 20-acre parcel or the golf course land could negatively impact Le Rêve.</w:t>
      </w:r>
    </w:p>
    <w:p>
      <w:pPr>
        <w:spacing w:after="0" w:line="18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ownership of both Le Rêve and additional resorts developed on the 20-acre parcel adjacent to the site of Le Rêve and/or the golf course parcel may result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conflicting business goals because, once released from the liens under the credit facilities and second mortgage notes, a Phase II or other project developed on either site would likely be developed through an entity that is not part of the restricted group and could potentially compete with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for the Phase II resort over Le Rêve. In addition, that entity also may choose to allocate certain business opportunities, such as potential restaurant, dining and entertainment tenants or requests for room reservations, to the Phase II resort instead of Le Rêve. Although Wynn Resorts' common ownership of both Le Rêve and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 operation of the resorts. In certain circumstances, management may devote more time to the ownership and operational responsibilities of the Phase II resort than those of Le Rêve.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80"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opening and operation of Le Rêve will be contingent upon our receipt and maintenance of all regulatory licenses, permits, approvals, registrations, findings of suitability,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20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second mortgage notes sold pursuant to this prospectus, to file applications, be investigated and be found suitable to own Wynn Resorts' securities if it has reason to believe that the security ownership would be inconsistent with the declared policies of the State of Nevada.</w:t>
      </w:r>
    </w:p>
    <w:p>
      <w:pPr>
        <w:sectPr>
          <w:pgSz w:w="11900" w:h="16924" w:orient="portrait"/>
          <w:cols w:equalWidth="0" w:num="1">
            <w:col w:w="11420"/>
          </w:cols>
          <w:pgMar w:left="240" w:top="131" w:right="239" w:bottom="0" w:gutter="0" w:footer="0" w:header="0"/>
        </w:sectPr>
      </w:pPr>
    </w:p>
    <w:bookmarkStart w:id="17" w:name="page18"/>
    <w:bookmarkEnd w:id="17"/>
    <w:p>
      <w:pPr>
        <w:spacing w:after="0" w:line="5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Nevada gaming regulatory issues may arise regarding the licensing of owners of Wynn Resorts, which may cause us to incur additional debt.</w:t>
      </w:r>
    </w:p>
    <w:p>
      <w:pPr>
        <w:spacing w:after="0" w:line="25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Wynn Resorts' initial public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Transactions—Stockholders Agreement" and "—Buy-Out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Wynn, the Nevada Gaming Commission could order Aruze USA or its affiliate to dispose of its voting securities within a prescribed period of time that may not be sufficient.</w:t>
      </w:r>
    </w:p>
    <w:p>
      <w:pPr>
        <w:spacing w:after="0" w:line="19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Resorts Holdings and Valvino, will be required to comply with certain reporting requirements concerning gaming activities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associations in Macau proposed to be conducted by Wynn Resorts' Macau-related subsidiaries. Wynn Resorts and its licensed Nevada subsidiaries,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also will be subject to disciplinary action by the Nevada Gaming Commission if Wynn Resorts' Macau-related subsidiaries:</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48" w:lineRule="exact"/>
        <w:rPr>
          <w:rFonts w:ascii="Arial" w:cs="Arial" w:eastAsia="Arial" w:hAnsi="Arial"/>
          <w:sz w:val="16"/>
          <w:szCs w:val="16"/>
          <w:color w:val="auto"/>
        </w:rPr>
      </w:pPr>
    </w:p>
    <w:p>
      <w:pPr>
        <w:spacing w:after="0"/>
        <w:tabs>
          <w:tab w:leader="none" w:pos="0" w:val="left"/>
        </w:tabs>
        <w:numPr>
          <w:ilvl w:val="0"/>
          <w:numId w:val="27"/>
        </w:numPr>
        <w:rPr>
          <w:rFonts w:ascii="Arial" w:cs="Arial" w:eastAsia="Arial" w:hAnsi="Arial"/>
          <w:sz w:val="18"/>
          <w:szCs w:val="18"/>
          <w:color w:val="auto"/>
        </w:rPr>
      </w:pPr>
    </w:p>
    <w:p>
      <w:pPr>
        <w:sectPr>
          <w:pgSz w:w="11900" w:h="16893" w:orient="portrait"/>
          <w:cols w:equalWidth="0" w:num="1">
            <w:col w:w="11420"/>
          </w:cols>
          <w:pgMar w:left="240" w:top="131" w:right="239" w:bottom="0" w:gutter="0" w:footer="0" w:header="0"/>
        </w:sectPr>
      </w:pPr>
    </w:p>
    <w:bookmarkStart w:id="18" w:name="page19"/>
    <w:bookmarkEnd w:id="18"/>
    <w:p>
      <w:pPr>
        <w:ind w:left="1080" w:right="160"/>
        <w:spacing w:after="0" w:line="370" w:lineRule="auto"/>
        <w:rPr>
          <w:sz w:val="20"/>
          <w:szCs w:val="20"/>
          <w:color w:val="auto"/>
        </w:rPr>
      </w:pPr>
      <w:r>
        <w:rPr>
          <w:rFonts w:ascii="Arial" w:cs="Arial" w:eastAsia="Arial" w:hAnsi="Arial"/>
          <w:sz w:val="15"/>
          <w:szCs w:val="15"/>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3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3"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w:t>
      </w:r>
    </w:p>
    <w:p>
      <w:pPr>
        <w:sectPr>
          <w:pgSz w:w="11900" w:h="16838" w:orient="portrait"/>
          <w:cols w:equalWidth="0" w:num="1">
            <w:col w:w="11400"/>
          </w:cols>
          <w:pgMar w:left="240" w:top="131" w:right="259" w:bottom="198"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98" w:gutter="0" w:footer="0" w:header="0"/>
          <w:type w:val="continuous"/>
        </w:sectPr>
      </w:pPr>
    </w:p>
    <w:bookmarkStart w:id="19" w:name="page20"/>
    <w:bookmarkEnd w:id="19"/>
    <w:p>
      <w:pPr>
        <w:spacing w:after="0" w:line="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recruit a substantial number of new employees before Le Rêve opens and our employees may seek unionization.</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Wynn Las Vegas' affiliates will be subject to regulatory control by the Public Utilities Commission of Nevada.</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Wynn Resorts decides to make changes to our or its ownership structure, such as in a merger or acquisition 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operations.</w:t>
      </w:r>
    </w:p>
    <w:p>
      <w:pPr>
        <w:spacing w:after="0" w:line="1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liens securing the indebtedness under the credit facilities and FF&amp;E facility generally will be senior to the liens securing the second mortgage notes.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mortgage notes will be secured by:</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first priority lien on the proceeds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second priority lien on substantially all of our other existing and future assets, subject to regulatory limitations and specified exceptions,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third priority lien on the assets securing our FF&amp;E facility.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lenders under our credit facilities will have first priority liens on substantially all of our assets. The lenders under our FF&amp;E facility will have first priority liens on furniture, fixtures and equipment, including assets that are integral to the operation of Le Rêve, such as elevators, escalators, heating, vacuum and air conditioning equipment and gaming equipment. However, the guarantee of the second mortgage notes by Wynn Resorts will not be secured by any assets of Wynn Resorts, unless Wynn Resorts grants specified liens to secure other guarantees or indebtedness.</w:t>
      </w:r>
    </w:p>
    <w:p>
      <w:pPr>
        <w:spacing w:after="0" w:line="16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 The second mortgage notes will also not be secured by the aircraft assets.</w:t>
      </w:r>
    </w:p>
    <w:p>
      <w:pPr>
        <w:spacing w:after="0" w:line="161"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Because the liens securing the indebtedness under the credit facilities will generally be prior to the liens securing the second mortgage notes, the second mortgage notes will be effectively subordinated to the indebtedness under our $1.0 billion credit facilities. In addition, the liens on the collateral securing our $188.5 million FF&amp;E facility will be prior to the liens securing the credit facilities and the second mortgage notes upon the FF&amp;E collateral. We will also be permitted, under the indenture governing the second mortgage notes, to incur additional indebtedness, which may increase the amount of our credit facilities or</w:t>
      </w:r>
    </w:p>
    <w:p>
      <w:pPr>
        <w:sectPr>
          <w:pgSz w:w="11900" w:h="16899" w:orient="portrait"/>
          <w:cols w:equalWidth="0" w:num="1">
            <w:col w:w="11420"/>
          </w:cols>
          <w:pgMar w:left="240" w:top="131" w:right="239" w:bottom="0" w:gutter="0" w:footer="0" w:header="0"/>
        </w:sectPr>
      </w:pPr>
    </w:p>
    <w:bookmarkStart w:id="20" w:name="page21"/>
    <w:bookmarkEnd w:id="20"/>
    <w:p>
      <w:pPr>
        <w:spacing w:after="0" w:line="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FF&amp;E facility.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 Security Interests."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liens granted by the guarantors (except Wynn Resorts, which will guarantee the second mortgage notes on a senior unsecured basis) to secure their guarantees of the credit facilities will also be senior to the liens securing the second mortgage note guarantees, and, therefore, the second mortgage note guarantees will also be effectively subordinated to the guarantees of the indebtedness under the credit facilities and all of our guarantors' (except Wynn Resorts's) other senior indebtedness secured by higher priority liens.</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there is a default, the value of the collateral may not be sufficient to repay both the higher priority creditors and the holders of the second mortgage notes.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of the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At the completion of Le Rêve, we expect to have approximately $718.5 million outstanding under the revolving credit facility, $250 million outstanding under the delay draw term loan facility and $188.5 million outstanding under the FF&amp;E facility. We also expect to have at such time approximately $28.5 million of borrowing availability under the revolving credit facility. Under the indenture governing the second mortgage notes, we will be permitted to incur additional indebtedness that is secured by first priority liens on the second mortgage note collateral.</w:t>
      </w:r>
    </w:p>
    <w:p>
      <w:pPr>
        <w:spacing w:after="0" w:line="16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trustee under the indenture governing the second mortgage notes will enter into a project lenders intercreditor agreement with the agent for the lenders under the credit facilities and an FF&amp;E intercreditor agreement with the agent for the lenders under the credit facilities and the agent for lenders under the FF&amp;E facility. The intercreditor agreements will provide for the allocation of rights among the trustee and these lenders with respect to their respective interests in the collateral and the enforcement of their rights.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190" w:lineRule="exact"/>
        <w:rPr>
          <w:sz w:val="20"/>
          <w:szCs w:val="20"/>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the disbursement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agreement or waive any defaults or conditions precedent to funding thereunder in various circumstances; which could result in a reduction of the scope which we are required to build and in funding additional amounts which effectively are senior to the second mortgage notes, in each case, to the detriment of the holders of second mortgage notes;</w:t>
      </w:r>
    </w:p>
    <w:p>
      <w:pPr>
        <w:spacing w:after="0" w:line="221" w:lineRule="exact"/>
        <w:rPr>
          <w:sz w:val="20"/>
          <w:szCs w:val="20"/>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intercreditor agreements will give the lenders under the credit facilities the right to determine whether to foreclose on the collateral and the terms of any foreclosure following an event of default under the second mortgage notes or the credit facilities.</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pursuant to the intercreditor agreements, the trustee will agree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lenders under the FF&amp;E facility will similarly have the right, without the consent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both the periodic amounts payable on our secured indebtedness and the amounts secured by claims effectively senior the claims of the second mortgage note holders.</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the intercreditor agreements, so long as the credit facilities and the FF&amp;E facility remain outstanding, the holders of the second mortgage notes will be restrained from exercising their remedies following a default. As such, the lenders under the credit facilities and the FF&amp;E facility will be permitted to exercise</w:t>
      </w:r>
    </w:p>
    <w:p>
      <w:pPr>
        <w:sectPr>
          <w:pgSz w:w="11900" w:h="16858" w:orient="portrait"/>
          <w:cols w:equalWidth="0" w:num="1">
            <w:col w:w="11420"/>
          </w:cols>
          <w:pgMar w:left="240" w:top="131" w:right="239" w:bottom="0" w:gutter="0" w:footer="0" w:header="0"/>
        </w:sectPr>
      </w:pPr>
    </w:p>
    <w:bookmarkStart w:id="21" w:name="page22"/>
    <w:bookmarkEnd w:id="21"/>
    <w:p>
      <w:pPr>
        <w:spacing w:after="0" w:line="6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their remedies and foreclose their respective liens on the note collateral before holders of the second mortgage notes could enforce their liens. We cannot assure you that any proceeds of foreclosure sales would be sufficient to make any payments on the second mortgage notes after repaying in full the credit facilities and the FF&amp;E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laws will impose additional restrictions on foreclosure.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Utilities Commission of Nevada will impose additional restrictions on foreclosure.</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5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80"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Pursuant to the intercreditor agreements, the lenders under our credit facilities are permitted to foreclose on the liens securing such facilities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additional risks, including additional restrictions on exercising rights against collateral.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have multiple lenders, holders of the second mortgage notes may be disadvantaged by actions taken by one or more of our other lenders.</w:t>
      </w:r>
    </w:p>
    <w:p>
      <w:pPr>
        <w:spacing w:after="0" w:line="26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Multiple parties will be providing financing for the construction and development of Le Rêve, including the lenders under the credit facilities and under the FF&amp;E facility and the holders of the second mortgage notes. Our lenders will enter into agreements, including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disbursement agreement and the intercreditor agreements, to govern the relationships among them. These agreements may limit the rights of the second mortgage note holders.</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will affect, and may impair, the interests of the holders of the second mortgage notes.</w:t>
      </w:r>
    </w:p>
    <w:p>
      <w:pPr>
        <w:spacing w:after="0" w:line="16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Subject to specified conditions, the disbursement agreement will also require each lender to fund its proportionate share of each disbursement. However, we cannot assure you that each lender will always perform its obligations under the disbursement agreement. If any lender fails to fund its share of the amounts to be advanced under the disbursement agreement, we may not have sufficient funds to complete Le Rêve.</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Further, given that we are required to expend all of the proceeds of the second mortgage notes, other than amounts sufficient to pay interest on the notes on the two ensuing payment dates,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addition, financing by multiple lenders with security interests in common collateral or collateral that is interrelated by use or location may increase complexity and reduce flexibility in a debt restructuring of our indebtedness. In particular, the FF&amp;E lenders will have control of assets that are required for the ordinary course operations of Le Rêve. Thus, notwithstanding the relatively small portion of Le Rêve's indebtedness that will be held by the FF&amp;E lenders, upon the occurrence of a default under the FF&amp;E facility, the FF&amp;E lenders may be able to prevent Le Rêve from operating. However, the lenders under the FF&amp;E facility will agree in the intercreditor agreement with the lenders under our credit facilities and the holders of the second mortgage notes, subject to specified limitations, upon default under such facility, not to exercise remedies for a period of up to 60 days before completion of Le Rêve or 45 days after completion of</w:t>
      </w:r>
    </w:p>
    <w:p>
      <w:pPr>
        <w:sectPr>
          <w:pgSz w:w="11900" w:h="16904" w:orient="portrait"/>
          <w:cols w:equalWidth="0" w:num="1">
            <w:col w:w="11420"/>
          </w:cols>
          <w:pgMar w:left="240" w:top="131" w:right="239" w:bottom="0" w:gutter="0" w:footer="0" w:header="0"/>
        </w:sectPr>
      </w:pPr>
    </w:p>
    <w:bookmarkStart w:id="22" w:name="page23"/>
    <w:bookmarkEnd w:id="22"/>
    <w:p>
      <w:pPr>
        <w:ind w:right="220"/>
        <w:spacing w:after="0" w:line="268" w:lineRule="auto"/>
        <w:rPr>
          <w:sz w:val="20"/>
          <w:szCs w:val="20"/>
          <w:color w:val="auto"/>
        </w:rPr>
      </w:pPr>
      <w:r>
        <w:rPr>
          <w:rFonts w:ascii="Arial" w:cs="Arial" w:eastAsia="Arial" w:hAnsi="Arial"/>
          <w:sz w:val="18"/>
          <w:szCs w:val="18"/>
          <w:color w:val="auto"/>
        </w:rPr>
        <w:t>Le Rêve. However, we cannot assure you that the lenders under the FF&amp;E facility will respect such obligations or, even if they do respect such obligations, that such standstill period will be sufficient to restructure our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fulfill our repurchase obligations with respect to the second mortgage notes upon a change of control.</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second mortgage notes at 101% of the principal amount of the second mortgage notes plus accrued and unpaid interest to the date of repurchase. We cannot assure you that we will have available funds sufficient to pay the change of control purchase price for any or all of the second mortgage notes that might be delivered by holders of the second mortgage notes seeking to accept the change of control offer. Moreover, under the indenture governing the second mortgage notes, certain important corporate events, such as leveraged recapitalizations that would increase the level of our indebtedness, would not constitute a "change of control" and thus would not give rise to any repurchase rights. See "Description of the Second Mortgage Notes—Repurchase at the Option of Holders—Change of Control" and "Description of Other Indebtedness—Credit Facilities."</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the credit facilities will contain, and any future credit agreement likely will contain, restrictions or prohibitions on our ability to repurchase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the Second Mortgage Notes—Events of Default."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laws may significantly impair your rights to repossess and dispose of collateral securing the second mortgage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 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use the funds in the second mortgage notes proceeds account as cash collateral if the debtor provided adequate protection for such use by granting replacement liens on other collateral, which might not consist of liquid assets.</w:t>
      </w:r>
    </w:p>
    <w:p>
      <w:pPr>
        <w:spacing w:after="0" w:line="170"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Factors that might bear on the recovery by the holders of the second mortgage notes in these circumstances, among others, would include:</w:t>
      </w:r>
    </w:p>
    <w:p>
      <w:pPr>
        <w:spacing w:after="0" w:line="262" w:lineRule="exact"/>
        <w:rPr>
          <w:sz w:val="20"/>
          <w:szCs w:val="20"/>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lack of adequate protection of their liens and the collateral securing the second mortgage notes as a basis for opposing a motion or other relief approved by the lenders under the credit facilities. See "Intercreditor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 under agreements serving as collateral for the second mortgage notes may be rejected in bankruptcy.</w:t>
      </w:r>
    </w:p>
    <w:p>
      <w:pPr>
        <w:spacing w:after="0" w:line="231" w:lineRule="exact"/>
        <w:rPr>
          <w:sz w:val="20"/>
          <w:szCs w:val="20"/>
          <w:color w:val="auto"/>
        </w:rPr>
      </w:pPr>
    </w:p>
    <w:p>
      <w:pPr>
        <w:ind w:right="120" w:firstLine="341"/>
        <w:spacing w:after="0" w:line="323" w:lineRule="auto"/>
        <w:rPr>
          <w:sz w:val="20"/>
          <w:szCs w:val="20"/>
          <w:color w:val="auto"/>
        </w:rPr>
      </w:pPr>
      <w:r>
        <w:rPr>
          <w:rFonts w:ascii="Arial" w:cs="Arial" w:eastAsia="Arial" w:hAnsi="Arial"/>
          <w:sz w:val="15"/>
          <w:szCs w:val="15"/>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w:t>
      </w:r>
    </w:p>
    <w:p>
      <w:pPr>
        <w:sectPr>
          <w:pgSz w:w="11900" w:h="16838" w:orient="portrait"/>
          <w:cols w:equalWidth="0" w:num="1">
            <w:col w:w="11420"/>
          </w:cols>
          <w:pgMar w:left="240" w:top="131" w:right="239" w:bottom="0" w:gutter="0" w:footer="0" w:header="0"/>
        </w:sectPr>
      </w:pPr>
    </w:p>
    <w:bookmarkStart w:id="23" w:name="page24"/>
    <w:bookmarkEnd w:id="23"/>
    <w:p>
      <w:pPr>
        <w:spacing w:after="0" w:line="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constitutes a lease of real property, the resulting claim of the lessor for damages resulting from termination may be capped pursuant to Section 502(b)(6) of the bankruptcy code.</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you to accept subordinated or other securities in exchange for the second mortgage notes, or substantive consolidation of us with Wynn Resorts in a bankruptcy in which Wynn Resorts was debtor. Regardless of the ultimate disposition of any of these or other motions or claims, we cannot assure you that during litigation of these issues our payments on the second mortgage notes would be paid in full or on time.</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8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However, we cannot assure you that a bankruptcy court would agree in the event that any of Wynn Resorts, Valvino or any such other affiliates becomes a debtor under the bankruptcy code, particularly in light of the guarantee by these affiliates of the obligations of the issuers under the second mortgage notes and the obligations of Wynn Las Vegas under the credit facilities and the FF&amp;E facility. If a bankruptcy court concludes that substantive consolidation of Wynn Las Vegas or Wynn Capital with any affiliated party referred to in this paragraph is warranted, the risks described above under "Bankruptcy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may significantly impair your rights to repossess and dispose of collateral securing the second mortgage notes" and "—Contract rights under agreements serving as collateral may be rejected in bankruptcy" would apply as a result of such bankruptcy filing, whether or not that Wynn Las Vegas was then successfully operating Le Rêve and is able to pay its obligations as they become due. If substantive consolidation is ordered, noteholders should expect payments on the second mortgage notes to be delayed and/or reduced.</w:t>
      </w:r>
    </w:p>
    <w:p>
      <w:pPr>
        <w:spacing w:after="0" w:line="19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9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liens securing the second mortgage notes in the Phase II land and in certain portions of the golf course land will be automatically released if the lenders under the credit facilities release their first priority liens on the Phase II land or those portions of the golf course land. Although the credit facilities will specify earnings tests that need to be satisfied before the lenders can release their liens in that collateral, the lenders under the credit facilities will be free to amend or waive those tests at any time. The interests of the lenders may be different than those of the second mortgage note holders, and investors should not rely on the lenders to act in the note holders' interests.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earnings or leverage and ratings tests specified in the second mortgage notes indenture are met, the note holders' liens on some of the real property collateral will be released.</w:t>
      </w:r>
    </w:p>
    <w:p>
      <w:pPr>
        <w:spacing w:after="0" w:line="18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liens on all of the golf course land and certain related water permits will be released after the third anniversary of commencing operations at Le Rêve if we achieve a ratio of total debt to earnings before interest, tax, depreciation and amortization of 3.0 to 1.0 or less, the indebtedness under our credit facilities is rated BB+ or higher by Standard &amp; Poor's and Ba1 or higher by Moody's Investors Service both before and after giving effect to the release of those liens and we satisfy specified conditions relating to water required for the Le Rêve casino water features and the golf course.</w:t>
      </w:r>
    </w:p>
    <w:p>
      <w:pPr>
        <w:spacing w:after="0" w:line="16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security interests in two acres of the golf course land will be released to allow the construction of a home for Mr. Wynn if the purchase price paid by Mr. Wynn is at least equal to the fair market value of that land, the sale proceeds are contributed by Wynn Resorts Holdings to Wynn Las Vegas as a capital contribution, the construction of Mr. Wynn's home will not interfere with the design, construction, operation or use of the remainder of the golf course land as a golf course and we satisfy specified conditions relating to water required for the Le Rêve casino water features and the golf course.</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Once the security interests in the Phase II land, the golf course land and the related water permits are released, the note holders will have only a second priority lien on the assets comprising the hotel and casino and the equity interests of the restricted subsidiaries of Valvino, and a third priority lien on the FF&amp;E facility collateral. See "—Risks Related to Our Substantial Indebtedness—The second mortgage notes will have a junior lien on a substantial portion of our assets, and will have no liens on certain assets."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8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creditors or the creditors of our guarantors could challenge the second mortgage note guarantees and the liens securing those guarantees as fraudulent conveyances or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grounds. Under the federal bankruptcy law and comparable provisions of state fraudulent transfer laws, the delivery of the guarantees and the grant of the second priority liens securing the guarantees could be avoided as fraudulent transfers if a court determined that the guarantor, at the time it incurred the indebtedness evidenced by its guarantee or granted its lien:</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ectPr>
          <w:pgSz w:w="11900" w:h="16933" w:orient="portrait"/>
          <w:cols w:equalWidth="0" w:num="1">
            <w:col w:w="11420"/>
          </w:cols>
          <w:pgMar w:left="240" w:top="131" w:right="239" w:bottom="0" w:gutter="0" w:footer="0" w:header="0"/>
        </w:sectPr>
      </w:pPr>
    </w:p>
    <w:bookmarkStart w:id="24" w:name="page25"/>
    <w:bookmarkEnd w:id="24"/>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the guarantees were avoided or limited under fraudulent transfer or other laws, any claim you may make against us for amounts payable on the second mortgage notes would be effectively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6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additional guarantees or liens on collateral provided after the second mortgage notes are issued could also be avoided as preferential transfers.</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that we and the existing guarantors acquire after the second mortgage notes are issued, and under certain circumstances, Wynn Resorts will be required to grant second priority liens on the same assets to secure its guarantee of the second mortgage notes. If any new guarantor, or Wynn Resorts or any other issuer or guarantor providing new collateral for the second mortgage notes, is insolvent or anticipates insolvency at the time the guarantee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lien is granted, the guarantee or lien, as applicable, could be avoided as a preferential transfer.</w:t>
      </w:r>
    </w:p>
    <w:p>
      <w:pPr>
        <w:spacing w:after="0" w:line="21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8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 fund payments in respect of the second mortgage notes. Accordingly, we may not be able to rely on the cash flow or assets of unrestricted subsidiaries to pay any of our indebtedness, including the second mortgage notes.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collateral securing the second mortgage notes includes real property and, as a result, holders of the second mortgage notes may be subject to certain environmental risks.</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and limitation of claims.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notes will be issued with original issue discount. As a result, the aggregate face amount of the notes will be $370 million, but the gross proceeds received by the issuers for the sale of the notes will be only approximately $343.3 million.</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 bankruptcy case, the claim of a noteholder may be less than the face amount. Unmatured interest may be excluded and the claim may be valued as the sum of the ratable share of the gross proceeds attributable to the holder's notes, plus a portion of the original issue discount, based on the time elapsed since issuance.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upon an event of default under the notes, the indenture will limit the noteholders' recovery to the then-outstanding principal amount.</w:t>
      </w:r>
    </w:p>
    <w:p>
      <w:pPr>
        <w:sectPr>
          <w:pgSz w:w="11900" w:h="16838" w:orient="portrait"/>
          <w:cols w:equalWidth="0" w:num="1">
            <w:col w:w="11420"/>
          </w:cols>
          <w:pgMar w:left="240" w:top="577" w:right="23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77" w:right="239" w:bottom="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There is no public market for the second mortgage notes, and we cannot assure you that a market for the second mortgage notes will develop.</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second mortgage notes are a new issue of securities for which there is currently no active trading market. We do not intend to file an application to have the second mortgage notes listed on any securities exchange or included for quotation on any automated dealer quotation system. Although the underwriters have informed us that they intend to make a market in the second mortgage notes as over-the-counter securities that are not traded on an exchange, they have no obligation to do so and may discontinue their market-making activity at any time without notice.</w:t>
      </w:r>
    </w:p>
    <w:p>
      <w:pPr>
        <w:spacing w:after="0" w:line="16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and our future direction.</w:t>
      </w:r>
    </w:p>
    <w:p>
      <w:pPr>
        <w:spacing w:after="0" w:line="25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After this offering and the offering of Wynn Resorts' common stock, Mr. Wynn and Aruze USA will each own approximately 32.9%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as a practical matter, control Wynn Resorts' board of directors.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second mortgage notes due to regulatory considerations, either as required by gaming authorities or in our discretion.</w:t>
      </w:r>
    </w:p>
    <w:p>
      <w:pPr>
        <w:spacing w:after="0" w:line="25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indenture will grant us the power to redeem the second mortgage notes that you own or control if any governmental gaming authority requires you, or a beneficial owner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second mortgage notes, to be licensed, qualified or found suitable under any applicable gaming law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governmental gaming authority)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you or such beneficial owner is determined by a governmental gaming authority to be unsuitable to own or control the second mortgage notes.</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foregoing circumstances, under the indenture, we will be able to redeem, and if required by the applicable gaming authority, we must redeem, your second mortgage notes to the extent required by the gaming authority or deemed necessary or advisable by us. The redemption price will be, in each case, together with accrued and unpaid interest on the second mortgage note, equal to:</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determined by the governmental gaming authority or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governmental gaming authority does not determine a price, the lesser of (1) the principal amount of the second mortgage notes and (2) the price that you or the beneficial owner paid for the second mortgage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200" w:firstLine="341"/>
        <w:spacing w:after="0" w:line="323" w:lineRule="auto"/>
        <w:rPr>
          <w:sz w:val="20"/>
          <w:szCs w:val="20"/>
          <w:color w:val="auto"/>
        </w:rPr>
      </w:pPr>
      <w:r>
        <w:rPr>
          <w:rFonts w:ascii="Arial" w:cs="Arial" w:eastAsia="Arial" w:hAnsi="Arial"/>
          <w:sz w:val="15"/>
          <w:szCs w:val="15"/>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w:t>
      </w:r>
    </w:p>
    <w:p>
      <w:pPr>
        <w:sectPr>
          <w:pgSz w:w="11900" w:h="16838" w:orient="portrait"/>
          <w:cols w:equalWidth="0" w:num="1">
            <w:col w:w="11420"/>
          </w:cols>
          <w:pgMar w:left="240" w:top="719" w:right="239" w:bottom="0" w:gutter="0" w:footer="0" w:header="0"/>
        </w:sectPr>
      </w:pPr>
    </w:p>
    <w:bookmarkStart w:id="26" w:name="page27"/>
    <w:bookmarkEnd w:id="26"/>
    <w:p>
      <w:pPr>
        <w:jc w:val="both"/>
        <w:ind w:right="580"/>
        <w:spacing w:after="0" w:line="259" w:lineRule="auto"/>
        <w:rPr>
          <w:sz w:val="20"/>
          <w:szCs w:val="20"/>
          <w:color w:val="auto"/>
        </w:rPr>
      </w:pPr>
      <w:r>
        <w:rPr>
          <w:rFonts w:ascii="Arial" w:cs="Arial" w:eastAsia="Arial" w:hAnsi="Arial"/>
          <w:sz w:val="18"/>
          <w:szCs w:val="18"/>
          <w:color w:val="auto"/>
        </w:rPr>
        <w:t>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risks associated with entering into a new venture and new construction, including our ability to construct and open Le Rêve on time and on budget;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expect to receive approximately $329.4 million in net proceeds from this offering, after deducting underwriting discounts and commissions and estimated offering expenses.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ind w:left="1080" w:right="22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Wynn Resorts will consummate an initial public offering of its common stock. We expect Wynn Resorts to raise approximately $450 million in gross proceeds for its initial public offering. Wynn Resorts will contribute to Wynn Las Vegas approximately $386.7 million of the net proceeds from the initial public offering. Additionally, if the underwriters for the initial public offering exercise their over-allotment option in full, we expect Wynn Resorts' net proceeds from the over-allotment exercise to be approximately $38.9 million. Wynn Resorts may, at its option, contribute those funds to us for our use, but is under no obligation to do so;</w:t>
      </w:r>
    </w:p>
    <w:p>
      <w:pPr>
        <w:spacing w:after="0" w:line="196"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enter into a $750.0 million revolving credit facility, a $250.0 million delay draw term loan facility and a $188.5 million FF&amp;E facility. We have received commitments for the credit facility and the delay draw term loan facility, and our placement agent for the FF&amp;E facility has received commitments from the lenders who will enter into the FF&amp;E facility. See "Description of Other Indebtedness."</w:t>
      </w:r>
    </w:p>
    <w:p>
      <w:pPr>
        <w:sectPr>
          <w:pgSz w:w="11900" w:h="16838" w:orient="portrait"/>
          <w:cols w:equalWidth="0" w:num="1">
            <w:col w:w="11420"/>
          </w:cols>
          <w:pgMar w:left="240" w:top="131" w:right="239" w:bottom="70" w:gutter="0" w:footer="0" w:header="0"/>
        </w:sectPr>
      </w:pPr>
    </w:p>
    <w:bookmarkStart w:id="27" w:name="page28"/>
    <w:bookmarkEnd w:id="27"/>
    <w:p>
      <w:pPr>
        <w:ind w:right="20" w:firstLine="348"/>
        <w:spacing w:after="0" w:line="291" w:lineRule="auto"/>
        <w:rPr>
          <w:sz w:val="20"/>
          <w:szCs w:val="20"/>
          <w:color w:val="auto"/>
        </w:rPr>
      </w:pPr>
      <w:r>
        <w:rPr>
          <w:rFonts w:ascii="Arial" w:cs="Arial" w:eastAsia="Arial" w:hAnsi="Arial"/>
          <w:sz w:val="16"/>
          <w:szCs w:val="16"/>
          <w:color w:val="auto"/>
        </w:rPr>
        <w:t>We intend to use the net proceeds from this offering, together with equity contributions from Wynn Resorts' initial public offering proceeds and Valvino's existing cash on hand,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 We expect to begin to request disbursements of the second mortgage note proceeds, subject to satisfaction of the conditions in the disbursement agreement, approximately ten to twelve months after the consummation of this offering.</w:t>
      </w:r>
    </w:p>
    <w:p>
      <w:pPr>
        <w:spacing w:after="0" w:line="174"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net proceeds from this offering will be used to fund the initial phases of construction, including contractor monthly payment applications, design fees and operational payroll and interest on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table sets forth estimated sources and uses by Wynn Las Vegas and the guarantor entities, of funds to design, develop, construct, equip and open Le Rêve and for other operations related primarily to the Le Rêve project. The table includes all sources and uses of funds since the inception of Valvino and its subsidiaries. The table assumes that the financing transactions, including this offering, closed on October 1, 2002. For purposes of calculating total construction costs, the revolving credit facility balance and interest and commitment fees, this table also includes certain final construction cost payments that we assume will be made after the opening of Le Rêve.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tcPr>
          <w:p>
            <w:pPr>
              <w:ind w:left="1240"/>
              <w:spacing w:after="0"/>
              <w:rPr>
                <w:sz w:val="20"/>
                <w:szCs w:val="20"/>
                <w:color w:val="auto"/>
              </w:rPr>
            </w:pPr>
            <w:r>
              <w:rPr>
                <w:rFonts w:ascii="Arial" w:cs="Arial" w:eastAsia="Arial" w:hAnsi="Arial"/>
                <w:sz w:val="14"/>
                <w:szCs w:val="14"/>
                <w:b w:val="1"/>
                <w:bCs w:val="1"/>
                <w:color w:val="auto"/>
              </w:rPr>
              <w:t>Sources (in millions)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Uses (in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Construction costs: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919.3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Interior design, related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mortgage notes (1)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343.3</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signage and electronic</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Interest income (3)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Miscellaneous capital projects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Construction period utilities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&amp; security</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contingency (5)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Total construction costs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 and buildings (6)</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Pre-opening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Owner-acquired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Entertainment production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expenditures (7)</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Aircraft acquisition and loan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repayment (8)</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Interest and commitment fees (9)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w w:val="94"/>
              </w:rPr>
              <w:t>Working capital needs at opening</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Construction completion guarantee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Liquidity reserve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Transaction fees and expenses (10)</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 Sources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2,479.0</w:t>
            </w:r>
          </w:p>
        </w:tc>
        <w:tc>
          <w:tcPr>
            <w:tcW w:w="22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-4627880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-4627880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-4627880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3"/>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84" w:lineRule="exact"/>
        <w:rPr>
          <w:rFonts w:ascii="Arial" w:cs="Arial" w:eastAsia="Arial" w:hAnsi="Arial"/>
          <w:sz w:val="27"/>
          <w:szCs w:val="27"/>
          <w:color w:val="auto"/>
          <w:vertAlign w:val="subscript"/>
        </w:rPr>
      </w:pPr>
    </w:p>
    <w:p>
      <w:pPr>
        <w:ind w:left="540" w:right="30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Represents contributions of (a) approximately $562.3 million of Valvino member net contributions from inception and (b) approximately $386.7 million of the anticipated net proceeds from Wynn Resorts' initial public offering.</w:t>
      </w:r>
    </w:p>
    <w:p>
      <w:pPr>
        <w:spacing w:after="0" w:line="70" w:lineRule="exact"/>
        <w:rPr>
          <w:rFonts w:ascii="Arial" w:cs="Arial" w:eastAsia="Arial" w:hAnsi="Arial"/>
          <w:sz w:val="24"/>
          <w:szCs w:val="24"/>
          <w:color w:val="auto"/>
          <w:vertAlign w:val="subscript"/>
        </w:rPr>
      </w:pPr>
    </w:p>
    <w:p>
      <w:pPr>
        <w:ind w:left="540" w:right="80" w:hanging="532"/>
        <w:spacing w:after="0" w:line="188" w:lineRule="auto"/>
        <w:tabs>
          <w:tab w:leader="none" w:pos="540" w:val="left"/>
        </w:tabs>
        <w:numPr>
          <w:ilvl w:val="0"/>
          <w:numId w:val="43"/>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ectPr>
          <w:pgSz w:w="11900" w:h="16838" w:orient="portrait"/>
          <w:cols w:equalWidth="0" w:num="1">
            <w:col w:w="11420"/>
          </w:cols>
          <w:pgMar w:left="240" w:top="131" w:right="239" w:bottom="76"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type w:val="continuous"/>
        </w:sectPr>
      </w:pPr>
    </w:p>
    <w:bookmarkStart w:id="28" w:name="page29"/>
    <w:bookmarkEnd w:id="28"/>
    <w:p>
      <w:pPr>
        <w:ind w:left="540" w:right="160" w:hanging="532"/>
        <w:spacing w:after="0" w:line="279" w:lineRule="auto"/>
        <w:tabs>
          <w:tab w:leader="none" w:pos="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12"/>
          <w:szCs w:val="12"/>
          <w:color w:val="auto"/>
        </w:rPr>
      </w:pPr>
    </w:p>
    <w:p>
      <w:pPr>
        <w:ind w:left="540" w:right="48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98" w:lineRule="auto"/>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4"/>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right="340" w:hanging="532"/>
        <w:spacing w:after="0" w:line="20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84"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5.50% margin for the delay draw term loan facility.</w:t>
      </w:r>
    </w:p>
    <w:p>
      <w:pPr>
        <w:ind w:left="540" w:hanging="532"/>
        <w:spacing w:after="0" w:line="187" w:lineRule="auto"/>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and (b) the revolving credit facility, the delay draw term loan facility and the FF&amp;E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the capitalization of Wynn Las Vegas, Wynn Capital and the guarantors of the second mortgage notes as of June 30, 2002:</w:t>
      </w:r>
    </w:p>
    <w:p>
      <w:pPr>
        <w:spacing w:after="0" w:line="26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$370 million in aggregate principal amount of the second mortgage notes in this offering and the expected contributions by Wynn Resorts to Wynn Las Vegas of $386.7 million in net proceeds from Wynn Resorts' initial public offering; and</w:t>
      </w:r>
    </w:p>
    <w:p>
      <w:pPr>
        <w:spacing w:after="0" w:line="207"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the FF&amp;E facility and the contributions from Wynn Resorts expected to be necessary for the construction of Le Rêve has occurred. See "Use of Proceeds." We have assumed that approximately $718.5 million of the $750 million revolving credit facility will be drawn for the construction of Le Rêve.</w:t>
      </w:r>
    </w:p>
    <w:p>
      <w:pPr>
        <w:spacing w:after="0" w:line="197"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As of June 30, 2002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Pro Forma for the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Note Offering</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and Capital</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(As restated)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Contributions</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w:t>
            </w:r>
          </w:p>
        </w:tc>
        <w:tc>
          <w:tcPr>
            <w:tcW w:w="112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w:t>
            </w: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FF&amp;E facility(1)</w:t>
            </w:r>
          </w:p>
        </w:tc>
        <w:tc>
          <w:tcPr>
            <w:tcW w:w="112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Second mortgage notes (net of unamortized discount)(2)</w:t>
            </w: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Other long-term debt(1)(3)</w:t>
            </w:r>
          </w:p>
        </w:tc>
        <w:tc>
          <w:tcPr>
            <w:tcW w:w="1120" w:type="dxa"/>
            <w:vAlign w:val="bottom"/>
          </w:tcPr>
          <w:p>
            <w:pPr>
              <w:jc w:val="right"/>
              <w:ind w:right="96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Contributed capital(4)</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562.3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(36.7)</w:t>
            </w:r>
          </w:p>
        </w:tc>
        <w:tc>
          <w:tcPr>
            <w:tcW w:w="220" w:type="dxa"/>
            <w:vAlign w:val="bottom"/>
          </w:tcPr>
          <w:p>
            <w:pPr>
              <w:spacing w:after="0"/>
              <w:rPr>
                <w:sz w:val="20"/>
                <w:szCs w:val="20"/>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Members' Equity (Excluding Non-Guarantors)(5)</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525.6</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120" w:type="dxa"/>
            <w:vAlign w:val="bottom"/>
          </w:tcPr>
          <w:p>
            <w:pPr>
              <w:jc w:val="right"/>
              <w:ind w:right="96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554.4</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1,284.4</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2,413.2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-3230245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-3230245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-2604135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-2604135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-2604135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-2604135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-2604135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-2604135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-1540510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-1540510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-1540510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-1540510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-1540510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-1540510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-786130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-786130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-786130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-786130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-786130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-786130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-477520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-477520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5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ind w:left="540" w:hanging="532"/>
        <w:spacing w:after="0" w:line="198"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71" w:lineRule="exact"/>
        <w:rPr>
          <w:rFonts w:ascii="Arial" w:cs="Arial" w:eastAsia="Arial" w:hAnsi="Arial"/>
          <w:sz w:val="27"/>
          <w:szCs w:val="27"/>
          <w:color w:val="auto"/>
          <w:vertAlign w:val="subscript"/>
        </w:rPr>
      </w:pPr>
    </w:p>
    <w:p>
      <w:pPr>
        <w:ind w:left="540" w:right="120" w:hanging="532"/>
        <w:spacing w:after="0" w:line="214"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3" w:lineRule="exact"/>
        <w:rPr>
          <w:rFonts w:ascii="Arial" w:cs="Arial" w:eastAsia="Arial" w:hAnsi="Arial"/>
          <w:sz w:val="24"/>
          <w:szCs w:val="24"/>
          <w:color w:val="auto"/>
          <w:vertAlign w:val="subscript"/>
        </w:rPr>
      </w:pPr>
    </w:p>
    <w:p>
      <w:pPr>
        <w:ind w:left="540" w:right="32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Contributed capital on a pro forma and pro forma as adjusted basis includes the expected contributions by Wynn Resorts to Wynn Las Vegas of $386.7 million in net proceeds from Wynn Resorts' initial public offering.</w:t>
      </w:r>
    </w:p>
    <w:p>
      <w:pPr>
        <w:spacing w:after="0" w:line="84" w:lineRule="exact"/>
        <w:rPr>
          <w:rFonts w:ascii="Arial" w:cs="Arial" w:eastAsia="Arial" w:hAnsi="Arial"/>
          <w:sz w:val="24"/>
          <w:szCs w:val="24"/>
          <w:color w:val="auto"/>
          <w:vertAlign w:val="subscript"/>
        </w:rPr>
      </w:pPr>
    </w:p>
    <w:p>
      <w:pPr>
        <w:ind w:left="540" w:right="4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Excludes members' equity of approximately $22.3 million of the non-guarantor subsidiaries Valvino had as of June 30, 2002, including Wynn Macau. For more information on the non-guarantor entities, see Note 11 to the financial statements included in this prospectus.</w:t>
      </w:r>
    </w:p>
    <w:p>
      <w:pPr>
        <w:sectPr>
          <w:pgSz w:w="11900" w:h="16838" w:orient="portrait"/>
          <w:cols w:equalWidth="0" w:num="1">
            <w:col w:w="11400"/>
          </w:cols>
          <w:pgMar w:left="240" w:top="129" w:right="259" w:bottom="468"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468" w:gutter="0" w:footer="0" w:header="0"/>
          <w:type w:val="continuous"/>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PRINCIPAL STOCKHOLDERS OF WYNN RESORTS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Japan and holds a significant share of Japan's pachislot machine market in terms of annual sales.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7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October 2002, Valvino transferred its interests in Wynn Group Asia, Inc., Kevyn, LLC, Rambas Marketing Co., LLC, Toasty, LLC and WorldWide Wynn, LLC to Wynn Resorts. Therefore, following this offering, the assets and operations of the restricted group will no longer include those of such subsidiaries.</w:t>
      </w:r>
    </w:p>
    <w:p>
      <w:pPr>
        <w:spacing w:after="0" w:line="122" w:lineRule="exact"/>
        <w:rPr>
          <w:sz w:val="20"/>
          <w:szCs w:val="20"/>
          <w:color w:val="auto"/>
        </w:rPr>
      </w:pPr>
    </w:p>
    <w:tbl>
      <w:tblPr>
        <w:tblLayout w:type="fixed"/>
        <w:tblInd w:w="390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2000</w:t>
            </w:r>
          </w:p>
        </w:tc>
        <w:tc>
          <w:tcPr>
            <w:tcW w:w="16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2001</w:t>
            </w:r>
          </w:p>
        </w:tc>
        <w:tc>
          <w:tcPr>
            <w:tcW w:w="14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2001</w:t>
            </w:r>
          </w:p>
        </w:tc>
        <w:tc>
          <w:tcPr>
            <w:tcW w:w="14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2002</w:t>
            </w:r>
          </w:p>
        </w:tc>
        <w:tc>
          <w:tcPr>
            <w:tcW w:w="14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3"/>
              </w:rPr>
              <w:t>2002</w:t>
            </w:r>
          </w:p>
        </w:tc>
      </w:tr>
      <w:tr>
        <w:trPr>
          <w:trHeight w:val="17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2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(As restated)</w:t>
            </w:r>
          </w:p>
        </w:tc>
      </w:tr>
      <w:tr>
        <w:trPr>
          <w:trHeight w:val="105"/>
        </w:trPr>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04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25"/>
              <w:spacing w:after="0"/>
              <w:rPr>
                <w:sz w:val="20"/>
                <w:szCs w:val="20"/>
                <w:color w:val="auto"/>
              </w:rPr>
            </w:pPr>
            <w:r>
              <w:rPr>
                <w:rFonts w:ascii="Arial" w:cs="Arial" w:eastAsia="Arial" w:hAnsi="Arial"/>
                <w:sz w:val="18"/>
                <w:szCs w:val="18"/>
                <w:color w:val="auto"/>
                <w:w w:val="89"/>
              </w:rPr>
              <w:t>87</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945</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gridSpan w:val="5"/>
          </w:tcPr>
          <w:p>
            <w:pPr>
              <w:ind w:left="220"/>
              <w:spacing w:after="0"/>
              <w:rPr>
                <w:sz w:val="20"/>
                <w:szCs w:val="20"/>
                <w:color w:val="auto"/>
              </w:rPr>
            </w:pPr>
            <w:r>
              <w:rPr>
                <w:rFonts w:ascii="Arial" w:cs="Arial" w:eastAsia="Arial" w:hAnsi="Arial"/>
                <w:sz w:val="18"/>
                <w:szCs w:val="18"/>
                <w:color w:val="auto"/>
                <w:w w:val="95"/>
              </w:rPr>
              <w:t>Net Loss Accumulated During the Development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Stage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(17,726)</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31, 2000</w:t>
            </w:r>
          </w:p>
        </w:tc>
        <w:tc>
          <w:tcPr>
            <w:tcW w:w="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2001</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 2002</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(As restated)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(As restated)</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387,084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388,543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586,036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384,230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544,948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-879475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-879475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-879475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-879475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-879475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-879475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Cover Fixed Charges(2)</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Earnings Deficiency</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(17,726)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-443230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-443230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-443230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-443230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-443230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7"/>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7"/>
        </w:numPr>
        <w:rPr>
          <w:rFonts w:ascii="Arial" w:cs="Arial" w:eastAsia="Arial" w:hAnsi="Arial"/>
          <w:sz w:val="23"/>
          <w:szCs w:val="23"/>
          <w:color w:val="auto"/>
          <w:vertAlign w:val="subscript"/>
        </w:rPr>
      </w:pPr>
      <w:r>
        <w:rPr>
          <w:rFonts w:ascii="Arial" w:cs="Arial" w:eastAsia="Arial" w:hAnsi="Arial"/>
          <w:sz w:val="12"/>
          <w:szCs w:val="12"/>
          <w:color w:val="auto"/>
        </w:rPr>
        <w:t>For the periods presented, earnings were not sufficient to cover fixed charges and, accordingly, such ratios have not been presented.</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right="420" w:firstLine="341"/>
        <w:spacing w:after="0" w:line="306" w:lineRule="auto"/>
        <w:rPr>
          <w:sz w:val="20"/>
          <w:szCs w:val="20"/>
          <w:color w:val="auto"/>
        </w:rPr>
      </w:pPr>
      <w:r>
        <w:rPr>
          <w:rFonts w:ascii="Arial" w:cs="Arial" w:eastAsia="Arial" w:hAnsi="Arial"/>
          <w:sz w:val="16"/>
          <w:szCs w:val="16"/>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We have not included a discussion of the Macau related entities in Management's Discussion and Analysis of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as the development of the Macau casino will have no effect on the financial position or results of operations of Wynn Las Vegas and Wynn Capital.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financial position and operating results of World Travel and Las Vegas Jet, which include principally the operation and charter services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aircraft, are included in Valvino's financial statements. Moreover, we continue to operate an art gallery displaying works from The Wynn Collection,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consists of artwork from the personal art collection of Stephen and Elaine Wynn. Until summer 2002, we also operated the golf course located on the 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former Desert Inn Resort &amp; Casino. Valvino's historical operating results will not be indicative of future operating results.</w:t>
      </w:r>
    </w:p>
    <w:p>
      <w:pPr>
        <w:spacing w:after="0" w:line="219"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 Wynn Macau and the other Macau-related entities are part of a line of subsidiaries that is separate from the subsidiaries that own and operate Le Rêve. As a result, cash flow generated by the Macau-related entities may not be available to service our indebtedness, including our obligations under the second mortgage notes, or support our operations. Moreover, the assets of the Macau-related entities will not serve as collateral for our Le Rêve-related indebtedness or for Wynn Resorts' guarantee. Accordingly, the following discussion does not address the operations or assets of the Macau-related entities.</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Valvino was organized in April 2000. Wynn Las Vegas was organized in April 2001 and Wynn Capital was formed in June 2002.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w:t>
      </w:r>
    </w:p>
    <w:p>
      <w:pPr>
        <w:sectPr>
          <w:pgSz w:w="11900" w:h="16838" w:orient="portrait"/>
          <w:cols w:equalWidth="0" w:num="1">
            <w:col w:w="11520"/>
          </w:cols>
          <w:pgMar w:left="240" w:top="140" w:right="139" w:bottom="0" w:gutter="0" w:footer="0" w:header="0"/>
        </w:sectPr>
      </w:pPr>
    </w:p>
    <w:bookmarkStart w:id="31" w:name="page32"/>
    <w:bookmarkEnd w:id="31"/>
    <w:p>
      <w:pPr>
        <w:ind w:right="280"/>
        <w:spacing w:after="0" w:line="268" w:lineRule="auto"/>
        <w:rPr>
          <w:sz w:val="20"/>
          <w:szCs w:val="20"/>
          <w:color w:val="auto"/>
        </w:rPr>
      </w:pPr>
      <w:r>
        <w:rPr>
          <w:rFonts w:ascii="Arial" w:cs="Arial" w:eastAsia="Arial" w:hAnsi="Arial"/>
          <w:sz w:val="18"/>
          <w:szCs w:val="18"/>
          <w:color w:val="auto"/>
        </w:rPr>
        <w:t>course located behind the hotel, will occupy approximately 192 acres of a 212-acre parcel of land on the Las Vegas Strip in Las Vegas, Nevada. We expect Le Rêve to commence operations in April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2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w:t>
      </w:r>
    </w:p>
    <w:p>
      <w:pPr>
        <w:sectPr>
          <w:pgSz w:w="11900" w:h="16838" w:orient="portrait"/>
          <w:cols w:equalWidth="0" w:num="1">
            <w:col w:w="11360"/>
          </w:cols>
          <w:pgMar w:left="240" w:top="131" w:right="299" w:bottom="184"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84"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approximately $8 million for the year ended December 31, 2001 as compared to the period from inception to December 31, 2000.</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$750,000 decrease in interest income from 2002 to 2001. This reduction in interest income is mainly attributable to lower interest rates during the six months ended June 30, 2002 as compared to the six months ended June 30, 2001.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68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w:t>
      </w:r>
    </w:p>
    <w:p>
      <w:pPr>
        <w:sectPr>
          <w:pgSz w:w="11900" w:h="16838" w:orient="portrait"/>
          <w:cols w:equalWidth="0" w:num="1">
            <w:col w:w="11380"/>
          </w:cols>
          <w:pgMar w:left="240" w:top="590" w:right="279" w:bottom="0" w:gutter="0" w:footer="0" w:header="0"/>
        </w:sectPr>
      </w:pPr>
    </w:p>
    <w:bookmarkStart w:id="33" w:name="page34"/>
    <w:bookmarkEnd w:id="33"/>
    <w:p>
      <w:pPr>
        <w:spacing w:after="0" w:line="294" w:lineRule="auto"/>
        <w:rPr>
          <w:sz w:val="20"/>
          <w:szCs w:val="20"/>
          <w:color w:val="auto"/>
        </w:rPr>
      </w:pPr>
      <w:r>
        <w:rPr>
          <w:rFonts w:ascii="Arial" w:cs="Arial" w:eastAsia="Arial" w:hAnsi="Arial"/>
          <w:sz w:val="16"/>
          <w:szCs w:val="16"/>
          <w:color w:val="auto"/>
        </w:rPr>
        <w:t>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administrative agent, to make an approximately $110.5 million equity distribution to Mr. Wynn. At the time of this distribution, Mr. Wynn was the only member of Valvino.</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100" w:hanging="532"/>
        <w:spacing w:after="0" w:line="28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 resulting 47.5% ownership interest in Valvino, after these contributions, reflects the fair value of his investment in Wynn Macau relative to the fair value of the contributions from Aruze USA and Baron Asset Fund;</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0"/>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0"/>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40" w:hanging="532"/>
        <w:spacing w:after="0" w:line="186"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ectPr>
          <w:pgSz w:w="11900" w:h="16838" w:orient="portrait"/>
          <w:cols w:equalWidth="0" w:num="1">
            <w:col w:w="11360"/>
          </w:cols>
          <w:pgMar w:left="240" w:top="131" w:right="299" w:bottom="0" w:gutter="0" w:footer="0" w:header="0"/>
        </w:sectPr>
      </w:pPr>
    </w:p>
    <w:bookmarkStart w:id="34" w:name="page35"/>
    <w:bookmarkEnd w:id="34"/>
    <w:p>
      <w:pPr>
        <w:ind w:firstLine="341"/>
        <w:spacing w:after="0" w:line="268" w:lineRule="auto"/>
        <w:rPr>
          <w:sz w:val="20"/>
          <w:szCs w:val="20"/>
          <w:color w:val="auto"/>
        </w:rPr>
      </w:pPr>
      <w:r>
        <w:rPr>
          <w:rFonts w:ascii="Arial" w:cs="Arial" w:eastAsia="Arial" w:hAnsi="Arial"/>
          <w:sz w:val="18"/>
          <w:szCs w:val="18"/>
          <w:color w:val="auto"/>
        </w:rPr>
        <w:t>At June 30, 2002, Valvino had approximately $187.9 million ($160.9 million excluding the cash held by non-guarantor entities)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our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our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this offering of second mortgage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because Wynn Resorts' Macau-related subsidiaries are not guarantors of the second mortgage notes or any other Le Rêve-related indebtedness. All time periods in these tables 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measured from the closing of this offering and are based upon our best estimate at this time of our expected long-term indebtedness and commercial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6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Less than 1 Year</w:t>
            </w:r>
          </w:p>
        </w:tc>
        <w:tc>
          <w:tcPr>
            <w:tcW w:w="6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83"/>
              </w:rPr>
              <w:t>1-3 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20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1"/>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0.1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20" w:type="dxa"/>
            <w:vAlign w:val="bottom"/>
            <w:gridSpan w:val="4"/>
          </w:tcPr>
          <w:p>
            <w:pPr>
              <w:spacing w:after="0"/>
              <w:rPr>
                <w:sz w:val="20"/>
                <w:szCs w:val="20"/>
                <w:color w:val="auto"/>
              </w:rPr>
            </w:pPr>
            <w:r>
              <w:rPr>
                <w:rFonts w:ascii="Arial" w:cs="Arial" w:eastAsia="Arial" w:hAnsi="Arial"/>
                <w:sz w:val="18"/>
                <w:szCs w:val="18"/>
                <w:color w:val="auto"/>
              </w:rPr>
              <w:t>Total long-term indebtedness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79"/>
              </w:rPr>
              <w:t>0.1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12"/>
          </w:tcPr>
          <w:p>
            <w:pPr>
              <w:jc w:val="center"/>
              <w:ind w:right="40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Over</w:t>
            </w:r>
          </w:p>
        </w:tc>
        <w:tc>
          <w:tcPr>
            <w:tcW w:w="0" w:type="dxa"/>
            <w:vAlign w:val="bottom"/>
          </w:tcPr>
          <w:p>
            <w:pPr>
              <w:spacing w:after="0"/>
              <w:rPr>
                <w:sz w:val="1"/>
                <w:szCs w:val="1"/>
                <w:color w:val="auto"/>
              </w:rPr>
            </w:pPr>
          </w:p>
        </w:tc>
      </w:tr>
      <w:tr>
        <w:trPr>
          <w:trHeight w:val="174"/>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0"/>
              </w:rPr>
              <w:t>Committed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660" w:type="dxa"/>
            <w:vAlign w:val="bottom"/>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259.8</w:t>
            </w:r>
          </w:p>
        </w:tc>
        <w:tc>
          <w:tcPr>
            <w:tcW w:w="660" w:type="dxa"/>
            <w:vAlign w:val="bottom"/>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-3582035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-3582035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-3238500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-3238500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-3238500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-3238500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-3238500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-3238500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-3238500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-3238500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-3238500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-3238500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-3238500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-2149475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-2149475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-2149475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-2149475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-2149475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-2149475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-2149475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-2149475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-2149475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-2149475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-1591945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-1155065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-1155065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-1155065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-1155065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-1155065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-1155065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jc w:val="both"/>
        <w:ind w:left="540" w:right="40" w:hanging="532"/>
        <w:spacing w:after="0" w:line="205" w:lineRule="auto"/>
        <w:tabs>
          <w:tab w:leader="none" w:pos="540" w:val="left"/>
        </w:tabs>
        <w:numPr>
          <w:ilvl w:val="0"/>
          <w:numId w:val="52"/>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$718.5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71"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120" w:hanging="532"/>
        <w:spacing w:after="0" w:line="222" w:lineRule="auto"/>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Transactions—Aircraft Arrangements." World Travel intends to issue Wynn Las Vegas an intercompany note in the amount of the funds received by it to repay the</w:t>
      </w:r>
    </w:p>
    <w:p>
      <w:pPr>
        <w:sectPr>
          <w:pgSz w:w="11900" w:h="16838" w:orient="portrait"/>
          <w:cols w:equalWidth="0" w:num="1">
            <w:col w:w="11400"/>
          </w:cols>
          <w:pgMar w:left="240" w:top="131" w:right="259" w:bottom="0" w:gutter="0" w:footer="0" w:header="0"/>
        </w:sectPr>
      </w:pPr>
    </w:p>
    <w:bookmarkStart w:id="35" w:name="page36"/>
    <w:bookmarkEnd w:id="35"/>
    <w:p>
      <w:pPr>
        <w:ind w:left="540"/>
        <w:spacing w:after="0"/>
        <w:rPr>
          <w:sz w:val="20"/>
          <w:szCs w:val="20"/>
          <w:color w:val="auto"/>
        </w:rPr>
      </w:pPr>
      <w:r>
        <w:rPr>
          <w:rFonts w:ascii="Arial" w:cs="Arial" w:eastAsia="Arial" w:hAnsi="Arial"/>
          <w:sz w:val="14"/>
          <w:szCs w:val="14"/>
          <w:color w:val="auto"/>
        </w:rPr>
        <w:t>Bank of America loan.</w:t>
      </w:r>
    </w:p>
    <w:p>
      <w:pPr>
        <w:spacing w:after="0" w:line="82" w:lineRule="exact"/>
        <w:rPr>
          <w:sz w:val="20"/>
          <w:szCs w:val="20"/>
          <w:color w:val="auto"/>
        </w:rPr>
      </w:pPr>
    </w:p>
    <w:p>
      <w:pPr>
        <w:ind w:left="540" w:right="10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53"/>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joint book-running managers of this offering and Wynn Resorts' initial public offering. The revolving credit facility will mature on the sixth anniversary of the closing of the credit facilities. Borrowings under the delay draw term loan facility will be available for 27 months after the closing of the credit facilities and will be repayable in quarterly installments from the first full fiscal quarter after completion of Le Rêve until the seventh anniversary of the closing of the credit facilities in amounts to be determined. The credit facilities will close concurrently with the closing of this offering. All amounts outstanding under the credit facilities will bear interest, at our option (subject to certain limitations), at either (1) a base rate equal to the greater of the prime lending rate as stated in the British Banking Association Telerate page 5 and 0.5% in excess of the federal funds rate or (2) the Eurodollar rate, as determined by the administrative agent, in both cases plus certain margins. For each year after Le Rêve commences operations, we will be required to prepay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Proceeds," "Certain Relationships and Related Transactions—Aircraft Arrangements" and "Description of Other Indebtedness."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Las Vegas and Wynn Capital, each of which is an indirect subsidiary of Valvino, are jointly offering $370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 senior unsecured basis, but will not be subject to the restrictive covenants in its subsidiaries' debt facilities. In the event that Wynn Resorts grants specified liens to secure other guarantees or indebtedness, then Wynn Resorts will be required to grant second priority liens on the same assets to secure its guarantees of the second mortgage notes. The domestic and foreign subsidiaries of Wynn Resorts related to the Macau opportunity will not be guarantors and will not be subject to the covenants in the second mortgage notes or the 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representatives for the lenders under our credit facilities and the trustee for the second mortgage notes may release the liens on the approximately 137-acre golf course parcel and related water rights. Our credit facility and indenture will provide that the liens will be released after the third anniversary of commencing operations at Le Rêve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 and Wynn Las Vegas satisfies certain conditions related to water required for the Le Rêve casino water features.</w:t>
      </w:r>
    </w:p>
    <w:p>
      <w:pPr>
        <w:sectPr>
          <w:pgSz w:w="11900" w:h="16838" w:orient="portrait"/>
          <w:cols w:equalWidth="0" w:num="1">
            <w:col w:w="11420"/>
          </w:cols>
          <w:pgMar w:left="240" w:top="129" w:right="239" w:bottom="160" w:gutter="0" w:footer="0" w:header="0"/>
        </w:sectPr>
      </w:pPr>
    </w:p>
    <w:bookmarkStart w:id="36" w:name="page37"/>
    <w:bookmarkEnd w:id="36"/>
    <w:p>
      <w:pPr>
        <w:spacing w:after="0" w:line="6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us fair market value for the property.</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Finally, the credit facilities will provide that the liens on the 20-acre parcel fronting Las Vegas Boulevard adjacent to the site of Le Rêve will be released by representatives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lenders under the credit facilities if we meet certain earnings before interest, taxes, depreciation and amortization targets for four consecutive calendar quarters after the commencement of operations at Le Rêve and Wynn Las Vegas satisfies certain conditions related to water required for the Le Rêve casino water features and the golf course.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and Wynn Las Vegas satisfies certain conditions related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the Offering and the Second Mortgage Notes—If earnings or leverage and ratings tests specified in the second mortgage notes indenture are met, the note holders' liens on some of the real property collateral will be released" and "—If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to Wynn Las Vegas by Wynn Resorts before accessing the proceeds from the offering of the second mortgage notes. The disbursement agreement also requires us to use all of the proceeds from this offering of second mortgage notes, other than amounts sufficient to pay interest on the two ensuing payment dates,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14-17 months after the closing of this offering and after applying all of the proceeds of this offering towards the development and construction of Le Rêve.</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w:t>
      </w:r>
    </w:p>
    <w:p>
      <w:pPr>
        <w:sectPr>
          <w:pgSz w:w="11900" w:h="16898" w:orient="portrait"/>
          <w:cols w:equalWidth="0" w:num="1">
            <w:col w:w="11420"/>
          </w:cols>
          <w:pgMar w:left="240" w:top="131" w:right="239" w:bottom="0" w:gutter="0" w:footer="0" w:header="0"/>
        </w:sectPr>
      </w:pPr>
    </w:p>
    <w:bookmarkStart w:id="37" w:name="page38"/>
    <w:bookmarkEnd w:id="37"/>
    <w:p>
      <w:pPr>
        <w:spacing w:after="0" w:line="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Risks Associated with Our Construction of Le Rêve—The development costs of Le Rêve are estimates only, and actual development costs may be higher than expected." The disbursement agreement will contain conditions precedent to our entering into scope change orders that will increase or decrease the anticipated costs of the project. These conditions will require us to fund equity into an account subject to a security interest in favor of the lenders under the credit facilities and the holders of the second mortgage notes or to allocate realized cost savings then available under the project budget in an amount equal to the anticipated incremental cost of the change orders. In addition,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or against assets of Wynn Resorts if and to the extent that liens on assets of Wynn Resorts then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Initial Public Offering of Wynn Resorts</w:t>
      </w:r>
    </w:p>
    <w:p>
      <w:pPr>
        <w:spacing w:after="0" w:line="225" w:lineRule="exact"/>
        <w:rPr>
          <w:sz w:val="20"/>
          <w:szCs w:val="20"/>
          <w:color w:val="auto"/>
        </w:rPr>
      </w:pPr>
    </w:p>
    <w:p>
      <w:pPr>
        <w:ind w:right="1060" w:firstLine="351"/>
        <w:spacing w:after="0" w:line="268" w:lineRule="auto"/>
        <w:rPr>
          <w:sz w:val="20"/>
          <w:szCs w:val="20"/>
          <w:color w:val="auto"/>
        </w:rPr>
      </w:pPr>
      <w:r>
        <w:rPr>
          <w:rFonts w:ascii="Arial" w:cs="Arial" w:eastAsia="Arial" w:hAnsi="Arial"/>
          <w:sz w:val="18"/>
          <w:szCs w:val="18"/>
          <w:color w:val="auto"/>
        </w:rPr>
        <w:t>Concurrent with this offering, Wynn Resorts will offer shares of its common stock in an initial public offering with expected gross proceeds of approximately $450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Following the completion of Le Rêve, we expect to fund our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If Wynn Resorts grants specified liens to secure other guarantees or indebtedness, then the credit facilities and second mortgage notes will be secured by liens on the same assets with the same relative priorities as the credit facilities and the second mortgage notes. We cannot assure you that we will be able to refinance any of our indebtedness, including the credit facilities, the FF&amp;E facility or the second mortgage notes on acceptable terms or at all. See "Risk Factors—Risks Related to Our Substantial Indebtedness—We may not generate sufficient cash flow to meet our substantial debt service and other obligations, including our obligations under the second mortgage notes."</w:t>
      </w:r>
    </w:p>
    <w:p>
      <w:pPr>
        <w:spacing w:after="0" w:line="177"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Wynn Resorts will contribute $30 million of the net proceeds of its common stock offering to Wynn Las Vegas to be held in a liquidity reserve account and pledged to the lenders under the credit facilities and the holders of the second mortgage notes to secure Wynn Las Vegas' obligation to develop and construct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holders of the second mortgage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any remaining funds will be used to reduce the outstanding balance of our revolving credit facility, but without reducing the revolving credit facility commitment.</w:t>
      </w:r>
    </w:p>
    <w:p>
      <w:pPr>
        <w:spacing w:after="0" w:line="15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w:t>
      </w:r>
    </w:p>
    <w:p>
      <w:pPr>
        <w:sectPr>
          <w:pgSz w:w="11900" w:h="16926" w:orient="portrait"/>
          <w:cols w:equalWidth="0" w:num="1">
            <w:col w:w="11420"/>
          </w:cols>
          <w:pgMar w:left="240" w:top="131" w:right="239" w:bottom="0" w:gutter="0" w:footer="0" w:header="0"/>
        </w:sectPr>
      </w:pPr>
    </w:p>
    <w:bookmarkStart w:id="38" w:name="page39"/>
    <w:bookmarkEnd w:id="38"/>
    <w:p>
      <w:pPr>
        <w:spacing w:after="0" w:line="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Showcase the "Wynn Brand." </w:t>
      </w:r>
      <w:r>
        <w:rPr>
          <w:rFonts w:ascii="Arial" w:cs="Arial" w:eastAsia="Arial" w:hAnsi="Arial"/>
          <w:sz w:val="18"/>
          <w:szCs w:val="18"/>
          <w:color w:val="auto"/>
        </w:rPr>
        <w:t>We believe that Mr. Wynn's involvement with Le Rêve provides a distinct advantage over other gaming enterprises in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major hotel destination casino resorts he has previously developed, Mr. Wynn has successfully employed a formula which integrates luxurious surroundings, upscale design,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82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Mirage(1)</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Bellagio(1)</w:t>
            </w: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1998(2)</w:t>
            </w: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540" w:type="dxa"/>
            <w:vAlign w:val="bottom"/>
          </w:tcPr>
          <w:p>
            <w:pPr>
              <w:jc w:val="right"/>
              <w:spacing w:after="0"/>
              <w:rPr>
                <w:sz w:val="20"/>
                <w:szCs w:val="20"/>
                <w:color w:val="auto"/>
              </w:rPr>
            </w:pPr>
            <w:r>
              <w:rPr>
                <w:rFonts w:ascii="Arial" w:cs="Arial" w:eastAsia="Arial" w:hAnsi="Arial"/>
                <w:sz w:val="18"/>
                <w:szCs w:val="18"/>
                <w:color w:val="auto"/>
              </w:rPr>
              <w:t>3,005</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-491490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-491490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-491490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-491490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-491490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-491490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107,200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155,000</w:t>
            </w:r>
          </w:p>
        </w:tc>
        <w:tc>
          <w:tcPr>
            <w:tcW w:w="1680" w:type="dxa"/>
            <w:vAlign w:val="bottom"/>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2,433</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35,000(2)</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92,160(6)</w:t>
            </w:r>
          </w:p>
        </w:tc>
        <w:tc>
          <w:tcPr>
            <w:tcW w:w="1680" w:type="dxa"/>
            <w:vAlign w:val="bottom"/>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170,000(8)</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125,000(6)</w:t>
            </w:r>
          </w:p>
        </w:tc>
        <w:tc>
          <w:tcPr>
            <w:tcW w:w="1680" w:type="dxa"/>
            <w:vAlign w:val="bottom"/>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Approx. Showroom Seating (#)</w:t>
            </w:r>
          </w:p>
        </w:tc>
        <w:tc>
          <w:tcPr>
            <w:tcW w:w="4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2,769(8)</w:t>
            </w:r>
          </w:p>
        </w:tc>
        <w:tc>
          <w:tcPr>
            <w:tcW w:w="2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1,800(6)</w:t>
            </w:r>
          </w:p>
        </w:tc>
        <w:tc>
          <w:tcPr>
            <w:tcW w:w="168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12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54 ft. erupting</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volcano</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"O" (Cirque du</w:t>
            </w:r>
          </w:p>
        </w:tc>
        <w:tc>
          <w:tcPr>
            <w:tcW w:w="1680" w:type="dxa"/>
            <w:vAlign w:val="bottom"/>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Dolphin habitat</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Soleil)</w:t>
            </w:r>
          </w:p>
        </w:tc>
        <w:tc>
          <w:tcPr>
            <w:tcW w:w="1680" w:type="dxa"/>
            <w:vAlign w:val="bottom"/>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100 ft atrium with</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tropical garden</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conservatory</w:t>
            </w:r>
          </w:p>
        </w:tc>
        <w:tc>
          <w:tcPr>
            <w:tcW w:w="1680" w:type="dxa"/>
            <w:vAlign w:val="bottom"/>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Siegfried &amp; Roy</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 Art gallery</w:t>
            </w:r>
          </w:p>
        </w:tc>
        <w:tc>
          <w:tcPr>
            <w:tcW w:w="1680" w:type="dxa"/>
            <w:vAlign w:val="bottom"/>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Shadow Creek golf</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course(9)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Danny Gans 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dealership(11)</w:t>
            </w:r>
          </w:p>
        </w:tc>
      </w:tr>
      <w:tr>
        <w:trPr>
          <w:trHeight w:val="120"/>
        </w:trPr>
        <w:tc>
          <w:tcPr>
            <w:tcW w:w="68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56"/>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5"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Includes circulation (corridors) and patio space.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27"/>
          <w:szCs w:val="27"/>
          <w:color w:val="auto"/>
          <w:vertAlign w:val="subscript"/>
        </w:rPr>
      </w:pPr>
      <w:r>
        <w:rPr>
          <w:rFonts w:ascii="Arial" w:cs="Arial" w:eastAsia="Arial" w:hAnsi="Arial"/>
          <w:sz w:val="14"/>
          <w:szCs w:val="14"/>
          <w:color w:val="auto"/>
        </w:rPr>
        <w:t>Based on information located at www.mirage.com as of May 23, 2002.</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57"/>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57"/>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40" w:name="page41"/>
    <w:bookmarkEnd w:id="40"/>
    <w:p>
      <w:pPr>
        <w:spacing w:after="0" w:line="54" w:lineRule="exact"/>
        <w:rPr>
          <w:sz w:val="20"/>
          <w:szCs w:val="20"/>
          <w:color w:val="auto"/>
        </w:rPr>
      </w:pPr>
    </w:p>
    <w:p>
      <w:pPr>
        <w:ind w:left="1080" w:right="620"/>
        <w:spacing w:after="0" w:line="268" w:lineRule="auto"/>
        <w:rPr>
          <w:sz w:val="20"/>
          <w:szCs w:val="20"/>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sz w:val="20"/>
          <w:szCs w:val="20"/>
          <w:color w:val="auto"/>
        </w:rPr>
      </w:pPr>
    </w:p>
    <w:p>
      <w:pPr>
        <w:ind w:left="1080" w:right="2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 bound by any non-competition or non-solicitation agreements with MGM Mirage arising out of the acquisition of MGM Grand's acquisition of Mirage Resorts.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ectPr>
          <w:pgSz w:w="11900" w:h="16892" w:orient="portrait"/>
          <w:cols w:equalWidth="0" w:num="1">
            <w:col w:w="11420"/>
          </w:cols>
          <w:pgMar w:left="240" w:top="131" w:right="239" w:bottom="0" w:gutter="0" w:footer="0" w:header="0"/>
        </w:sectPr>
      </w:pPr>
    </w:p>
    <w:bookmarkStart w:id="41" w:name="page42"/>
    <w:bookmarkEnd w:id="41"/>
    <w:p>
      <w:pPr>
        <w:spacing w:after="0" w:line="5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Capitalize on Our Experienced Management and Design Teams. </w:t>
      </w:r>
      <w:r>
        <w:rPr>
          <w:rFonts w:ascii="Arial" w:cs="Arial" w:eastAsia="Arial" w:hAnsi="Arial"/>
          <w:sz w:val="18"/>
          <w:szCs w:val="18"/>
          <w:color w:val="auto"/>
        </w:rPr>
        <w:t>The members of our management team have extensive experience in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large-scale hotels and casinos, and many of them worked with Mr. Wynn at Mirage Resorts. In addition to Wynn Resorts' executive officers, each of whose background is described in "Management," our management team includes:</w:t>
      </w:r>
    </w:p>
    <w:p>
      <w:pPr>
        <w:spacing w:after="0" w:line="208"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subsidiary of Valvino, is responsible for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costs and risks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9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jc w:val="both"/>
        <w:ind w:left="1080" w:right="480" w:hanging="532"/>
        <w:spacing w:after="0" w:line="335"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w:t>
      </w:r>
    </w:p>
    <w:p>
      <w:pPr>
        <w:sectPr>
          <w:pgSz w:w="11900" w:h="16896" w:orient="portrait"/>
          <w:cols w:equalWidth="0" w:num="1">
            <w:col w:w="11400"/>
          </w:cols>
          <w:pgMar w:left="240" w:top="131" w:right="259" w:bottom="0" w:gutter="0" w:footer="0" w:header="0"/>
        </w:sectPr>
      </w:pPr>
    </w:p>
    <w:bookmarkStart w:id="42" w:name="page43"/>
    <w:bookmarkEnd w:id="42"/>
    <w:p>
      <w:pPr>
        <w:ind w:left="1080"/>
        <w:spacing w:after="0"/>
        <w:rPr>
          <w:sz w:val="20"/>
          <w:szCs w:val="20"/>
          <w:color w:val="auto"/>
        </w:rPr>
      </w:pPr>
      <w:r>
        <w:rPr>
          <w:rFonts w:ascii="Arial" w:cs="Arial" w:eastAsia="Arial" w:hAnsi="Arial"/>
          <w:sz w:val="18"/>
          <w:szCs w:val="18"/>
          <w:color w:val="auto"/>
        </w:rPr>
        <w:t>mortgage note holders, to be applied to the costs of the project in accordance with disbursement agreement;</w:t>
      </w:r>
    </w:p>
    <w:p>
      <w:pPr>
        <w:spacing w:after="0" w:line="239" w:lineRule="exact"/>
        <w:rPr>
          <w:sz w:val="20"/>
          <w:szCs w:val="20"/>
          <w:color w:val="auto"/>
        </w:rPr>
      </w:pPr>
    </w:p>
    <w:p>
      <w:pPr>
        <w:ind w:left="1080" w:right="40" w:hanging="532"/>
        <w:spacing w:after="0" w:line="30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liquidity reserve account to be held by us which will be funded by $30 million of the net proceeds of Wynn Resorts' common stock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Benefit from the Significant Equity Investment. </w:t>
      </w:r>
      <w:r>
        <w:rPr>
          <w:rFonts w:ascii="Arial" w:cs="Arial" w:eastAsia="Arial" w:hAnsi="Arial"/>
          <w:sz w:val="18"/>
          <w:szCs w:val="18"/>
          <w:color w:val="auto"/>
        </w:rPr>
        <w:t>We will have a significant cash equity capitalization for the development of Le Rêve.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completion of 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Rêve, we expect to have received a total of approximately $949.0 million in cash equity, which represents approximately 40% of the total project costs. The $949.0 million derives from equity contributions from the prior members of Valvino and $386.7 million of the net proceeds of the concurrent initial public offering by Wynn Resorts. To date, Mr. Wynn has invested approximately $175 million in cash equity, which demonstrates his commitment to the Le Rêve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our indebtedness.</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ectPr>
          <w:pgSz w:w="11900" w:h="16838" w:orient="portrait"/>
          <w:cols w:equalWidth="0" w:num="1">
            <w:col w:w="11360"/>
          </w:cols>
          <w:pgMar w:left="240" w:top="131" w:right="299" w:bottom="0" w:gutter="0" w:footer="0" w:header="0"/>
        </w:sectPr>
      </w:pPr>
    </w:p>
    <w:bookmarkStart w:id="43" w:name="page44"/>
    <w:bookmarkEnd w:id="43"/>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Golf Course. </w:t>
      </w:r>
      <w:r>
        <w:rPr>
          <w:rFonts w:ascii="Arial" w:cs="Arial" w:eastAsia="Arial" w:hAnsi="Arial"/>
          <w:sz w:val="18"/>
          <w:szCs w:val="18"/>
          <w:color w:val="auto"/>
        </w:rPr>
        <w:t>We plan to construct a world-class, 18-hole championship golf course at the site of the former Desert Inn golf course. Based on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available plans, when Le Rêve opens, we believe this golf course will be the only golf course on the site of a hotel casino resort on the Las Vegas Strip. Tom Fazio and Mr. Wynn, the designers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Restaurants, Lounges, Bars and Nightclub. </w:t>
      </w:r>
      <w:r>
        <w:rPr>
          <w:rFonts w:ascii="Arial" w:cs="Arial" w:eastAsia="Arial" w:hAnsi="Arial"/>
          <w:sz w:val="16"/>
          <w:szCs w:val="16"/>
          <w:color w:val="auto"/>
        </w:rPr>
        <w:t>We plan to offer 18 food and beverage outlets, including six fine-dining restaurants and an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6"/>
          <w:szCs w:val="16"/>
          <w:i w:val="1"/>
          <w:iCs w:val="1"/>
          <w:color w:val="auto"/>
        </w:rPr>
        <w:t>Bon Appetit Magazine</w:t>
      </w:r>
      <w:r>
        <w:rPr>
          <w:rFonts w:ascii="Arial" w:cs="Arial" w:eastAsia="Arial" w:hAnsi="Arial"/>
          <w:sz w:val="16"/>
          <w:szCs w:val="16"/>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6"/>
          <w:szCs w:val="16"/>
          <w:i w:val="1"/>
          <w:iCs w:val="1"/>
          <w:color w:val="auto"/>
        </w:rPr>
        <w:t>The International Herald Tribune</w:t>
      </w:r>
      <w:r>
        <w:rPr>
          <w:rFonts w:ascii="Arial" w:cs="Arial" w:eastAsia="Arial" w:hAnsi="Arial"/>
          <w:sz w:val="16"/>
          <w:szCs w:val="16"/>
          <w:color w:val="auto"/>
        </w:rPr>
        <w:t xml:space="preserve"> in 1993 and received </w:t>
      </w:r>
      <w:r>
        <w:rPr>
          <w:rFonts w:ascii="Arial" w:cs="Arial" w:eastAsia="Arial" w:hAnsi="Arial"/>
          <w:sz w:val="16"/>
          <w:szCs w:val="16"/>
          <w:i w:val="1"/>
          <w:iCs w:val="1"/>
          <w:color w:val="auto"/>
        </w:rPr>
        <w:t>Gourmet Magazine's</w:t>
      </w:r>
      <w:r>
        <w:rPr>
          <w:rFonts w:ascii="Arial" w:cs="Arial" w:eastAsia="Arial" w:hAnsi="Arial"/>
          <w:sz w:val="16"/>
          <w:szCs w:val="16"/>
          <w:color w:val="auto"/>
        </w:rPr>
        <w:t xml:space="preserve"> "Top Table" award in 1997.</w:t>
      </w:r>
    </w:p>
    <w:p>
      <w:pPr>
        <w:spacing w:after="0" w:line="17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ectPr>
          <w:pgSz w:w="11900" w:h="16838" w:orient="portrait"/>
          <w:cols w:equalWidth="0" w:num="1">
            <w:col w:w="11420"/>
          </w:cols>
          <w:pgMar w:left="240" w:top="131" w:right="239" w:bottom="0" w:gutter="0" w:footer="0" w:header="0"/>
        </w:sectPr>
      </w:pPr>
    </w:p>
    <w:bookmarkStart w:id="44" w:name="page45"/>
    <w:bookmarkEnd w:id="44"/>
    <w:p>
      <w:pPr>
        <w:spacing w:after="0" w:line="5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 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8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5"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W. Todd Nisbet, Executive Vice President</w:t>
      </w:r>
      <w:r>
        <w:rPr>
          <w:rFonts w:ascii="Arial" w:cs="Arial" w:eastAsia="Arial" w:hAnsi="Arial"/>
          <w:sz w:val="16"/>
          <w:szCs w:val="16"/>
          <w:color w:val="auto"/>
        </w:rPr>
        <w:t>—Project Director. 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DeRuyter O. Butler, Executive Vice President—Architecture</w:t>
      </w:r>
      <w:r>
        <w:rPr>
          <w:rFonts w:ascii="Arial" w:cs="Arial" w:eastAsia="Arial" w:hAnsi="Arial"/>
          <w:sz w:val="18"/>
          <w:szCs w:val="18"/>
          <w:color w:val="auto"/>
        </w:rPr>
        <w:t>. 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Roger P. Thomas, Executive Vice President—Design</w:t>
      </w:r>
      <w:r>
        <w:rPr>
          <w:rFonts w:ascii="Arial" w:cs="Arial" w:eastAsia="Arial" w:hAnsi="Arial"/>
          <w:sz w:val="18"/>
          <w:szCs w:val="18"/>
          <w:color w:val="auto"/>
        </w:rPr>
        <w:t>. 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370" w:lineRule="auto"/>
        <w:rPr>
          <w:sz w:val="20"/>
          <w:szCs w:val="20"/>
          <w:color w:val="auto"/>
        </w:rPr>
      </w:pPr>
      <w:r>
        <w:rPr>
          <w:rFonts w:ascii="Arial" w:cs="Arial" w:eastAsia="Arial" w:hAnsi="Arial"/>
          <w:sz w:val="15"/>
          <w:szCs w:val="15"/>
          <w:color w:val="auto"/>
        </w:rPr>
        <w:t>responsible for the interior design of The Mirage, including the standard rooms, suites and villas, the spa and salon, the Siegfried &amp; Roy and Danny Gans showrooms and the expansion of the convention center. In addition, Mr. Thomas was responsible for the interior design of Bellagio</w:t>
      </w:r>
    </w:p>
    <w:p>
      <w:pPr>
        <w:sectPr>
          <w:pgSz w:w="11900" w:h="16894" w:orient="portrait"/>
          <w:cols w:equalWidth="0" w:num="1">
            <w:col w:w="11400"/>
          </w:cols>
          <w:pgMar w:left="240" w:top="131" w:right="259" w:bottom="0" w:gutter="0" w:footer="0" w:header="0"/>
        </w:sectPr>
      </w:pPr>
    </w:p>
    <w:bookmarkStart w:id="45" w:name="page46"/>
    <w:bookmarkEnd w:id="45"/>
    <w:p>
      <w:pPr>
        <w:spacing w:after="0" w:line="137"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and the Golden Nugget—Las Vegas and much of the interior design at Treasure Island at The Mirage, including redecoration of the original tower, the casino and the lobby.</w:t>
      </w:r>
    </w:p>
    <w:p>
      <w:pPr>
        <w:spacing w:after="0" w:line="199" w:lineRule="exact"/>
        <w:rPr>
          <w:sz w:val="20"/>
          <w:szCs w:val="20"/>
          <w:color w:val="auto"/>
        </w:rPr>
      </w:pPr>
    </w:p>
    <w:p>
      <w:pPr>
        <w:ind w:left="1080" w:right="120" w:hanging="532"/>
        <w:spacing w:after="0" w:line="30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Janellen Sachs Radoff, Vice President—Design</w:t>
      </w:r>
      <w:r>
        <w:rPr>
          <w:rFonts w:ascii="Arial" w:cs="Arial" w:eastAsia="Arial" w:hAnsi="Arial"/>
          <w:sz w:val="16"/>
          <w:szCs w:val="16"/>
          <w:color w:val="auto"/>
        </w:rPr>
        <w:t>. 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"Construction Contracts for Le Rêve" and "Risk Factors—Risks Associated with Our Construction of Le Rêve."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213" w:lineRule="exact"/>
        <w:rPr>
          <w:sz w:val="20"/>
          <w:szCs w:val="20"/>
          <w:color w:val="auto"/>
        </w:rPr>
      </w:pPr>
    </w:p>
    <w:p>
      <w:pPr>
        <w:ind w:left="1080" w:right="6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w:t>
      </w:r>
    </w:p>
    <w:p>
      <w:pPr>
        <w:sectPr>
          <w:pgSz w:w="11900" w:h="16975" w:orient="portrait"/>
          <w:cols w:equalWidth="0" w:num="1">
            <w:col w:w="11400"/>
          </w:cols>
          <w:pgMar w:left="240" w:top="131" w:right="259" w:bottom="0" w:gutter="0" w:footer="0" w:header="0"/>
        </w:sectPr>
      </w:pPr>
    </w:p>
    <w:bookmarkStart w:id="46" w:name="page47"/>
    <w:bookmarkEnd w:id="46"/>
    <w:p>
      <w:pPr>
        <w:ind w:right="700"/>
        <w:spacing w:after="0" w:line="268" w:lineRule="auto"/>
        <w:rPr>
          <w:sz w:val="20"/>
          <w:szCs w:val="20"/>
          <w:color w:val="auto"/>
        </w:rPr>
      </w:pPr>
      <w:r>
        <w:rPr>
          <w:rFonts w:ascii="Arial" w:cs="Arial" w:eastAsia="Arial" w:hAnsi="Arial"/>
          <w:sz w:val="18"/>
          <w:szCs w:val="18"/>
          <w:color w:val="auto"/>
        </w:rPr>
        <w:t>constructing any improvements. These construction costs and allowances are included in our design and construction budget for Le Rêve. Design and/or construction costs in excess of an allowance are intended to be the responsibility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8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Wynn Resorts' common stock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200" w:hanging="532"/>
        <w:spacing w:after="0" w:line="30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Wynn Resorts' offering of common stock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304" w:lineRule="auto"/>
        <w:rPr>
          <w:sz w:val="20"/>
          <w:szCs w:val="20"/>
          <w:color w:val="auto"/>
        </w:rPr>
      </w:pPr>
      <w:r>
        <w:rPr>
          <w:rFonts w:ascii="Arial" w:cs="Arial" w:eastAsia="Arial" w:hAnsi="Arial"/>
          <w:sz w:val="15"/>
          <w:szCs w:val="15"/>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agreements, as amended, will provide Wynn Las Vegas with an option to 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project has not been executed.</w:t>
      </w:r>
    </w:p>
    <w:p>
      <w:pPr>
        <w:spacing w:after="0" w:line="39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Wynn Resorts'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Following the completion of this offering and the offering of Wynn Resorts' common stock, Wynn Resorts plans to grant Mr. Dragone an award of 189,723 shares of restricted stock. This restricted stock award is intended to be part of the compensation paid to Mr. Dragone for his role as the executive producer and</w:t>
      </w:r>
    </w:p>
    <w:p>
      <w:pPr>
        <w:sectPr>
          <w:pgSz w:w="11900" w:h="16838" w:orient="portrait"/>
          <w:cols w:equalWidth="0" w:num="1">
            <w:col w:w="11420"/>
          </w:cols>
          <w:pgMar w:left="240" w:top="131" w:right="239" w:bottom="0" w:gutter="0" w:footer="0" w:header="0"/>
        </w:sectPr>
      </w:pPr>
    </w:p>
    <w:bookmarkStart w:id="47" w:name="page48"/>
    <w:bookmarkEnd w:id="47"/>
    <w:p>
      <w:pPr>
        <w:ind w:right="80"/>
        <w:spacing w:after="0" w:line="289" w:lineRule="auto"/>
        <w:rPr>
          <w:sz w:val="20"/>
          <w:szCs w:val="20"/>
          <w:color w:val="auto"/>
        </w:rPr>
      </w:pPr>
      <w:r>
        <w:rPr>
          <w:rFonts w:ascii="Arial" w:cs="Arial" w:eastAsia="Arial" w:hAnsi="Arial"/>
          <w:sz w:val="16"/>
          <w:szCs w:val="16"/>
          <w:color w:val="auto"/>
        </w:rPr>
        <w:t>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Growth Opportunities</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133350</wp:posOffset>
            </wp:positionV>
            <wp:extent cx="5668645" cy="25298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According to the Nevada State Gaming Control Board, Las Vegas Strip gaming revenue has increased from approximately $3.6 billion in 1996 to approximately $4.7 billion in 2001,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ectPr>
          <w:pgSz w:w="11900" w:h="16838" w:orient="portrait"/>
          <w:cols w:equalWidth="0" w:num="1">
            <w:col w:w="11420"/>
          </w:cols>
          <w:pgMar w:left="240" w:top="13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Arial" w:cs="Arial" w:eastAsia="Arial" w:hAnsi="Arial"/>
                <w:sz w:val="14"/>
                <w:szCs w:val="14"/>
                <w:color w:val="auto"/>
              </w:rPr>
              <w:t>Total Visitor Expenditures(2)</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280" w:type="dxa"/>
            <w:vAlign w:val="bottom"/>
          </w:tcPr>
          <w:p>
            <w:pPr>
              <w:spacing w:after="0"/>
              <w:rPr>
                <w:sz w:val="13"/>
                <w:szCs w:val="13"/>
                <w:color w:val="auto"/>
              </w:rPr>
            </w:pPr>
          </w:p>
        </w:tc>
        <w:tc>
          <w:tcPr>
            <w:tcW w:w="11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80" w:type="dxa"/>
            <w:vAlign w:val="bottom"/>
          </w:tcPr>
          <w:p>
            <w:pPr>
              <w:spacing w:after="0"/>
              <w:rPr>
                <w:sz w:val="13"/>
                <w:szCs w:val="13"/>
                <w:color w:val="auto"/>
              </w:rPr>
            </w:pPr>
          </w:p>
        </w:tc>
        <w:tc>
          <w:tcPr>
            <w:tcW w:w="11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w w:val="91"/>
              </w:rPr>
              <w:t>Las Vegas Hotel Occupancy Rate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for All Days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88.9%</w:t>
            </w:r>
          </w:p>
        </w:tc>
        <w:tc>
          <w:tcPr>
            <w:tcW w:w="11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Las Vegas Hotel/Motel Room</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gridSpan w:val="2"/>
          </w:tcPr>
          <w:p>
            <w:pPr>
              <w:spacing w:after="0"/>
              <w:rPr>
                <w:sz w:val="20"/>
                <w:szCs w:val="20"/>
                <w:color w:val="auto"/>
              </w:rPr>
            </w:pPr>
            <w:r>
              <w:rPr>
                <w:rFonts w:ascii="Arial" w:cs="Arial" w:eastAsia="Arial" w:hAnsi="Arial"/>
                <w:sz w:val="14"/>
                <w:szCs w:val="14"/>
                <w:color w:val="auto"/>
              </w:rPr>
              <w:t>Supply</w:t>
            </w: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-1504315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-1504315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-1504315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-1504315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-1504315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-1504315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-1504315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-1504315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-1504315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-1504315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-1504315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-1504315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-1504315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-1504315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49" w:name="page50"/>
    <w:bookmarkEnd w:id="49"/>
    <w:p>
      <w:pPr>
        <w:ind w:left="540" w:hanging="532"/>
        <w:spacing w:after="0"/>
        <w:tabs>
          <w:tab w:leader="none" w:pos="540" w:val="left"/>
        </w:tabs>
        <w:numPr>
          <w:ilvl w:val="0"/>
          <w:numId w:val="68"/>
        </w:numPr>
        <w:rPr>
          <w:rFonts w:ascii="Arial" w:cs="Arial" w:eastAsia="Arial" w:hAnsi="Arial"/>
          <w:sz w:val="27"/>
          <w:szCs w:val="27"/>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43307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3070" cy="19050"/>
                    </a:xfrm>
                    <a:prstGeom prst="rect">
                      <a:avLst/>
                    </a:prstGeom>
                    <a:noFill/>
                  </pic:spPr>
                </pic:pic>
              </a:graphicData>
            </a:graphic>
          </wp:anchor>
        </w:drawing>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8"/>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in Las Vegas</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hotels on the Las Vegas Strip and those in downtown Las Vegas, as well as a large number of hotels and motels in and near Las Vegas.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77"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Retail Competition. </w:t>
      </w:r>
      <w:r>
        <w:rPr>
          <w:rFonts w:ascii="Arial" w:cs="Arial" w:eastAsia="Arial" w:hAnsi="Arial"/>
          <w:sz w:val="18"/>
          <w:szCs w:val="18"/>
          <w:color w:val="auto"/>
        </w:rPr>
        <w:t>Le Rêve's retail stores will operate in a highly competitive environment. Le Rêve's retail stores will compete with other retail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other Las Vegas hotel casino resorts and shopping districts. Among these Las Vegas shopping 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ectPr>
          <w:pgSz w:w="11900" w:h="16838" w:orient="portrait"/>
          <w:cols w:equalWidth="0" w:num="1">
            <w:col w:w="11420"/>
          </w:cols>
          <w:pgMar w:left="240" w:top="180" w:right="239" w:bottom="0" w:gutter="0" w:footer="0" w:header="0"/>
        </w:sectPr>
      </w:pPr>
    </w:p>
    <w:bookmarkStart w:id="50" w:name="page51"/>
    <w:bookmarkEnd w:id="50"/>
    <w:p>
      <w:pPr>
        <w:spacing w:after="0" w:line="123"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LE RÊVE are for goods or services that would, if finally rejected, have a material impact on our business.</w:t>
      </w:r>
    </w:p>
    <w:p>
      <w:pPr>
        <w:spacing w:after="0" w:line="225"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w:t>
      </w:r>
    </w:p>
    <w:p>
      <w:pPr>
        <w:sectPr>
          <w:pgSz w:w="11900" w:h="16962" w:orient="portrait"/>
          <w:cols w:equalWidth="0" w:num="1">
            <w:col w:w="11420"/>
          </w:cols>
          <w:pgMar w:left="240" w:top="131" w:right="239" w:bottom="0" w:gutter="0" w:footer="0" w:header="0"/>
        </w:sectPr>
      </w:pPr>
    </w:p>
    <w:bookmarkStart w:id="51" w:name="page52"/>
    <w:bookmarkEnd w:id="51"/>
    <w:p>
      <w:pPr>
        <w:spacing w:after="0" w:line="5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site of the former Desert Inn Resort &amp; Casino and the remaining homes around the golf course. As a result of its service obligations to the remaining homes,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plan to transfer the water rights owned by Desert Inn Improvement Co. and Valvino to Wynn Resorts Holdings and Wynn Las Vegas for use in connection with the golf course and the Le Rêve lake, subject to approval by the Public Utilities Commission of Nevada and the Nevada State Division of Water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trial in this matter currently is scheduled for February 2003. The court has, nonetheless, entered several preliminary injunction orders concerning the parties' respective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ectPr>
          <w:pgSz w:w="11900" w:h="16892" w:orient="portrait"/>
          <w:cols w:equalWidth="0" w:num="1">
            <w:col w:w="11420"/>
          </w:cols>
          <w:pgMar w:left="240" w:top="131" w:right="239" w:bottom="0" w:gutter="0" w:footer="0" w:header="0"/>
        </w:sectPr>
      </w:pPr>
    </w:p>
    <w:bookmarkStart w:id="52" w:name="page53"/>
    <w:bookmarkEnd w:id="52"/>
    <w:p>
      <w:pPr>
        <w:spacing w:after="0" w:line="87"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w:t>
      </w:r>
    </w:p>
    <w:p>
      <w:pPr>
        <w:sectPr>
          <w:pgSz w:w="11900" w:h="16925" w:orient="portrait"/>
          <w:cols w:equalWidth="0" w:num="1">
            <w:col w:w="11400"/>
          </w:cols>
          <w:pgMar w:left="240" w:top="131" w:right="259" w:bottom="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Corrao to pay any anticipated overages.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further drawings under the credit facilities.</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under the credit facilities and the FF&amp;E facility, if any such "out of balance" event occurs in the latter stages of construction, the second mortgage note holders would be fully exposed and the lenders under our credit facilities and FF&amp;E facility would have no obligation to commence or continue funding loans under their respective facilities.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ectPr>
          <w:pgSz w:w="11900" w:h="16838" w:orient="portrait"/>
          <w:cols w:equalWidth="0" w:num="1">
            <w:col w:w="11420"/>
          </w:cols>
          <w:pgMar w:left="240" w:top="131" w:right="239" w:bottom="0" w:gutter="0" w:footer="0" w:header="0"/>
        </w:sectPr>
      </w:pPr>
    </w:p>
    <w:bookmarkStart w:id="54" w:name="page55"/>
    <w:bookmarkEnd w:id="54"/>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4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ectPr>
          <w:pgSz w:w="11900" w:h="16838" w:orient="portrait"/>
          <w:cols w:equalWidth="0" w:num="1">
            <w:col w:w="11380"/>
          </w:cols>
          <w:pgMar w:left="240" w:top="125" w:right="279" w:bottom="751"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751" w:gutter="0" w:footer="0" w:header="0"/>
          <w:type w:val="continuous"/>
        </w:sectPr>
      </w:pPr>
    </w:p>
    <w:bookmarkStart w:id="55" w:name="page56"/>
    <w:bookmarkEnd w:id="55"/>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death;</w:t>
      </w:r>
    </w:p>
    <w:p>
      <w:pPr>
        <w:sectPr>
          <w:pgSz w:w="11900" w:h="16838" w:orient="portrait"/>
          <w:cols w:equalWidth="0" w:num="1">
            <w:col w:w="11400"/>
          </w:cols>
          <w:pgMar w:left="240" w:top="131" w:right="259" w:bottom="0" w:gutter="0" w:footer="0" w:header="0"/>
        </w:sectPr>
      </w:pPr>
    </w:p>
    <w:bookmarkStart w:id="56" w:name="page57"/>
    <w:bookmarkEnd w:id="56"/>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 /or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ectPr>
          <w:pgSz w:w="11900" w:h="16838" w:orient="portrait"/>
          <w:cols w:equalWidth="0" w:num="1">
            <w:col w:w="11420"/>
          </w:cols>
          <w:pgMar w:left="240" w:top="145" w:right="239" w:bottom="235" w:gutter="0" w:footer="0" w:header="0"/>
        </w:sectPr>
      </w:pPr>
    </w:p>
    <w:bookmarkStart w:id="57" w:name="page58"/>
    <w:bookmarkEnd w:id="57"/>
    <w:p>
      <w:pPr>
        <w:jc w:val="both"/>
        <w:ind w:right="46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AFFILIATE'S OPPORTUNITY IN MACAU</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Resorts owns an approximately 82.5% economic interest in Wynn Macau through a line of subsidiaries that is separate from the subsidiaries of Wynn Resorts that own Le Rêve and, accordingly, the Macau-related entities are not part of the restricted group. As a result, cash flow generated by the Macau casino(s) operated by Wynn Macau may not be available to service our indebtedness, including our obligations under the second mortgage notes, or support our operations, and financing documents for the Macau opportunity may contain restrictions or prohibitions on the distribution to Wynn Resorts of any cash flow generated by the Macau casino(s). In addition, 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0"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25, 2002 exchange rate of approximately eight Macau patacas to one U.S. dollar, which is the middle of the buy and sell rates as reported by the Monetary Authority of Macau)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Macau currently contemplates that it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Wynn Macau expects to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Wynn Macau believes that this land, located in the outer harbor of downtown Macau opposite the largest, most well-known casino, the Hotel Lisboa, is an attractive location for its first Macau casino.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Wynn Macau believes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201" w:lineRule="exact"/>
        <w:rPr>
          <w:sz w:val="20"/>
          <w:szCs w:val="20"/>
          <w:color w:val="auto"/>
        </w:rPr>
      </w:pPr>
    </w:p>
    <w:p>
      <w:pPr>
        <w:jc w:val="center"/>
        <w:ind w:right="140"/>
        <w:spacing w:after="0" w:line="332" w:lineRule="auto"/>
        <w:rPr>
          <w:sz w:val="20"/>
          <w:szCs w:val="20"/>
          <w:color w:val="auto"/>
        </w:rPr>
      </w:pPr>
      <w:r>
        <w:rPr>
          <w:rFonts w:ascii="Arial" w:cs="Arial" w:eastAsia="Arial" w:hAnsi="Arial"/>
          <w:sz w:val="16"/>
          <w:szCs w:val="16"/>
          <w:color w:val="auto"/>
        </w:rPr>
        <w:t>Wynn Resorts intends to invest up to $40 million of the net proceeds from its initial public offering of its common stock in Wynn Macau as part of the financing of the Macau opportunity, in addition to the approximately $23.8 million Wynn Resorts has already invested in Wynn Macau. Wynn Macau has begun</w:t>
      </w:r>
    </w:p>
    <w:p>
      <w:pPr>
        <w:sectPr>
          <w:pgSz w:w="11900" w:h="16838" w:orient="portrait"/>
          <w:cols w:equalWidth="0" w:num="1">
            <w:col w:w="11400"/>
          </w:cols>
          <w:pgMar w:left="240" w:top="131" w:right="259" w:bottom="0" w:gutter="0" w:footer="0" w:header="0"/>
        </w:sectPr>
      </w:pPr>
    </w:p>
    <w:bookmarkStart w:id="58" w:name="page59"/>
    <w:bookmarkEnd w:id="58"/>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preliminary discussions to arrange the additional financing that would be required to complete the initial phase of its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Wynn Macau's discussions with government officials, it believes legislative changes relating to these matters will be introduced by early 2003. However, such proposed legislative changes may not be enacted by the Macau government.</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Macau may determine not to go forward with the Macau opportunity at any time if certain objectives and conditions described above, among other things, are not met. If Wynn Macau ceases the development or operations of one or more casinos in Macau, Wynn Resorts may lose its entire investment in Wynn Macau.</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Macau has entered into a 20-year concession agreement with the government of the Macau Special Administrative Region of the People's Republic of China permitting it to construct and operate one or more casinos in Macau.</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have converted all pataca references into U.S. dollars using an exchange rate of approximately eight patacas to one U.S. dollar (which is the middle of the buy and sell rates on October 25, 2002, as reported by the Monetary Authority of Macau). The key terms of the concession agreement into which Wynn Macau has entered with the Macau government are as follows:</w:t>
      </w:r>
    </w:p>
    <w:p>
      <w:pPr>
        <w:spacing w:after="0" w:line="208" w:lineRule="exact"/>
        <w:rPr>
          <w:sz w:val="20"/>
          <w:szCs w:val="20"/>
          <w:color w:val="auto"/>
        </w:rPr>
      </w:pPr>
    </w:p>
    <w:p>
      <w:pPr>
        <w:ind w:left="1080" w:right="40" w:hanging="532"/>
        <w:spacing w:after="0" w:line="29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Macau is obligated to invest no less than a total of 4 billion patacas (approximately US $500 million) in one or more casino projects in Macau by June 26, 2009 and must commence operations of its first permanent casino resort in Macau no later than December 2006.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Prior to April 1, 2009, the Macau government is prohibited from granting any additional concessions for the operation of casinos in Macau.</w:t>
      </w:r>
    </w:p>
    <w:p>
      <w:pPr>
        <w:spacing w:after="0" w:line="261" w:lineRule="exact"/>
        <w:rPr>
          <w:rFonts w:ascii="Arial" w:cs="Arial" w:eastAsia="Arial" w:hAnsi="Arial"/>
          <w:sz w:val="16"/>
          <w:szCs w:val="16"/>
          <w:color w:val="auto"/>
        </w:rPr>
      </w:pPr>
    </w:p>
    <w:p>
      <w:pPr>
        <w:ind w:left="1080" w:right="56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Beginning in June 2005, or earlier if and when Wynn Macau begins operating casino games for the public, Wynn Macau must pay a fixed premium of 30 million patacas (approximately US $3.8 million) per year, and a variable premium based on the number of table games and machines Wynn Macau operates in Macau, with a set minimum of 45 million patacas (approximately US $5.6 million) per year (which is temporarily lowered if Wynn Macau operates a temporary casino before completion of its first permanent casino resort).</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must pay a special gaming tax of 35% on its gross gaming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contribute a total of 4.0% of its gross gaming revenue for the promotion of public interests, infrastructure and tourism.</w:t>
      </w:r>
    </w:p>
    <w:p>
      <w:pPr>
        <w:spacing w:after="0" w:line="261" w:lineRule="exact"/>
        <w:rPr>
          <w:rFonts w:ascii="Arial" w:cs="Arial" w:eastAsia="Arial" w:hAnsi="Arial"/>
          <w:sz w:val="16"/>
          <w:szCs w:val="16"/>
          <w:color w:val="auto"/>
        </w:rPr>
      </w:pPr>
    </w:p>
    <w:p>
      <w:pPr>
        <w:ind w:left="1080" w:right="34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pay taxes imposed by Macau law, including a complementary income tax at the rate of 15% on the profits realized from conducting business in Macau and a 15% withholding tax on dividends paid from Macau entities to their stockholders, unless Wynn Macau is granted exemptions from both of these taxes, which it is currently seeking, on the grounds that the tax payments required by the concession agreement are in lieu of the generally imposed complementary income tax and dividend withholding tax.</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is obligated to maintain bank guarantees or bonds satisfactory to the government.</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end of the term of the concession agreement, and any agreed upon extensions, the areas defined as casino areas under Macau law and all of the gaming equipment pertaining to the operations of Wynn Macau will be automatically transferred to the government of Macau without compensation to Wynn Macau.</w:t>
      </w:r>
    </w:p>
    <w:p>
      <w:pPr>
        <w:spacing w:after="0" w:line="207"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From June 27, 2017 until the end of the term of the concession agreement, the government of Macau will have the right to redeem the concession granted to Wynn Macau under the concession agreement and the government will be required to provide fair compensation for a resort-hotel-casino complex under the investment plan under the agreement. However, the concession agreement is unclear as to how the compensation provision will apply if more than one resort-hotel-casino has been built.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w:t>
      </w:r>
    </w:p>
    <w:p>
      <w:pPr>
        <w:sectPr>
          <w:pgSz w:w="11900" w:h="16854" w:orient="portrait"/>
          <w:cols w:equalWidth="0" w:num="1">
            <w:col w:w="11380"/>
          </w:cols>
          <w:pgMar w:left="240" w:top="131" w:right="279" w:bottom="0" w:gutter="0" w:footer="0" w:header="0"/>
        </w:sectPr>
      </w:pPr>
    </w:p>
    <w:bookmarkStart w:id="59" w:name="page60"/>
    <w:bookmarkEnd w:id="59"/>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Nevada Gaming Commission, the Nevada State Gaming Control Board and the Clark County Liquor and Gaming License Board, which we refer to collectively as the Nevada Gaming Authorities.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w:t>
      </w:r>
    </w:p>
    <w:p>
      <w:pPr>
        <w:sectPr>
          <w:pgSz w:w="11900" w:h="17002" w:orient="portrait"/>
          <w:cols w:equalWidth="0" w:num="1">
            <w:col w:w="11400"/>
          </w:cols>
          <w:pgMar w:left="240" w:top="131" w:right="259" w:bottom="0" w:gutter="0" w:footer="0" w:header="0"/>
        </w:sectPr>
      </w:pPr>
    </w:p>
    <w:bookmarkStart w:id="60" w:name="page61"/>
    <w:bookmarkEnd w:id="60"/>
    <w:p>
      <w:pPr>
        <w:spacing w:after="0" w:line="289" w:lineRule="auto"/>
        <w:rPr>
          <w:sz w:val="20"/>
          <w:szCs w:val="20"/>
          <w:color w:val="auto"/>
        </w:rPr>
      </w:pPr>
      <w:r>
        <w:rPr>
          <w:rFonts w:ascii="Arial" w:cs="Arial" w:eastAsia="Arial" w:hAnsi="Arial"/>
          <w:sz w:val="16"/>
          <w:szCs w:val="16"/>
          <w:color w:val="auto"/>
        </w:rPr>
        <w:t>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rights of redemption are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2"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Wynn Resorts' common stock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Wynn, the Nevada Gaming Commission could order Aruze USA or its affiliate to dispose of its voting securities within a prescribed period of time that may not be sufficient.</w:t>
      </w:r>
    </w:p>
    <w:p>
      <w:pPr>
        <w:spacing w:after="0" w:line="19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Resorts Holdings, Wynn Las Vegas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w:t>
      </w:r>
    </w:p>
    <w:p>
      <w:pPr>
        <w:sectPr>
          <w:pgSz w:w="11900" w:h="16838" w:orient="portrait"/>
          <w:cols w:equalWidth="0" w:num="1">
            <w:col w:w="11420"/>
          </w:cols>
          <w:pgMar w:left="240" w:top="131" w:right="239" w:bottom="3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4" w:gutter="0" w:footer="0" w:header="0"/>
          <w:type w:val="continuous"/>
        </w:sectPr>
      </w:pPr>
    </w:p>
    <w:bookmarkStart w:id="61" w:name="page62"/>
    <w:bookmarkEnd w:id="61"/>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Wynn Resorts will be subject to disciplinary action if, after it receives notice that a person is unsuitable to hold an equity interest or to have any other relationship with, it:</w:t>
      </w:r>
    </w:p>
    <w:p>
      <w:pPr>
        <w:spacing w:after="0" w:line="21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that person any dividend or interest upon any voting securities;</w:t>
      </w:r>
    </w:p>
    <w:p>
      <w:pPr>
        <w:spacing w:after="0" w:line="252" w:lineRule="exact"/>
        <w:rPr>
          <w:rFonts w:ascii="Arial" w:cs="Arial" w:eastAsia="Arial" w:hAnsi="Arial"/>
          <w:sz w:val="18"/>
          <w:szCs w:val="18"/>
          <w:color w:val="auto"/>
        </w:rPr>
      </w:pPr>
    </w:p>
    <w:p>
      <w:pPr>
        <w:ind w:left="5580" w:right="2300" w:hanging="5032"/>
        <w:spacing w:after="0" w:line="51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held by that person relating to Wynn Resorts; 111</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-735330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jc w:val="both"/>
        <w:ind w:right="40" w:firstLine="351"/>
        <w:spacing w:after="0" w:line="323" w:lineRule="auto"/>
        <w:rPr>
          <w:sz w:val="20"/>
          <w:szCs w:val="20"/>
          <w:color w:val="auto"/>
        </w:rPr>
      </w:pPr>
      <w:r>
        <w:rPr>
          <w:rFonts w:ascii="Arial" w:cs="Arial" w:eastAsia="Arial" w:hAnsi="Arial"/>
          <w:sz w:val="15"/>
          <w:szCs w:val="15"/>
          <w:color w:val="auto"/>
        </w:rPr>
        <w:t>Once Wynn Resorts and Wynn Las Vegas become registered companies, they may not make a public offering of their securities without the prior approval of the Nevada Gaming 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w:t>
      </w:r>
    </w:p>
    <w:p>
      <w:pPr>
        <w:sectPr>
          <w:pgSz w:w="11900" w:h="16838" w:orient="portrait"/>
          <w:cols w:equalWidth="0" w:num="1">
            <w:col w:w="11420"/>
          </w:cols>
          <w:pgMar w:left="240" w:top="131" w:right="239" w:bottom="0" w:gutter="0" w:footer="0" w:header="0"/>
        </w:sectPr>
      </w:pPr>
    </w:p>
    <w:bookmarkStart w:id="62" w:name="page63"/>
    <w:bookmarkEnd w:id="62"/>
    <w:p>
      <w:pPr>
        <w:spacing w:after="0" w:line="8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approval by any of the Nevada Gaming Authorities as to the accuracy or adequacy of the offering memorandum or the investment merits of the securities. Any representation to the contrary is unlawful.</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The Nevada State Gaming Control Board Chairman considered Wynn Resorts' and Wynn Las Vegas' ruling request and issued an administrative ruling that it is not necessary to submit an application for prior approval of this offering or the offering of common stock.</w:t>
      </w:r>
    </w:p>
    <w:p>
      <w:pPr>
        <w:spacing w:after="0" w:line="172"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The pledge of the equity interests in Wynn Resorts Holdings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Resorts Holdings,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 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5580" w:right="5000" w:hanging="5032"/>
        <w:spacing w:after="0" w:line="613" w:lineRule="auto"/>
        <w:tabs>
          <w:tab w:leader="none" w:pos="10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act or conduct by a person by which the person obtains control of them.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ectPr>
          <w:pgSz w:w="11900" w:h="16925" w:orient="portrait"/>
          <w:cols w:equalWidth="0" w:num="1">
            <w:col w:w="11420"/>
          </w:cols>
          <w:pgMar w:left="240" w:top="131" w:right="239" w:bottom="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53"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discredit or disrepute upon the State of Nevada or gaming in Nevada, or is contrary to the gaming policies of Nevada;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Wynn Las Vegas, Wynn Resorts Holdings and Valvino are member-managed limited liability companies and do not have boards of directors. As a result, Wynn Resorts, through its subsidiaries, controls Wynn Las Vegas and Wynn Capital. Upon consummation of this offering, the following individuals will serve as directors and executive officers of Wynn Resorts and Wynn Capital, respectively, and their ages and positions will be as follows: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-1315720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-1315720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-1315720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-1315720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-1315720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-1315720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64" w:name="page65"/>
    <w:bookmarkEnd w:id="64"/>
    <w:tbl>
      <w:tblPr>
        <w:tblLayout w:type="fixed"/>
        <w:tblInd w:w="1660" w:type="dxa"/>
        <w:tblCellMar>
          <w:top w:w="0" w:type="dxa"/>
          <w:left w:w="0" w:type="dxa"/>
          <w:bottom w:w="0" w:type="dxa"/>
          <w:right w:w="0" w:type="dxa"/>
        </w:tblCellMar>
      </w:tblP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John Strzemp</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tcPr>
          <w:p>
            <w:pPr>
              <w:ind w:left="180"/>
              <w:spacing w:after="0"/>
              <w:rPr>
                <w:sz w:val="20"/>
                <w:szCs w:val="20"/>
                <w:color w:val="auto"/>
              </w:rPr>
            </w:pPr>
            <w:r>
              <w:rPr>
                <w:rFonts w:ascii="Arial" w:cs="Arial" w:eastAsia="Arial" w:hAnsi="Arial"/>
                <w:sz w:val="18"/>
                <w:szCs w:val="18"/>
                <w:color w:val="auto"/>
              </w:rPr>
              <w:t>Executive Vice President—Chief Financial Officer</w:t>
            </w:r>
          </w:p>
        </w:tc>
      </w:tr>
      <w:tr>
        <w:trPr>
          <w:trHeight w:val="217"/>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Matt Maddox</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620" w:type="dxa"/>
            <w:vAlign w:val="bottom"/>
          </w:tcPr>
          <w:p>
            <w:pPr>
              <w:ind w:left="180"/>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260" w:type="dxa"/>
            <w:vAlign w:val="bottom"/>
          </w:tcPr>
          <w:p>
            <w:pPr>
              <w:spacing w:after="0"/>
              <w:rPr>
                <w:sz w:val="20"/>
                <w:szCs w:val="20"/>
                <w:color w:val="auto"/>
              </w:rPr>
            </w:pPr>
            <w:r>
              <w:rPr>
                <w:rFonts w:ascii="Arial" w:cs="Arial" w:eastAsia="Arial" w:hAnsi="Arial"/>
                <w:sz w:val="18"/>
                <w:szCs w:val="18"/>
                <w:color w:val="auto"/>
              </w:rPr>
              <w:t>DeRuyter O. Butler</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4620" w:type="dxa"/>
            <w:vAlign w:val="bottom"/>
          </w:tcPr>
          <w:p>
            <w:pPr>
              <w:ind w:left="180"/>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Development</w:t>
            </w: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r>
    </w:tbl>
    <w:p>
      <w:pPr>
        <w:spacing w:after="0" w:line="20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of Wynn Resorts since June 2002. From April 2000 to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Wynn was 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of Wynn Resorts since October 2002. Mr. Okada founded Aruze Corp., a Japanese manufacturer of</w:t>
      </w:r>
      <w:r>
        <w:rPr>
          <w:rFonts w:ascii="Arial" w:cs="Arial" w:eastAsia="Arial" w:hAnsi="Arial"/>
          <w:sz w:val="16"/>
          <w:szCs w:val="16"/>
          <w:i w:val="1"/>
          <w:iCs w:val="1"/>
          <w:color w:val="auto"/>
        </w:rPr>
        <w:t xml:space="preserve"> </w:t>
      </w:r>
      <w:r>
        <w:rPr>
          <w:rFonts w:ascii="Arial" w:cs="Arial" w:eastAsia="Arial" w:hAnsi="Arial"/>
          <w:sz w:val="16"/>
          <w:szCs w:val="16"/>
          <w:color w:val="auto"/>
        </w:rPr>
        <w:t>pachislot 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of Wynn Resorts since October 2002. Mr. Kramer has served as President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since April 2002. From July 1999 to October 2001, Mr. Kramer was a Managing Director at Dresdner Kleinwort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4" w:lineRule="exact"/>
        <w:rPr>
          <w:sz w:val="20"/>
          <w:szCs w:val="20"/>
          <w:color w:val="auto"/>
        </w:rPr>
      </w:pPr>
    </w:p>
    <w:p>
      <w:pPr>
        <w:ind w:right="280" w:firstLine="351"/>
        <w:spacing w:after="0" w:line="318" w:lineRule="auto"/>
        <w:rPr>
          <w:sz w:val="20"/>
          <w:szCs w:val="20"/>
          <w:color w:val="auto"/>
        </w:rPr>
      </w:pPr>
      <w:r>
        <w:rPr>
          <w:rFonts w:ascii="Arial" w:cs="Arial" w:eastAsia="Arial" w:hAnsi="Arial"/>
          <w:sz w:val="15"/>
          <w:szCs w:val="15"/>
          <w:i w:val="1"/>
          <w:iCs w:val="1"/>
          <w:color w:val="auto"/>
        </w:rPr>
        <w:t xml:space="preserve">Robert J. Miller </w:t>
      </w:r>
      <w:r>
        <w:rPr>
          <w:rFonts w:ascii="Arial" w:cs="Arial" w:eastAsia="Arial" w:hAnsi="Arial"/>
          <w:sz w:val="15"/>
          <w:szCs w:val="15"/>
          <w:color w:val="auto"/>
        </w:rPr>
        <w:t>has served as a director of Wynn Resorts since October 2002. Robert J. Miller has been a partner of the Nevada law firm of Jones Vargas</w:t>
      </w:r>
      <w:r>
        <w:rPr>
          <w:rFonts w:ascii="Arial" w:cs="Arial" w:eastAsia="Arial" w:hAnsi="Arial"/>
          <w:sz w:val="15"/>
          <w:szCs w:val="15"/>
          <w:i w:val="1"/>
          <w:iCs w:val="1"/>
          <w:color w:val="auto"/>
        </w:rPr>
        <w:t xml:space="preserve"> </w:t>
      </w:r>
      <w:r>
        <w:rPr>
          <w:rFonts w:ascii="Arial" w:cs="Arial" w:eastAsia="Arial" w:hAnsi="Arial"/>
          <w:sz w:val="15"/>
          <w:szCs w:val="15"/>
          <w:color w:val="auto"/>
        </w:rPr>
        <w:t>since 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5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of Wynn Resorts since October 2002. Mr. Moran is the retired Chairman of Dyson-Kissner-Moran Corporation,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i w:val="1"/>
          <w:iCs w:val="1"/>
          <w:color w:val="auto"/>
        </w:rPr>
        <w:t xml:space="preserve">Elaine P. Wynn </w:t>
      </w:r>
      <w:r>
        <w:rPr>
          <w:rFonts w:ascii="Arial" w:cs="Arial" w:eastAsia="Arial" w:hAnsi="Arial"/>
          <w:sz w:val="15"/>
          <w:szCs w:val="15"/>
          <w:color w:val="auto"/>
        </w:rPr>
        <w:t>has served as a director of Wynn Resorts since October 2002. Mrs. Wynn has served as Co-Chairperson of the Greater Las Vegas Inner-City</w:t>
      </w:r>
      <w:r>
        <w:rPr>
          <w:rFonts w:ascii="Arial" w:cs="Arial" w:eastAsia="Arial" w:hAnsi="Arial"/>
          <w:sz w:val="15"/>
          <w:szCs w:val="15"/>
          <w:i w:val="1"/>
          <w:iCs w:val="1"/>
          <w:color w:val="auto"/>
        </w:rPr>
        <w:t xml:space="preserve"> </w:t>
      </w:r>
      <w:r>
        <w:rPr>
          <w:rFonts w:ascii="Arial" w:cs="Arial" w:eastAsia="Arial" w:hAnsi="Arial"/>
          <w:sz w:val="15"/>
          <w:szCs w:val="15"/>
          <w:color w:val="auto"/>
        </w:rPr>
        <w:t>Games 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5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of Wynn Resorts since October 2002. Since 1977, Mr. Zax has served as Chairman of the Board, and, since 1978,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of Wynn Resorts since October 2002. Mr. Zeman has served as chairman of Lan Kwai Fong Holdings Limited,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engaged in 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of Wynn Resorts. Since April 2001, Mr. Schorr has served as Chief Operating Officer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From June 2000 through April 2001, Mr. Schorr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of Wynn Resorts. Since November 2001, Mr. Strzemp has served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4"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i w:val="1"/>
          <w:iCs w:val="1"/>
          <w:color w:val="auto"/>
        </w:rPr>
        <w:t xml:space="preserve">Marc H. Rubinstein </w:t>
      </w:r>
      <w:r>
        <w:rPr>
          <w:rFonts w:ascii="Arial" w:cs="Arial" w:eastAsia="Arial" w:hAnsi="Arial"/>
          <w:sz w:val="15"/>
          <w:szCs w:val="15"/>
          <w:color w:val="auto"/>
        </w:rPr>
        <w:t>serves as Senior Vice President—General Counsel of Wynn Resorts. Since April 2001, Mr. Rubinstein has served as Senior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President—General 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w:t>
      </w:r>
    </w:p>
    <w:p>
      <w:pPr>
        <w:sectPr>
          <w:pgSz w:w="11900" w:h="16838" w:orient="portrait"/>
          <w:cols w:equalWidth="0" w:num="1">
            <w:col w:w="11420"/>
          </w:cols>
          <w:pgMar w:left="240" w:top="131" w:right="239" w:bottom="0" w:gutter="0" w:footer="0" w:header="0"/>
        </w:sectPr>
      </w:pPr>
    </w:p>
    <w:bookmarkStart w:id="65" w:name="page66"/>
    <w:bookmarkEnd w:id="65"/>
    <w:p>
      <w:pPr>
        <w:ind w:right="340"/>
        <w:spacing w:after="0" w:line="268" w:lineRule="auto"/>
        <w:rPr>
          <w:sz w:val="20"/>
          <w:szCs w:val="20"/>
          <w:color w:val="auto"/>
        </w:rPr>
      </w:pPr>
      <w:r>
        <w:rPr>
          <w:rFonts w:ascii="Arial" w:cs="Arial" w:eastAsia="Arial" w:hAnsi="Arial"/>
          <w:sz w:val="18"/>
          <w:szCs w:val="18"/>
          <w:color w:val="auto"/>
        </w:rPr>
        <w:t>Senior Vice President and General Counsel of the Sheraton Desert Inn Corporation, a gaming company that did business as The Desert Inn and then a wholly owned subsidiary of ITT Sheraton Corp. and Starwood Hotels &amp; Resorts Worldwide, Inc.</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of Wynn Resorts. Mr. Maddox has served as Vice President—Investor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subsidiary of Valvino, since June 2000. From 1973 until</w:t>
      </w:r>
      <w:r>
        <w:rPr>
          <w:rFonts w:ascii="Arial" w:cs="Arial" w:eastAsia="Arial" w:hAnsi="Arial"/>
          <w:sz w:val="16"/>
          <w:szCs w:val="16"/>
          <w:i w:val="1"/>
          <w:iCs w:val="1"/>
          <w:color w:val="auto"/>
        </w:rPr>
        <w:t xml:space="preserve"> </w:t>
      </w:r>
      <w:r>
        <w:rPr>
          <w:rFonts w:ascii="Arial" w:cs="Arial" w:eastAsia="Arial" w:hAnsi="Arial"/>
          <w:sz w:val="16"/>
          <w:szCs w:val="16"/>
          <w:color w:val="auto"/>
        </w:rPr>
        <w:t>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Wynn Resorts'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Resorts' articles of incorporation and bylaws provide for a classified board of directors consisting of three classes of directors, each serving staggered three-year terms. As a result, a portion of Wynn Resorts' board of directors will be elected each year. To implement the classified board of directors structure, prior to the completion of Wynn Resorts' common stock offering, three of the members of the board of directors will be Class I directors elected to one-year terms, two will be Class II directors elected to two-year terms and three will be Class III directors elected to three-year terms. Thereafter, directors will be elected for three-year terms. Upon the completion of Wynn Resorts' common stock offering, Class I will consist of Elaine P. Wynn, Ronald J. Kramer and John A. Moran; Class II will consist of Mr. Wynn and Stanley R. Zax; and Class III will consist of Robert J. Miller, Allan Zeman and Kazuo Okada.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 expects to have a board of directors comprised of the same members as Wynn Resorts' board of directors.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Upon completion of Wynn Resorts' common stock offering, the board of directors of Wynn Resorts intends to appoint an executive committee, an audit committee and a compensation committee. Wynn Capital's board of directors will also appoint an executive committee, an audit committee and a compensation committee, which committees will be comprised of the same members as Wynn Resorts' committees. The composition of the board committees of Wynn Resorts and Wynn Capital will comply with the requirements of The Nasdaq National Market and the Sarbanes-Oxley Act of 2002.</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executive committees of Wynn Resorts and Wynn Capital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Wynn Resorts'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Las Vegas' Annual Reports on Form 10-K to be filed with the Securities and Exchange Commission. We expect that the audit committees of Wynn Resorts and Wynn Capital will be comprised of three independent directors.</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compensation committees of Wynn Resorts and Wynn Capital will review and approve on behalf of the entire board of directors of Wynn Resorts and Wynn Capital, respectively, the (1) annual salaries and other compensation of its respective officers, and (2) individual stock and stock option grants. The compensation committees of Wynn Resorts and Wynn Capital also will provide assistance and recommendations with respect to its respective compensation policies and practices and assist with the administration of the compensation plan of Wynn Resorts and Wynn Capital. We expect that each of the compensation committees of Wynn Resorts and Wynn Capital will be comprised of at least two independent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noted above, the board of directors of Wynn Resorts and Wynn Capital will appoint a compensation committee upon completion of Wynn Resorts' initial public offering. We do not expect that any of Wynn Resorts' or Wynn Capital's executive officers will serve as a director or member of the compensation committee of another entity, one of whose executive officers serves on Wynn Resorts' or Wynn Capital's board of directors or compensation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ectPr>
          <w:pgSz w:w="11900" w:h="16838" w:orient="portrait"/>
          <w:cols w:equalWidth="0" w:num="1">
            <w:col w:w="11400"/>
          </w:cols>
          <w:pgMar w:left="240" w:top="131" w:right="259" w:bottom="94" w:gutter="0" w:footer="0" w:header="0"/>
          <w:type w:val="continuous"/>
        </w:sectPr>
      </w:pPr>
    </w:p>
    <w:bookmarkStart w:id="66" w:name="page67"/>
    <w:bookmarkEnd w:id="66"/>
    <w:p>
      <w:pPr>
        <w:ind w:right="60" w:firstLine="351"/>
        <w:spacing w:after="0" w:line="298" w:lineRule="auto"/>
        <w:rPr>
          <w:sz w:val="20"/>
          <w:szCs w:val="20"/>
          <w:color w:val="auto"/>
        </w:rPr>
      </w:pPr>
      <w:r>
        <w:rPr>
          <w:rFonts w:ascii="Arial" w:cs="Arial" w:eastAsia="Arial" w:hAnsi="Arial"/>
          <w:sz w:val="16"/>
          <w:szCs w:val="16"/>
          <w:color w:val="auto"/>
        </w:rPr>
        <w:t>Upon completion of Wynn Resorts' initial public offering, each of the directors of Wynn Resorts and Wynn Capital who is not an employee of Wynn Resorts or its subsidiaries will receive a monthly fee of $4,000 for services as a director. Directors who serve on the executive, audit and compensation committees will receive an additional monthly fee of $1,000. Directors will also receive reimbursement for medical expenses and coverage under a life insurance program. Directors who are employees of Wynn Resorts or its subsidiaries will not receive compensation for their services as directors.</w:t>
      </w:r>
    </w:p>
    <w:p>
      <w:pPr>
        <w:spacing w:after="0" w:line="16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Each non-employee director of Wynn Resorts and Wynn Capital will receive stock options each year under Wynn Resorts' 2002 stock incentive plan in an amount to be determined. The stock options will have an exercise price equal to the market value of Wynn Resorts' common stock on the date of grant and will vest over a period defined in the option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and Wynn Capital's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88"/>
              </w:rPr>
              <w:t>Annual Compensation</w:t>
            </w: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Other Annual</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71,190(3)(4)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Chief Executive Officer and President of Wynn Resorts Holdings</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31,511(3)(4)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D. Schorr(5)</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92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Kenneth R. Wynn(6)</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John Strzemp(7)</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1"/>
                <w:szCs w:val="11"/>
                <w:color w:val="auto"/>
              </w:rPr>
            </w:pPr>
          </w:p>
        </w:tc>
        <w:tc>
          <w:tcPr>
            <w:tcW w:w="2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300,530</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14,963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w w:val="92"/>
              </w:rPr>
              <w:t>Executive Vice President and Chief Financial Officer of Wynn Resorts</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65,769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150,000</w:t>
            </w:r>
          </w:p>
        </w:tc>
        <w:tc>
          <w:tcPr>
            <w:tcW w:w="300" w:type="dxa"/>
            <w:vAlign w:val="bottom"/>
          </w:tcPr>
          <w:p>
            <w:pPr>
              <w:spacing w:after="0"/>
              <w:rPr>
                <w:sz w:val="12"/>
                <w:szCs w:val="12"/>
                <w:color w:val="auto"/>
              </w:rPr>
            </w:pPr>
          </w:p>
        </w:tc>
        <w:tc>
          <w:tcPr>
            <w:tcW w:w="1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DeRuyter O. Butler(8)</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88"/>
              </w:rPr>
              <w:t>Executive Vice President—Architecture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197,885</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35,000</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H. Rubinstein(9)</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286,279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00" w:type="dxa"/>
            <w:vAlign w:val="bottom"/>
            <w:gridSpan w:val="3"/>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113,708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12,500</w:t>
            </w:r>
          </w:p>
        </w:tc>
        <w:tc>
          <w:tcPr>
            <w:tcW w:w="300" w:type="dxa"/>
            <w:vAlign w:val="bottom"/>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-1832610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-1832610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-1395095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-1395095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-1395095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-1395095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-1395095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-1395095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-1395095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-1395095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-1395095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-1395095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0"/>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0"/>
        </w:numPr>
        <w:rPr>
          <w:rFonts w:ascii="Arial" w:cs="Arial" w:eastAsia="Arial" w:hAnsi="Arial"/>
          <w:sz w:val="23"/>
          <w:szCs w:val="23"/>
          <w:color w:val="auto"/>
          <w:vertAlign w:val="subscript"/>
        </w:rPr>
      </w:pPr>
      <w:r>
        <w:rPr>
          <w:rFonts w:ascii="Arial" w:cs="Arial" w:eastAsia="Arial" w:hAnsi="Arial"/>
          <w:sz w:val="12"/>
          <w:szCs w:val="12"/>
          <w:color w:val="auto"/>
        </w:rPr>
        <w:t>Stephen A. Wynn served as managing member of Valvino from its inception to September 2002 and has served as Chief Executive Officer and President of Wynn Resorts Holdings since April 1, 2001.</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0"/>
        </w:numPr>
        <w:rPr>
          <w:rFonts w:ascii="Arial" w:cs="Arial" w:eastAsia="Arial" w:hAnsi="Arial"/>
          <w:sz w:val="23"/>
          <w:szCs w:val="23"/>
          <w:color w:val="auto"/>
          <w:vertAlign w:val="subscript"/>
        </w:rPr>
      </w:pPr>
      <w:r>
        <w:rPr>
          <w:rFonts w:ascii="Arial" w:cs="Arial" w:eastAsia="Arial" w:hAnsi="Arial"/>
          <w:sz w:val="12"/>
          <w:szCs w:val="12"/>
          <w:color w:val="auto"/>
        </w:rPr>
        <w:t>Represents (i) salary of a driver whom we employ for Stephen A. Wynn's business and personal use and (ii) accounting services.</w:t>
      </w:r>
    </w:p>
    <w:p>
      <w:pPr>
        <w:spacing w:after="0" w:line="71" w:lineRule="exact"/>
        <w:rPr>
          <w:rFonts w:ascii="Arial" w:cs="Arial" w:eastAsia="Arial" w:hAnsi="Arial"/>
          <w:sz w:val="23"/>
          <w:szCs w:val="23"/>
          <w:color w:val="auto"/>
          <w:vertAlign w:val="subscript"/>
        </w:rPr>
      </w:pPr>
    </w:p>
    <w:p>
      <w:pPr>
        <w:jc w:val="both"/>
        <w:ind w:left="540" w:right="120" w:hanging="532"/>
        <w:spacing w:after="0" w:line="188" w:lineRule="auto"/>
        <w:tabs>
          <w:tab w:leader="none" w:pos="540" w:val="left"/>
        </w:tabs>
        <w:numPr>
          <w:ilvl w:val="0"/>
          <w:numId w:val="90"/>
        </w:numPr>
        <w:rPr>
          <w:rFonts w:ascii="Arial" w:cs="Arial" w:eastAsia="Arial" w:hAnsi="Arial"/>
          <w:sz w:val="26"/>
          <w:szCs w:val="26"/>
          <w:color w:val="auto"/>
          <w:vertAlign w:val="subscript"/>
        </w:rPr>
      </w:pPr>
      <w:r>
        <w:rPr>
          <w:rFonts w:ascii="Arial" w:cs="Arial" w:eastAsia="Arial" w:hAnsi="Arial"/>
          <w:sz w:val="13"/>
          <w:szCs w:val="13"/>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90"/>
        </w:numPr>
        <w:rPr>
          <w:rFonts w:ascii="Arial" w:cs="Arial" w:eastAsia="Arial" w:hAnsi="Arial"/>
          <w:sz w:val="27"/>
          <w:szCs w:val="27"/>
          <w:color w:val="auto"/>
          <w:vertAlign w:val="subscript"/>
        </w:rPr>
      </w:pPr>
      <w:r>
        <w:rPr>
          <w:rFonts w:ascii="Arial" w:cs="Arial" w:eastAsia="Arial" w:hAnsi="Arial"/>
          <w:sz w:val="14"/>
          <w:szCs w:val="14"/>
          <w:color w:val="auto"/>
        </w:rPr>
        <w:t>Mr. Schorr was employed by Valvino from June 1, 2000 until his employment with Wynn Resorts Holdings commenced on April 1, 2001.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27"/>
          <w:szCs w:val="27"/>
          <w:color w:val="auto"/>
          <w:vertAlign w:val="subscript"/>
        </w:rPr>
      </w:pPr>
      <w:r>
        <w:rPr>
          <w:rFonts w:ascii="Arial" w:cs="Arial" w:eastAsia="Arial" w:hAnsi="Arial"/>
          <w:sz w:val="14"/>
          <w:szCs w:val="14"/>
          <w:color w:val="auto"/>
        </w:rPr>
        <w:t>Kenneth R. Wynn's employment with Wynn Design &amp; Development commenced on June 1, 2000.</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91"/>
        </w:numPr>
        <w:rPr>
          <w:rFonts w:ascii="Arial" w:cs="Arial" w:eastAsia="Arial" w:hAnsi="Arial"/>
          <w:sz w:val="21"/>
          <w:szCs w:val="21"/>
          <w:color w:val="auto"/>
          <w:vertAlign w:val="subscript"/>
        </w:rPr>
      </w:pPr>
      <w:r>
        <w:rPr>
          <w:rFonts w:ascii="Arial" w:cs="Arial" w:eastAsia="Arial" w:hAnsi="Arial"/>
          <w:sz w:val="11"/>
          <w:szCs w:val="11"/>
          <w:color w:val="auto"/>
        </w:rPr>
        <w:t>Mr. Strzemp was employed by Valvino from November 1, 2000 until his employment with Wynn Resorts Holdings commenced on April 1, 2001.</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1"/>
        </w:numPr>
        <w:rPr>
          <w:rFonts w:ascii="Arial" w:cs="Arial" w:eastAsia="Arial" w:hAnsi="Arial"/>
          <w:sz w:val="23"/>
          <w:szCs w:val="23"/>
          <w:color w:val="auto"/>
          <w:vertAlign w:val="subscript"/>
        </w:rPr>
      </w:pPr>
      <w:r>
        <w:rPr>
          <w:rFonts w:ascii="Arial" w:cs="Arial" w:eastAsia="Arial" w:hAnsi="Arial"/>
          <w:sz w:val="12"/>
          <w:szCs w:val="12"/>
          <w:color w:val="auto"/>
        </w:rPr>
        <w:t>Mr. Butler's employment with Wynn Design &amp; Development commenced on June 1, 2000.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1"/>
        </w:numPr>
        <w:rPr>
          <w:rFonts w:ascii="Arial" w:cs="Arial" w:eastAsia="Arial" w:hAnsi="Arial"/>
          <w:sz w:val="23"/>
          <w:szCs w:val="23"/>
          <w:color w:val="auto"/>
          <w:vertAlign w:val="subscript"/>
        </w:rPr>
      </w:pPr>
      <w:r>
        <w:rPr>
          <w:rFonts w:ascii="Arial" w:cs="Arial" w:eastAsia="Arial" w:hAnsi="Arial"/>
          <w:sz w:val="12"/>
          <w:szCs w:val="12"/>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Wynn Resorts has adopted its 2002 stock incentive plan. The 2002 stock incentive plan provides for the grant of stock awards, incentive stock options and non-qualified stock options to our employees, directors and specified consultants. Wynn Resorts intends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ectPr>
          <w:pgSz w:w="11900" w:h="16838" w:orient="portrait"/>
          <w:cols w:equalWidth="0" w:num="1">
            <w:col w:w="11420"/>
          </w:cols>
          <w:pgMar w:left="240" w:top="131" w:right="239" w:bottom="128" w:gutter="0" w:footer="0" w:header="0"/>
        </w:sectPr>
      </w:pPr>
    </w:p>
    <w:bookmarkStart w:id="67" w:name="page68"/>
    <w:bookmarkEnd w:id="67"/>
    <w:p>
      <w:pPr>
        <w:ind w:right="20" w:firstLine="341"/>
        <w:spacing w:after="0" w:line="259"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certain events occur that result in a change of Wynn Resorts'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Following the completion of this offering and the offering of Wynn Resorts' common stock, Wynn Resorts intends to grant awards of 189,723 shares of restricted stock under its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has entered into employment agreements with Stephen A. Wynn, John Strzemp, Marc D. Schorr and Marc H. Rubinstein, and Wynn Design &amp; Development has entered into employment agreements with Kenneth R. Wynn and DeRuyter O. Butler.</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Under Stephen A. Wynn's employment agreement, the annual base salary is $1,250,000 for the first year and will increase by $500,000 each year to a maximum of $2,750,000. Under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Schorr's employment agreement, the annual base salary is $750,000 for the first year and $1,000,000 thereafter. The annual base salary is $459,000 for Mr. Strzemp, $360,000 for Mr. Rubinstein, $350,000 for Mr. Butler and $250,000 for Kenneth Wynn.</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Wynn Resorts' board of directors, in its sole and exclusive discretion, may determine. However, after Wynn Resorts'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will end on May 31, 2006. If this offering does not close on or before April 1, 2003, the employment contracts will become null and void. In addition to base salary and bonuses, each executive will participate in all of Wynn Resorts'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Wynn Resorts' sole cost and expense to Stephen A. Wynn, and Stephen A. Wynn, Mr. Schorr and Kenneth Wynn will enter into time-sharing agreements with their respective employing entity covering their personal use of our aircraft, with each such executive paying such employing entity the lesser of (1) his and his family's share of the direct costs incurred by us in operating the aircraft or (2) the amount required by applicable federal aviation regulations.</w:t>
      </w:r>
    </w:p>
    <w:p>
      <w:pPr>
        <w:spacing w:after="0" w:line="17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the employing entity terminates the employment of an executive without "cause," or the executive terminates his employment with such employing entity upon "good reason" following a "change of control" (as these terms are defined in the employment contracts), the employing entity will pay the executive a "separation payment" in a lump sum equal to (a) the executive's base salary for the remainder of the term of the employment contract, but not for less than one</w:t>
      </w:r>
    </w:p>
    <w:p>
      <w:pPr>
        <w:sectPr>
          <w:pgSz w:w="11900" w:h="16838" w:orient="portrait"/>
          <w:cols w:equalWidth="0" w:num="1">
            <w:col w:w="11400"/>
          </w:cols>
          <w:pgMar w:left="240" w:top="131" w:right="259" w:bottom="0" w:gutter="0" w:footer="0" w:header="0"/>
        </w:sectPr>
      </w:pPr>
    </w:p>
    <w:bookmarkStart w:id="68" w:name="page69"/>
    <w:bookmarkEnd w:id="68"/>
    <w:p>
      <w:pPr>
        <w:ind w:right="80"/>
        <w:spacing w:after="0" w:line="301" w:lineRule="auto"/>
        <w:rPr>
          <w:sz w:val="20"/>
          <w:szCs w:val="20"/>
          <w:color w:val="auto"/>
        </w:rPr>
      </w:pPr>
      <w:r>
        <w:rPr>
          <w:rFonts w:ascii="Arial" w:cs="Arial" w:eastAsia="Arial" w:hAnsi="Arial"/>
          <w:sz w:val="15"/>
          <w:szCs w:val="15"/>
          <w:color w:val="auto"/>
        </w:rPr>
        <w:t>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the Internal Revenue Code Section 4999. If the executive is entitled to receive the separation payment, he will also be entitled to continue participating in the employing entity's health benefits coverage for the period for which the separation payment is payable on the same basis as if he were still employed by the employing entity. Except as provided below, if the executive's employment terminates for any other reason before the expiration of the term (i.e., because of the executive's death, disability, discharge for cause or revocation of gaming license), the employing entity will be required to pay the executive only accrued but unpaid base salary and vacation pay through his termination date. If Mr. Wynn's employment agreement is terminated as a result of death, complete disability or denial or revocation of</w:t>
      </w:r>
    </w:p>
    <w:p>
      <w:pPr>
        <w:spacing w:after="0" w:line="4"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Mr. Wynn's gaming license, then the employing entity will pay Mr. Wynn a separation payment equal to his base salary for the remainder of the term of the employment contract, but not less than one year, and the bonus that Mr. Wynn received for the preceding bonus period projected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over the remainder of the term, but not less than the preceding bonus that was paid, projected over one year.</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Capital's articles of incorporation and bylaws contain similar limited liability and indemnification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operating agreement provides that it shall indemnify its members to the maximum extent permitted by Nevada law.</w:t>
      </w:r>
    </w:p>
    <w:p>
      <w:pPr>
        <w:sectPr>
          <w:pgSz w:w="11900" w:h="16838" w:orient="portrait"/>
          <w:cols w:equalWidth="0" w:num="1">
            <w:col w:w="11400"/>
          </w:cols>
          <w:pgMar w:left="240" w:top="131" w:right="259" w:bottom="0" w:gutter="0" w:footer="0" w:header="0"/>
        </w:sectPr>
      </w:pPr>
    </w:p>
    <w:bookmarkStart w:id="69" w:name="page70"/>
    <w:bookmarkEnd w:id="69"/>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w:t>
      </w:r>
    </w:p>
    <w:p>
      <w:pPr>
        <w:sectPr>
          <w:pgSz w:w="11900" w:h="16838" w:orient="portrait"/>
          <w:cols w:equalWidth="0" w:num="1">
            <w:col w:w="11420"/>
          </w:cols>
          <w:pgMar w:left="240" w:top="131" w:right="239" w:bottom="0" w:gutter="0" w:footer="0" w:header="0"/>
        </w:sectPr>
      </w:pPr>
    </w:p>
    <w:bookmarkStart w:id="70" w:name="page71"/>
    <w:bookmarkEnd w:id="70"/>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 buy-out arrangements under the Valvino operating agreement and under the stockholders agreement between Mr. Wynn, Aruze USA and Baron Asset Fund were terminated upon the effectiveness of the new agreement.</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subsidiary of Valvino, is responsible for the design and architecture of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Art Gallery. </w:t>
      </w:r>
      <w:r>
        <w:rPr>
          <w:rFonts w:ascii="Arial" w:cs="Arial" w:eastAsia="Arial" w:hAnsi="Arial"/>
          <w:sz w:val="18"/>
          <w:szCs w:val="18"/>
          <w:color w:val="auto"/>
        </w:rPr>
        <w:t>We operate an art gallery at the former premises of the Desert Inn Resort &amp; Casino in which we display paintings from The Wynn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9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by Mr. Wynn. Valvino paid Las Vegas Jet approximately $356,000 for its use of the aircraft during this period. Wynn Macau paid Las Vegas Jet approximately $211,000 for its use of the aircraft during the period following the contribution by Wynn Macau to Valvino and prior to May 30, 2002.</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b w:val="1"/>
          <w:bCs w:val="1"/>
          <w:i w:val="1"/>
          <w:iCs w:val="1"/>
          <w:color w:val="auto"/>
        </w:rPr>
        <w:t xml:space="preserve">Reimbursable Costs. </w:t>
      </w:r>
      <w:r>
        <w:rPr>
          <w:rFonts w:ascii="Arial" w:cs="Arial" w:eastAsia="Arial" w:hAnsi="Arial"/>
          <w:sz w:val="15"/>
          <w:szCs w:val="15"/>
          <w:color w:val="auto"/>
        </w:rPr>
        <w:t>We have periodically incurred costs on Mr. Wynn's behalf, including costs with respect to Mr. Wynn's personal use of the corporate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aircraft, household employees at Mr. Wynn's residence, personal legal fees, construction work at Mr. Wynn's home and other personal purchases. Mr. Wynn fully</w:t>
      </w:r>
    </w:p>
    <w:p>
      <w:pPr>
        <w:sectPr>
          <w:pgSz w:w="11900" w:h="16962" w:orient="portrait"/>
          <w:cols w:equalWidth="0" w:num="1">
            <w:col w:w="11400"/>
          </w:cols>
          <w:pgMar w:left="240" w:top="131" w:right="259" w:bottom="0" w:gutter="0" w:footer="0" w:header="0"/>
        </w:sectPr>
      </w:pPr>
    </w:p>
    <w:bookmarkStart w:id="71" w:name="page72"/>
    <w:bookmarkEnd w:id="71"/>
    <w:p>
      <w:pPr>
        <w:ind w:right="60"/>
        <w:spacing w:after="0" w:line="255" w:lineRule="auto"/>
        <w:rPr>
          <w:sz w:val="20"/>
          <w:szCs w:val="20"/>
          <w:color w:val="auto"/>
        </w:rPr>
      </w:pPr>
      <w:r>
        <w:rPr>
          <w:rFonts w:ascii="Arial" w:cs="Arial" w:eastAsia="Arial" w:hAnsi="Arial"/>
          <w:sz w:val="18"/>
          <w:szCs w:val="18"/>
          <w:color w:val="auto"/>
        </w:rPr>
        <w:t>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Tax Indemnification Agreement. </w:t>
      </w:r>
      <w:r>
        <w:rPr>
          <w:rFonts w:ascii="Arial" w:cs="Arial" w:eastAsia="Arial" w:hAnsi="Arial"/>
          <w:sz w:val="18"/>
          <w:szCs w:val="18"/>
          <w:color w:val="auto"/>
        </w:rPr>
        <w:t>Mr. Wynn, Aruze USA, Baron Asset Fund, and the Kenneth R. Wynn Family Trust, referred to collectively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Transfer of Valvino Assets. </w:t>
      </w:r>
      <w:r>
        <w:rPr>
          <w:rFonts w:ascii="Arial" w:cs="Arial" w:eastAsia="Arial" w:hAnsi="Arial"/>
          <w:sz w:val="16"/>
          <w:szCs w:val="16"/>
          <w:color w:val="auto"/>
        </w:rPr>
        <w:t>In October 2002, Valvino transferred certain of its assets, including, among other things, its interest in Wynn Group Asia,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the indirect parent of Wynn Macau, Kevyn, LLC, Rambas Marketing Co., LLC, Toasty, LLC and WorldWide Wynn, LLC to Wynn Resorts.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2002, Valvino also contributed its equity interests in World Travel and Las Vegas Jet to Wynn Las Vegas.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Other Intercompany Agreements. </w:t>
      </w:r>
      <w:r>
        <w:rPr>
          <w:rFonts w:ascii="Arial" w:cs="Arial" w:eastAsia="Arial" w:hAnsi="Arial"/>
          <w:sz w:val="16"/>
          <w:szCs w:val="16"/>
          <w:color w:val="auto"/>
        </w:rPr>
        <w:t>Wynn Las Vegas has entered or plans to enter into various intercompany agreements with Valvino and/or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pursuant to which Wynn Las Vegas will lease the land on which the golf course, the driving range and an employee parking lot will be built, and the office building located on the 20-acre parcel located next to Le Rêve. Wynn Las Vegas will sublease space in the office building to Wynn Design &amp; Development and Wynn Resorts and will sublease the art gallery space to Wynn Resorts Holdings. Wynn Las Vegas, World Travel and Las Vegas Jet will enter into an agreement regarding use of the corporate aircraft. Wynn Design &amp; Development will enter into a contract with Wynn Las Vegas providing for design services in connection with Le Rêve by Wynn Design &amp; Development to Wynn Las Vegas.</w:t>
      </w:r>
    </w:p>
    <w:p>
      <w:pPr>
        <w:spacing w:after="0" w:line="174"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Wynn Resorts will enter into a management agreement with the restricted entities to provide management and consulting services to Valvino and the restricted entities.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Discussion &amp; Analysis of Financial Condition and Results of Operations—Liquidity and Capital Resources—Material Transactions Affecting Liquidity and Capital Resources."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Wynn Resorts' initial public offering and a joint book-running manager in this offering. In addition, affiliates of Dresdner Kleinwort Wasserstein may participate in the credit facilities and/or FF&amp;E facility.</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and Second Mortgage Notes. </w:t>
      </w:r>
      <w:r>
        <w:rPr>
          <w:rFonts w:ascii="Arial" w:cs="Arial" w:eastAsia="Arial" w:hAnsi="Arial"/>
          <w:sz w:val="16"/>
          <w:szCs w:val="16"/>
          <w:color w:val="auto"/>
        </w:rPr>
        <w:t>Each of Stephen A. Wynn, Chairman of the Board, Chief Executive Officer and a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Wynn Resorts and Aruze USA, a principal stockholder of Wynn Resorts, has agreed to purchase 5,576,923 shares of common stock directly from us at the price being offered to the public. Wynn Resorts is offering these shares directly to Mr. Wynn and Aruze USA as part of this offering.</w:t>
      </w:r>
    </w:p>
    <w:p>
      <w:pPr>
        <w:sectPr>
          <w:pgSz w:w="11900" w:h="16838" w:orient="portrait"/>
          <w:cols w:equalWidth="0" w:num="1">
            <w:col w:w="11420"/>
          </w:cols>
          <w:pgMar w:left="240" w:top="131" w:right="239" w:bottom="0" w:gutter="0" w:footer="0" w:header="0"/>
        </w:sectPr>
      </w:pPr>
    </w:p>
    <w:bookmarkStart w:id="72" w:name="page73"/>
    <w:bookmarkEnd w:id="72"/>
    <w:p>
      <w:pPr>
        <w:ind w:right="60" w:firstLine="351"/>
        <w:spacing w:after="0" w:line="332" w:lineRule="auto"/>
        <w:rPr>
          <w:sz w:val="20"/>
          <w:szCs w:val="20"/>
          <w:color w:val="auto"/>
        </w:rPr>
      </w:pPr>
      <w:r>
        <w:rPr>
          <w:rFonts w:ascii="Arial" w:cs="Arial" w:eastAsia="Arial" w:hAnsi="Arial"/>
          <w:sz w:val="16"/>
          <w:szCs w:val="16"/>
          <w:color w:val="auto"/>
        </w:rPr>
        <w:t>In addition, each of Stephen A. Wynn and Aruze USA has agreed to purchase $2,500,000 in gross proceeds of the second mortgage notes directly from us at the price being offered to the public. We are offering these notes directly to Mr. Wynn and Aruze USA as part of the offering of second mortgage notes.</w:t>
      </w:r>
    </w:p>
    <w:p>
      <w:pPr>
        <w:spacing w:after="0" w:line="139"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underwriters will not receive any underwriting discounts or commissions on any shares of common stock or second mortgage notes purchased by Mr. Wynn, or Aruze USA.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June 3, 2002, and in preparation for its offering of common stock,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current directors and executive officers of Wynn Resorts as a group.</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74,615,000 shares of common stock outstanding after completion of Wynn Resorts'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3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7"/>
              </w:rPr>
              <w:t>Before Offering</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3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w w:val="81"/>
              </w:rPr>
              <w:t>Percent</w:t>
            </w:r>
          </w:p>
        </w:tc>
        <w:tc>
          <w:tcPr>
            <w:tcW w:w="360" w:type="dxa"/>
            <w:vAlign w:val="bottom"/>
          </w:tcPr>
          <w:p>
            <w:pPr>
              <w:spacing w:after="0"/>
              <w:rPr>
                <w:sz w:val="23"/>
                <w:szCs w:val="23"/>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300" w:type="dxa"/>
            <w:vAlign w:val="bottom"/>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76,923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Stanley R. Zax(4)</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Kenneth R. Wynn(5)</w:t>
            </w:r>
          </w:p>
        </w:tc>
        <w:tc>
          <w:tcPr>
            <w:tcW w:w="1300" w:type="dxa"/>
            <w:vAlign w:val="bottom"/>
          </w:tcPr>
          <w:p>
            <w:pPr>
              <w:jc w:val="right"/>
              <w:spacing w:after="0"/>
              <w:rPr>
                <w:sz w:val="20"/>
                <w:szCs w:val="20"/>
                <w:color w:val="auto"/>
              </w:rPr>
            </w:pPr>
            <w:r>
              <w:rPr>
                <w:rFonts w:ascii="Arial" w:cs="Arial" w:eastAsia="Arial" w:hAnsi="Arial"/>
                <w:sz w:val="18"/>
                <w:szCs w:val="18"/>
                <w:color w:val="auto"/>
              </w:rPr>
              <w:t>58,317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88,317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50,379,684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-2387600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-2387600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-2387600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-2387600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-2139315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-2139315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-2139315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-2139315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-2139315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-2139315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-2139315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-2139315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-2139315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-2139315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380" w:hanging="532"/>
        <w:spacing w:after="0" w:line="214"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 and percentage ownership of after the offering include 5,576,923 shares of our common stock that each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Wynn and Aruze USA, Inc. has agreed to purchase in the initial public offering of Wynn Resorts' common stock.</w:t>
      </w:r>
    </w:p>
    <w:p>
      <w:pPr>
        <w:spacing w:after="0" w:line="150" w:lineRule="exact"/>
        <w:rPr>
          <w:sz w:val="20"/>
          <w:szCs w:val="20"/>
          <w:color w:val="auto"/>
        </w:rPr>
      </w:pPr>
    </w:p>
    <w:p>
      <w:pPr>
        <w:ind w:left="540" w:right="20" w:hanging="532"/>
        <w:spacing w:after="0" w:line="188" w:lineRule="auto"/>
        <w:tabs>
          <w:tab w:leader="none" w:pos="540" w:val="left"/>
        </w:tabs>
        <w:numPr>
          <w:ilvl w:val="0"/>
          <w:numId w:val="98"/>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85" w:lineRule="exact"/>
        <w:rPr>
          <w:rFonts w:ascii="Arial" w:cs="Arial" w:eastAsia="Arial" w:hAnsi="Arial"/>
          <w:sz w:val="26"/>
          <w:szCs w:val="26"/>
          <w:color w:val="auto"/>
          <w:vertAlign w:val="subscript"/>
        </w:rPr>
      </w:pPr>
    </w:p>
    <w:p>
      <w:pPr>
        <w:ind w:left="540" w:right="180" w:hanging="532"/>
        <w:spacing w:after="0" w:line="186" w:lineRule="auto"/>
        <w:tabs>
          <w:tab w:leader="none" w:pos="540" w:val="left"/>
        </w:tabs>
        <w:numPr>
          <w:ilvl w:val="0"/>
          <w:numId w:val="98"/>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98"/>
        </w:numPr>
        <w:rPr>
          <w:rFonts w:ascii="Arial" w:cs="Arial" w:eastAsia="Arial" w:hAnsi="Arial"/>
          <w:sz w:val="24"/>
          <w:szCs w:val="24"/>
          <w:color w:val="auto"/>
          <w:vertAlign w:val="subscript"/>
        </w:rPr>
      </w:pPr>
      <w:r>
        <w:rPr>
          <w:rFonts w:ascii="Arial" w:cs="Arial" w:eastAsia="Arial" w:hAnsi="Arial"/>
          <w:sz w:val="12"/>
          <w:szCs w:val="12"/>
          <w:color w:val="auto"/>
        </w:rPr>
        <w:t>Includes 1,000,000 shares held by Zenith Insurance Company, a wholly owned subsidiary of Zenith National Insurance Corp., of which Mr. Zax is President, CEO and Chairman of the Board. Mr. Zax disclaims beneficial ownership of such shares.</w:t>
      </w:r>
    </w:p>
    <w:p>
      <w:pPr>
        <w:ind w:left="540" w:hanging="532"/>
        <w:spacing w:after="0" w:line="187" w:lineRule="auto"/>
        <w:tabs>
          <w:tab w:leader="none" w:pos="540" w:val="left"/>
        </w:tabs>
        <w:numPr>
          <w:ilvl w:val="0"/>
          <w:numId w:val="98"/>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85" w:lineRule="exact"/>
        <w:rPr>
          <w:rFonts w:ascii="Arial" w:cs="Arial" w:eastAsia="Arial" w:hAnsi="Arial"/>
          <w:sz w:val="27"/>
          <w:szCs w:val="27"/>
          <w:color w:val="auto"/>
          <w:vertAlign w:val="subscript"/>
        </w:rPr>
      </w:pPr>
    </w:p>
    <w:p>
      <w:pPr>
        <w:ind w:left="540" w:right="140" w:hanging="532"/>
        <w:spacing w:after="0" w:line="188" w:lineRule="auto"/>
        <w:tabs>
          <w:tab w:leader="none" w:pos="540" w:val="left"/>
        </w:tabs>
        <w:numPr>
          <w:ilvl w:val="0"/>
          <w:numId w:val="98"/>
        </w:numPr>
        <w:rPr>
          <w:rFonts w:ascii="Arial" w:cs="Arial" w:eastAsia="Arial" w:hAnsi="Arial"/>
          <w:sz w:val="26"/>
          <w:szCs w:val="26"/>
          <w:color w:val="auto"/>
          <w:vertAlign w:val="subscript"/>
        </w:rPr>
      </w:pPr>
      <w:r>
        <w:rPr>
          <w:rFonts w:ascii="Arial" w:cs="Arial" w:eastAsia="Arial" w:hAnsi="Arial"/>
          <w:sz w:val="13"/>
          <w:szCs w:val="13"/>
          <w:color w:val="auto"/>
        </w:rPr>
        <w:t>Includes shares held by Stephen A. Wynn, shares held by Aruze USA of which Kazuo Okada may be deemed to have beneficial ownership and shares held by the Kenneth R. Wynn Family Trust of which Kenneth Wynn may be deemed to have beneficial ownership. Includes 11,153,846 shares that Mr. Wynn and Aruze USA have agreed to purchase in the initial public offering of Wynn Resorts' common stock.</w:t>
      </w:r>
    </w:p>
    <w:p>
      <w:pPr>
        <w:sectPr>
          <w:pgSz w:w="11900" w:h="16838" w:orient="portrait"/>
          <w:cols w:equalWidth="0" w:num="1">
            <w:col w:w="11400"/>
          </w:cols>
          <w:pgMar w:left="240" w:top="131" w:right="259" w:bottom="0" w:gutter="0" w:footer="0" w:header="0"/>
        </w:sectPr>
      </w:pPr>
    </w:p>
    <w:p>
      <w:pPr>
        <w:spacing w:after="0" w:line="196" w:lineRule="exact"/>
        <w:rPr>
          <w:sz w:val="20"/>
          <w:szCs w:val="20"/>
          <w:color w:val="auto"/>
        </w:rPr>
      </w:pPr>
    </w:p>
    <w:p>
      <w:pPr>
        <w:ind w:firstLine="345"/>
        <w:spacing w:after="0" w:line="306"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Following the completion of this offering and the offering of Wynn Resorts common stock, we intend to grant awards of 189,723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restricted stock under our 2002 stock incentive plan to each of the following employees: DeRuyter O. Butler, W. Todd Nisbet, Marc D. Schorr, John Strzemp, Roger P. Thomas and Kenneth R. Wynn. The restricted stock will vest in November 2004 as to Mr. Strzemp, in May 2005 as to Mr. Schorr and</w:t>
      </w:r>
    </w:p>
    <w:p>
      <w:pPr>
        <w:sectPr>
          <w:pgSz w:w="11900" w:h="16838" w:orient="portrait"/>
          <w:cols w:equalWidth="0" w:num="1">
            <w:col w:w="11400"/>
          </w:cols>
          <w:pgMar w:left="240" w:top="131" w:right="259" w:bottom="0" w:gutter="0" w:footer="0" w:header="0"/>
          <w:type w:val="continuous"/>
        </w:sectPr>
      </w:pPr>
    </w:p>
    <w:bookmarkStart w:id="73" w:name="page74"/>
    <w:bookmarkEnd w:id="73"/>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Kenneth R.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approval, including the approval of significant corporate transactions. The stockholders agreement will continue to be in effect after the completion of this offering. See "Certain Relationships and Related Transactions—Stockholders Agreement."</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b w:val="1"/>
          <w:bCs w:val="1"/>
          <w:i w:val="1"/>
          <w:iCs w:val="1"/>
          <w:color w:val="auto"/>
        </w:rPr>
        <w:t xml:space="preserve">Buy-Out of Aruze USA Stock. </w:t>
      </w:r>
      <w:r>
        <w:rPr>
          <w:rFonts w:ascii="Arial" w:cs="Arial" w:eastAsia="Arial" w:hAnsi="Arial"/>
          <w:sz w:val="15"/>
          <w:szCs w:val="15"/>
          <w:color w:val="auto"/>
        </w:rPr>
        <w:t>Mr. Wynn, Kazuo Okada, Aruze USA, Aruze Corp. and Wynn Resorts have entered into arrangements which provide that if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"—Nevada gaming regulatory issues may arise regarding the licensing of owners of Wynn Resorts."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SECOND MORTGAGE NOTES</w:t>
      </w:r>
    </w:p>
    <w:p>
      <w:pPr>
        <w:spacing w:after="0" w:line="231"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"Issuers" refers collectively to Wynn Las Vegas, LLC and Wynn Las Vegas Capital Corp. and not to any of their respective subsidiaries, and the words "we," "us" and "our" refer to Wynn Las Vegas and its subsidiaries.</w:t>
      </w:r>
    </w:p>
    <w:p>
      <w:pPr>
        <w:spacing w:after="0" w:line="19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Issuers will issue the notes under an indenture among Wynn Las Vegas and Wynn Las Vegas Capital Corp., as joint and several obligors, Desert Inn Water Company, LLC, Wynn Design &amp; Development, LLC, Wynn Resorts Holdings, Las Vegas Jet, LLC, World Travel, LLC, Palo, LLC, Valvino Lamore and Wynn Resorts, Limited as guarantors, and Wells Fargo Bank, National Association, as indenture trustee. The terms of the notes include those stated in the indenture and those made part of the indenture by reference to the Trust Indenture Act of 1939, as amended. The Collateral Documents referred to under "— Security Interests" define the terms of the agreements that will secure the notes.</w:t>
      </w:r>
    </w:p>
    <w:p>
      <w:pPr>
        <w:spacing w:after="0" w:line="170"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is constructing and will own and operate Le Rêve. Wynn Capital is a wholly owned subsidiary of 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solely to serve as a corporate co-issuer of the notes in order to facilitate this offering. We believe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principal, interest or other amounts required to be paid on the notes.</w:t>
      </w:r>
    </w:p>
    <w:p>
      <w:pPr>
        <w:spacing w:after="0" w:line="170"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General terms.</w:t>
      </w:r>
      <w:r>
        <w:rPr>
          <w:sz w:val="20"/>
          <w:szCs w:val="20"/>
          <w:color w:val="auto"/>
        </w:rPr>
        <w:tab/>
      </w:r>
      <w:r>
        <w:rPr>
          <w:rFonts w:ascii="Arial" w:cs="Arial" w:eastAsia="Arial" w:hAnsi="Arial"/>
          <w:sz w:val="15"/>
          <w:szCs w:val="15"/>
          <w:color w:val="auto"/>
        </w:rPr>
        <w:t>The notes:</w:t>
      </w:r>
    </w:p>
    <w:p>
      <w:pPr>
        <w:spacing w:after="0" w:line="239" w:lineRule="exact"/>
        <w:rPr>
          <w:sz w:val="20"/>
          <w:szCs w:val="20"/>
          <w:color w:val="auto"/>
        </w:rPr>
      </w:pPr>
    </w:p>
    <w:p>
      <w:pPr>
        <w:ind w:left="1080" w:right="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will be second mortgage notes, issued in an original aggregate principal amount of $370.0 million, with a maximum aggregate principal amount of $470.0 million;</w:t>
      </w:r>
    </w:p>
    <w:p>
      <w:pPr>
        <w:sectPr>
          <w:pgSz w:w="11900" w:h="16906" w:orient="portrait"/>
          <w:cols w:equalWidth="0" w:num="1">
            <w:col w:w="11420"/>
          </w:cols>
          <w:pgMar w:left="240" w:top="131" w:right="239" w:bottom="0" w:gutter="0" w:footer="0" w:header="0"/>
        </w:sectPr>
      </w:pPr>
    </w:p>
    <w:bookmarkStart w:id="74" w:name="page75"/>
    <w:bookmarkEnd w:id="74"/>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mature on November 1, 2010;</w:t>
      </w:r>
    </w:p>
    <w:p>
      <w:pPr>
        <w:spacing w:after="0" w:line="25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bear interest at the rate of 12% per annum (based on a 360-day year of twelve 30-day months), payable in arrears each May 1 and November 1, commencing May 1, 2003;</w:t>
      </w:r>
    </w:p>
    <w:p>
      <w:pPr>
        <w:spacing w:after="0" w:line="199"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will not be redeemable at our option prior to November 1, 2006, except that until November 1, 2005, we may redeem up to 35% in principal amount of the notes at a redemption price of 112% with the proceeds of Qualified Equity Offerings (other than the IPO);</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2006, at a premium declining ratably to par;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4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asset sales, sale-leaseback transactions, and restricting dividend and other payments affecting subsidiaries, mergers, consolidations or sales of substantially all assets, sales of subsidiary stock and other specified types of transactions.</w:t>
      </w:r>
    </w:p>
    <w:p>
      <w:pPr>
        <w:spacing w:after="0" w:line="161"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i w:val="1"/>
          <w:iCs w:val="1"/>
          <w:color w:val="auto"/>
        </w:rPr>
        <w:t>Security and Ranking.</w:t>
      </w:r>
      <w:r>
        <w:rPr>
          <w:sz w:val="20"/>
          <w:szCs w:val="20"/>
          <w:color w:val="auto"/>
        </w:rPr>
        <w:tab/>
      </w:r>
      <w:r>
        <w:rPr>
          <w:rFonts w:ascii="Arial" w:cs="Arial" w:eastAsia="Arial" w:hAnsi="Arial"/>
          <w:sz w:val="15"/>
          <w:szCs w:val="15"/>
          <w:color w:val="auto"/>
        </w:rPr>
        <w:t>The notes:</w:t>
      </w:r>
    </w:p>
    <w:p>
      <w:pPr>
        <w:spacing w:after="0" w:line="239" w:lineRule="exact"/>
        <w:rPr>
          <w:sz w:val="20"/>
          <w:szCs w:val="20"/>
          <w:color w:val="auto"/>
        </w:rPr>
      </w:pPr>
    </w:p>
    <w:p>
      <w:pPr>
        <w:ind w:left="1080" w:hanging="532"/>
        <w:spacing w:after="0" w:line="298"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be secured by (1) a perfected first priority security interest in the net proceeds of this offering, (2) perfected second priority security interests in substantially all of our other existing and future assets, including the Project, the Liquidity Reserve Account, and pledged Equity Interests in our Restricted Subsidiaries, but excluding (a) gaming licenses and other assets in which the grant of a security interest is restricted by law, and (b) the FF&amp;E Collateral, and (3) perfected third priority security interests in the FF&amp;E Collateral owned by Wynn Las Vegas;</w:t>
      </w:r>
    </w:p>
    <w:p>
      <w:pPr>
        <w:spacing w:after="0" w:line="193"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be effectively subordinated to borrowings (1) of up to $1.0 billion under our Credit Agreement, secured by perfected first priority security interests in substantially all of our existing and future assets, other than (a) gaming licenses and other assets in which the grant of a security interest is restricted by law, (b) the FF&amp;E Collateral, and (c) the proceeds of this offering, and (2) of up to $188.5 million (or $198.5 million if and after a replacement corporate aircraft is acquired) under the FF&amp;E Facility;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we may incur; and</w:t>
      </w:r>
    </w:p>
    <w:p>
      <w:pPr>
        <w:spacing w:after="0" w:line="238" w:lineRule="exact"/>
        <w:rPr>
          <w:rFonts w:ascii="Arial" w:cs="Arial" w:eastAsia="Arial" w:hAnsi="Arial"/>
          <w:sz w:val="18"/>
          <w:szCs w:val="18"/>
          <w:color w:val="auto"/>
        </w:rPr>
      </w:pPr>
    </w:p>
    <w:p>
      <w:pPr>
        <w:ind w:left="360" w:right="160" w:firstLine="188"/>
        <w:spacing w:after="0" w:line="563" w:lineRule="auto"/>
        <w:tabs>
          <w:tab w:leader="none" w:pos="109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be subject to restrictions on payment and exercise of remedies contained in the Intercreditor Agreements. See "—Intercreditor Agreements." The notes will be guaranteed by the Guarantors, will be supported on a second priority basis by the Completion Guarantee.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Guarantees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The Guarantors. </w:t>
      </w:r>
      <w:r>
        <w:rPr>
          <w:rFonts w:ascii="Arial" w:cs="Arial" w:eastAsia="Arial" w:hAnsi="Arial"/>
          <w:sz w:val="18"/>
          <w:szCs w:val="18"/>
          <w:color w:val="auto"/>
        </w:rPr>
        <w:t>The notes will be guaranteed by our indirect parents, Wynn Resorts and Valvino Lamore, and by Valvino Lamore's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(other than the Issuers and their Unrestricted Subsidiaries). Valvino Lamore and its subsidiaries (other than the Issuers and their Unrestricted Subsidiaries) are referred to as the "Restricted Entities." These subsidiaries are:</w:t>
      </w:r>
    </w:p>
    <w:p>
      <w:pPr>
        <w:spacing w:after="0" w:line="221"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Wynn Resorts Holdings, which owns the Golf Course Land;</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Desert Inn Water Company, LLC, which owns the stock of Desert Inn Improvement Co., which in turn owns certain water rights intended to irrigate the Golf Course Land;</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federal aviation regulations, Part 91;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World Travel, LLC, which holds the beneficial interest in a trust that owns the corporate aircraft and leases it to Las Vegas Jet, LLC;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Palo, LLC, which owns three residential lots adjacent to the Golf Course Land.</w:t>
      </w:r>
    </w:p>
    <w:p>
      <w:pPr>
        <w:spacing w:after="0" w:line="225"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the date of the indenture, Wynn Las Vegas' only subsidiaries will be Wynn Capital, World Travel, Las Vegas Jet and the Completion Guarantor. The Completion Guarantor will be an Unrestricted Subsidiary of Wynn Las Vegas.</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Parent Guarantor. </w:t>
      </w:r>
      <w:r>
        <w:rPr>
          <w:rFonts w:ascii="Arial" w:cs="Arial" w:eastAsia="Arial" w:hAnsi="Arial"/>
          <w:sz w:val="16"/>
          <w:szCs w:val="16"/>
          <w:color w:val="auto"/>
        </w:rPr>
        <w:t>Wynn Resorts will guarantee the second mortgage notes on a senior unsecured basis. In the event that Wynn Resorts grants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liens to secure other guarantees or specified indebtedness, Wynn Resorts will be required to grant second priority liens on the same assets to secure its guarantee of the second mortgage notes, but will not become subject to the restrictive covenants or other terms of the notes. The Parent Guarantee:</w:t>
      </w:r>
    </w:p>
    <w:p>
      <w:pPr>
        <w:spacing w:after="0" w:line="174" w:lineRule="exact"/>
        <w:rPr>
          <w:sz w:val="20"/>
          <w:szCs w:val="20"/>
          <w:color w:val="auto"/>
        </w:rPr>
      </w:pPr>
    </w:p>
    <w:p>
      <w:pPr>
        <w:ind w:left="1080" w:right="8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will be pari passu with Wynn Resorts' guarantee of the credit facility and the FF&amp;E facility, and senior in right of payment to any future subordinated indebtedness the Parent Guarantor may incur;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61" w:right="239" w:bottom="0" w:gutter="0" w:footer="0" w:header="0"/>
        </w:sectPr>
      </w:pPr>
    </w:p>
    <w:bookmarkStart w:id="75" w:name="page76"/>
    <w:bookmarkEnd w:id="75"/>
    <w:p>
      <w:pPr>
        <w:ind w:left="1080" w:right="120"/>
        <w:spacing w:after="0" w:line="268" w:lineRule="auto"/>
        <w:rPr>
          <w:sz w:val="20"/>
          <w:szCs w:val="20"/>
          <w:color w:val="auto"/>
        </w:rPr>
      </w:pPr>
      <w:r>
        <w:rPr>
          <w:rFonts w:ascii="Arial" w:cs="Arial" w:eastAsia="Arial" w:hAnsi="Arial"/>
          <w:sz w:val="18"/>
          <w:szCs w:val="18"/>
          <w:color w:val="auto"/>
        </w:rPr>
        <w:t>if secured, will be subject to the subordination provisions of the intercreditor agreement, and the guarantees will have the same relative priorities as the notes and credit facilities in the collateral; and</w:t>
      </w:r>
    </w:p>
    <w:p>
      <w:pPr>
        <w:spacing w:after="0" w:line="19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ind w:left="360"/>
        <w:spacing w:after="0"/>
        <w:tabs>
          <w:tab w:leader="none" w:pos="3200" w:val="left"/>
        </w:tabs>
        <w:rPr>
          <w:sz w:val="20"/>
          <w:szCs w:val="20"/>
          <w:color w:val="auto"/>
        </w:rPr>
      </w:pPr>
      <w:r>
        <w:rPr>
          <w:rFonts w:ascii="Arial" w:cs="Arial" w:eastAsia="Arial" w:hAnsi="Arial"/>
          <w:sz w:val="18"/>
          <w:szCs w:val="18"/>
          <w:i w:val="1"/>
          <w:iCs w:val="1"/>
          <w:color w:val="auto"/>
        </w:rPr>
        <w:t>General Terms, Security and Ranking.</w:t>
      </w:r>
      <w:r>
        <w:rPr>
          <w:sz w:val="20"/>
          <w:szCs w:val="20"/>
          <w:color w:val="auto"/>
        </w:rPr>
        <w:tab/>
      </w:r>
      <w:r>
        <w:rPr>
          <w:rFonts w:ascii="Arial" w:cs="Arial" w:eastAsia="Arial" w:hAnsi="Arial"/>
          <w:sz w:val="15"/>
          <w:szCs w:val="15"/>
          <w:color w:val="auto"/>
        </w:rPr>
        <w:t>The Guarantees will be unconditional, joint and several obligations of the Guarantors. Each Guarantee (except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Guarantee):</w:t>
      </w:r>
    </w:p>
    <w:p>
      <w:pPr>
        <w:spacing w:after="0" w:line="246" w:lineRule="exact"/>
        <w:rPr>
          <w:sz w:val="20"/>
          <w:szCs w:val="20"/>
          <w:color w:val="auto"/>
        </w:rPr>
      </w:pPr>
    </w:p>
    <w:p>
      <w:pPr>
        <w:ind w:left="1080" w:right="60" w:hanging="532"/>
        <w:spacing w:after="0" w:line="255"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secured by (1) perfected second priority security interests in substantially all of the Guarantors' existing and future assets, including pledged Equity Interests in Wynn Las Vegas, in the Water Companies and in the Guarantors' Restricted Subsidiaries, and at least initially, including the Phase II Land and the Golf Course Land, but excluding (a) gaming licenses and other assets in which the grant of a security interest is prohibited by law, and (b) the FF&amp;E Collateral, and (2) perfected third priority security interests in any FF&amp;E Collateral owned by the Guarantors (except the Parent Guarantor);</w:t>
      </w:r>
    </w:p>
    <w:p>
      <w:pPr>
        <w:spacing w:after="0" w:line="210"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will be effectively subordinated to guarantees (1) of up to $1.0 billion of obligations under our Credit Agreement, secured by perfected first priority security interests in substantially all of our existing and future assets, other than (a) gaming licenses and other assets in which the grant of a security interest is prohibited by law, (b) the FF&amp;E Collateral, and (c) the proceeds of this offering, and (2) of up to $188.5 million (or $198.5 million if and after a replacement corporate aircraft is acquired) under the FF&amp;E Facility;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the Guarantors may incur;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primary purpose of the Guarantees (except the unsecured guarantee of Wynn Resorts) is to provide second priority liens on the assets of the Guarantors, including the golf course, the Phase II Land, and equity interests in their Restricted Subsidiaries. While Valvino and its subsidiaries hold assets that are integral to the Project, they are not expected to have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operations that generate significant cash flows. As such, you should not expect Valvino Lamore or any of the other Guarantors to contribute to any payments of principal, interest or other amounts required to be made on the notes. Wynn Resorts will be able contribute to payments of principal, interest or other amounts required to be made on the second mortgage notes only to the extent it has unrestricted funds from other sources. The subsidiaries of Wynn Resorts that are not restricted entities will have no obligation to make payments or distributions to Wynn Resorts to enable Wynn Resorts to make payments under its guarantee. In addition, the subsidiaries of Wynn Resorts may be parties to financing or other agreements that restrict their ability to make any distributions to Wynn Resorts.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Completion Guarantee.</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Wynn Resorts will make a capital contribution of $50.0 million of the net proceeds of its IPO to the Completion Guarantor. The Completion Guarantor will provide the Completion Guarantee in an amount up to $50.0 million to secure completion of the Project, secured by second priority security interests in favor of the trustee for the benefit of the Holders in the contributed funds.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proceeds of the notes will be applied to the design, development, construction, opening and operation of the Project, and activities related and incidental thereto, in accordance with the Disbursement Agreement. Pending application to the Project, net proceeds of this offering will be held in a secured account of Wynn Las Vegas as security for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trustee will enter into two intercreditor agreements, a project lenders intercreditor agreement to govern the relations between the noteholders and the lenders under the Credit Agreement with respect to the Collateral (the "Project Lenders Intercreditor Agreement"), and an FF&amp;E intercreditor agreement to govern the relations between the noteholders and the lenders under the Credit Agreement, on the one hand, and the lenders under the FF&amp;E Facility, on the other hand, with respect to the FF&amp;E Collateral (the "FF&amp;E Intercreditor Agreement"). The Intercreditor Agreements will impose restrictions on payment and enforcement of the notes and the guarantees under specified circumstances.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Project Lenders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will provide that, until the indebtedness under the Credit Agreement has been repaid in full:</w:t>
      </w:r>
    </w:p>
    <w:p>
      <w:pPr>
        <w:spacing w:after="0" w:line="239" w:lineRule="exact"/>
        <w:rPr>
          <w:sz w:val="20"/>
          <w:szCs w:val="20"/>
          <w:color w:val="auto"/>
        </w:rPr>
      </w:pPr>
    </w:p>
    <w:p>
      <w:pPr>
        <w:jc w:val="both"/>
        <w:ind w:left="1080" w:right="4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lenders under the Credit Agreement will have the exclusive right to exercise remedies against the Collateral securing the notes and the Credit Agreement, and to determine the circumstances and manner in which that Collateral may be disposed of, subject to the rights of the lenders under the FF&amp;E Facility with respect to the FF&amp;E Collateral;</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agent under the Credit Agreement can amend various terms of, and waive defaults under, the Collateral Documents, without the consent of the note holders; and</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agent under the Credit Agreement has the right to amend the Disbursement Agreement or to waive any defaults, or conditions to funding, under the Disbursement Agreement in certain circumstances.</w:t>
      </w:r>
    </w:p>
    <w:p>
      <w:pPr>
        <w:sectPr>
          <w:pgSz w:w="11900" w:h="16838" w:orient="portrait"/>
          <w:cols w:equalWidth="0" w:num="1">
            <w:col w:w="11360"/>
          </w:cols>
          <w:pgMar w:left="240" w:top="131" w:right="299" w:bottom="317"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317" w:gutter="0" w:footer="0" w:header="0"/>
          <w:type w:val="continuous"/>
        </w:sectPr>
      </w:pPr>
    </w:p>
    <w:bookmarkStart w:id="76" w:name="page77"/>
    <w:bookmarkEnd w:id="76"/>
    <w:p>
      <w:pPr>
        <w:jc w:val="both"/>
        <w:ind w:right="60" w:firstLine="351"/>
        <w:spacing w:after="0" w:line="306" w:lineRule="auto"/>
        <w:rPr>
          <w:sz w:val="20"/>
          <w:szCs w:val="20"/>
          <w:color w:val="auto"/>
        </w:rPr>
      </w:pPr>
      <w:r>
        <w:rPr>
          <w:rFonts w:ascii="Arial" w:cs="Arial" w:eastAsia="Arial" w:hAnsi="Arial"/>
          <w:sz w:val="16"/>
          <w:szCs w:val="16"/>
          <w:color w:val="auto"/>
        </w:rPr>
        <w:t>Under the Project Lenders Intercreditor Agreement, the note holders cannot vote to accept a plan of reorganization or other restructuring plan, unless lenders holding two-thirds of the outstanding loans under the Credit Agreement vote in favor of that plan. However, the note holders are not required to vote in favor of a plan that the lenders under the Credit Agreement approve, and are free to challenge any such plan on fundamental fairness and other grounds.</w:t>
      </w:r>
    </w:p>
    <w:p>
      <w:pPr>
        <w:spacing w:after="0" w:line="161"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Under the Project Lenders Intercreditor Agreement, the trustee will have the exclusive right to exercise, or not to exercise, remedies against the net proceeds of this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FF&amp;E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FF&amp;E Intercreditor Agreement will provide that, until the indebtedness under the FF&amp;E Facility has been repaid in full:</w:t>
      </w:r>
    </w:p>
    <w:p>
      <w:pPr>
        <w:spacing w:after="0" w:line="239" w:lineRule="exact"/>
        <w:rPr>
          <w:sz w:val="20"/>
          <w:szCs w:val="20"/>
          <w:color w:val="auto"/>
        </w:rPr>
      </w:pPr>
    </w:p>
    <w:p>
      <w:pPr>
        <w:ind w:left="1080" w:right="22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lenders under the FF&amp;E Facility will be subject to a standstill period ranging from 30 to 60 days prior to exercising remedies following the occurrence of the first event of default during the construction period of the Project and the first event of default after completion of the Project; and</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subject to the standstill periods described above, the lenders under the FF&amp;E Facility will have the exclusive right to exercise remedies against the collateral securing the FF&amp;E Facility, and to determine the circumstances and manner in which that collateral may be disposed of.</w:t>
      </w:r>
    </w:p>
    <w:p>
      <w:pPr>
        <w:spacing w:after="0" w:line="139"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 FF&amp;E Intercreditor Agreement will permit the lenders under the Credit Agreement and, from and after 180 days after the occurrence of an event of default, the note holders, to repay off the outstanding portion of the FF&amp;E Facility obligations that is allocable to the collateral securing the FF&amp;E Facility (excluding amounts allocable to the Aircraft Assets) thereby obtaining the release of the security interest held by the lenders under the FF&amp;E Facility in that collateral.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Phase II Land and Golf Course Land.</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indenture will provide that upon release of the security interest in the Phase II Land under the Credit Agreement, the noteholders' security interest in the Phase II Land will be released. Upon meeting specified leverage test and debt ratings conditions and no less than three years after the Opening Date, the noteholders' security interest in the Golf Course Land will be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The Issuers may issue notes in a maximum aggregate principal amount of (a) $470.0 million,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principal amount of all Indebtedness incurred pursuant to clauses (11) and (12) of the covenant captioned "—Incurrence of Indebtedness and Issuance of Preferred Equity" other than through the issuance of additional notes under the indenture. $370.0 million of this maximum aggregate principal amount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 under the indenture will be treated as a single class of securities for all purposes under the indenture, including, without limitation, waivers, amendments, redemptions and offers to purchase. The Issuers will issue notes 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denominations of $1,000 and integral multiples of $1,000. The notes will mature on November 1, 2010.</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Interest on the notes will accrue at the rate of 12% per annum and will be payable semi-annually in arrears on May 1 and November 1, commencing on May 1, 2003. The Issuers will make each interest payment to the Holders of record on the immediately preceding April 15 and October 15.</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At any time prior to November 1, 2005, the Issuers may on one or more occasions redeem up to 35% of the aggregate principal amount of notes issued under the indenture at a redemption price of 112% of the principal amount redeemed, plus accrued and unpaid interest thereon to the redemption date, with the net cash proceeds of one or more Qualified Equity Offerings (other than the IPO), so long as</w:t>
      </w:r>
    </w:p>
    <w:p>
      <w:pPr>
        <w:spacing w:after="0" w:line="208" w:lineRule="exact"/>
        <w:rPr>
          <w:sz w:val="20"/>
          <w:szCs w:val="20"/>
          <w:color w:val="auto"/>
        </w:rPr>
      </w:pPr>
    </w:p>
    <w:p>
      <w:pPr>
        <w:ind w:left="540" w:right="720" w:hanging="532"/>
        <w:spacing w:after="0" w:line="370"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at least 65% of the aggregate principal amount of notes issued under the indenture remains outstanding immediately after the occurrence of such redemption (excluding notes held by Wynn Resorts, any of its Affiliates, any of their respective employees or the Existing Stockholders); and</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Qualified Equity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November 1, 2006.</w:t>
      </w:r>
    </w:p>
    <w:p>
      <w:pPr>
        <w:spacing w:after="0" w:line="225" w:lineRule="exact"/>
        <w:rPr>
          <w:sz w:val="20"/>
          <w:szCs w:val="20"/>
          <w:color w:val="auto"/>
        </w:rPr>
      </w:pPr>
    </w:p>
    <w:p>
      <w:pPr>
        <w:jc w:val="both"/>
        <w:ind w:right="460" w:firstLine="341"/>
        <w:spacing w:after="0" w:line="306" w:lineRule="auto"/>
        <w:rPr>
          <w:sz w:val="20"/>
          <w:szCs w:val="20"/>
          <w:color w:val="auto"/>
        </w:rPr>
      </w:pPr>
      <w:r>
        <w:rPr>
          <w:rFonts w:ascii="Arial" w:cs="Arial" w:eastAsia="Arial" w:hAnsi="Arial"/>
          <w:sz w:val="16"/>
          <w:szCs w:val="16"/>
          <w:color w:val="auto"/>
        </w:rPr>
        <w:t>After November 1, 2006, the Issuers may redeem all or a part of the notes upon not less than 30 nor more than 60 days' notice, at the redemption prices (expressed as percentages of principal amount) set forth below plus accrued and unpaid interest on the notes redeemed, to the applicable redemption date, if redeemed during the twelve-month period beginning on November 1 of the years indicated below:</w:t>
      </w:r>
    </w:p>
    <w:p>
      <w:pPr>
        <w:spacing w:after="0" w:line="156"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16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Percentage</w:t>
            </w:r>
          </w:p>
        </w:tc>
      </w:tr>
      <w:tr>
        <w:trPr>
          <w:trHeight w:val="105"/>
        </w:trPr>
        <w:tc>
          <w:tcPr>
            <w:tcW w:w="6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2007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108.00%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104.00%</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2009 and thereafter</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-633730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-633730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-633730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required by the Gaming Authority), or (2) is notified by a Gaming Authority that it will not be licensed, qualified or found suitable, the Issuers will have the right, at their option, to:</w:t>
      </w:r>
    </w:p>
    <w:p>
      <w:pPr>
        <w:spacing w:after="0" w:line="199" w:lineRule="exact"/>
        <w:rPr>
          <w:sz w:val="20"/>
          <w:szCs w:val="20"/>
          <w:color w:val="auto"/>
        </w:rPr>
      </w:pPr>
    </w:p>
    <w:p>
      <w:pPr>
        <w:ind w:left="540" w:right="300" w:hanging="532"/>
        <w:spacing w:after="0" w:line="26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199"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will not be required to make mandatory redemption or sinking fund payments with respect to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Guarantees and the Parent Guarantee will be joint and several obligations of the Guarantors. The obligations of each Guarantor under its Guarantee and of the Parent Guarantor under the Parent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guarantees and require note holders to return payments received from us, the Guarantors or the Parent Guarantor.</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Guarantees will be secured by substantially all of the assets of the Guarantors as more fully described under "Security Interests—Security for the Guarantees." The Parent Guarantee may be secured by a security interest in all or specified existing or future assets of Wynn Resorts, in the event that Wynn Resorts grants specified liens to secure other guarantees or indebtedness, as more fully described in the section captioned "Certain Covenants—Restrictions on Certain Activities of Wynn Resorts."</w:t>
      </w:r>
    </w:p>
    <w:p>
      <w:pPr>
        <w:sectPr>
          <w:pgSz w:w="11900" w:h="16838" w:orient="portrait"/>
          <w:cols w:equalWidth="0" w:num="1">
            <w:col w:w="11380"/>
          </w:cols>
          <w:pgMar w:left="240" w:top="125" w:right="279" w:bottom="0" w:gutter="0" w:footer="0" w:header="0"/>
        </w:sectPr>
      </w:pPr>
    </w:p>
    <w:bookmarkStart w:id="78" w:name="page79"/>
    <w:bookmarkEnd w:id="78"/>
    <w:p>
      <w:pPr>
        <w:ind w:left="54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199" w:lineRule="exact"/>
        <w:rPr>
          <w:sz w:val="20"/>
          <w:szCs w:val="20"/>
          <w:color w:val="auto"/>
        </w:rPr>
      </w:pPr>
    </w:p>
    <w:p>
      <w:pPr>
        <w:ind w:left="540" w:right="20" w:hanging="532"/>
        <w:spacing w:after="0" w:line="306"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 consolidation) to a Person that is not (either before or after giving effect to such transaction) Wynn Las Vegas, a Restricted Entity or one of their respective Restricted Subsidiaries, or the Parent Guarantor, if the sale or other disposition complies with the provisions of the indenture; or</w:t>
      </w:r>
    </w:p>
    <w:p>
      <w:pPr>
        <w:spacing w:after="0" w:line="187"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any sale of all of the capital stock of a Guarantor, to a Person that is not (either before or after giving effect to such transaction) Wynn Las Vegas, a Restricted Entity or one of their respective Restricted Subsidiaries, or the Parent Guarantor, if the sale complies with the provisions of the indenture.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"—Repurchase at the Option of Holders—Asset Sales," "—Designation of Restricted and Unrestricted Subsidiaries" and "—Merger, Consolidation or Sale of Assets."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to the release of the Guarantees by Wynn Resorts Holdings or Valvino Lamore pursuant to the provisions described above, the security interests of the noteholders in the real property assets owned by Wynn Resorts Holdings and Valvino Lamore may be released under the circumstances described below under "Security Interests—Release of Golf Course Land and Phase II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Interests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Notes</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19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200" w:lineRule="exact"/>
        <w:rPr>
          <w:sz w:val="20"/>
          <w:szCs w:val="20"/>
          <w:color w:val="auto"/>
        </w:rPr>
      </w:pPr>
    </w:p>
    <w:p>
      <w:pPr>
        <w:sectPr>
          <w:pgSz w:w="11900" w:h="16838" w:orient="portrait"/>
          <w:cols w:equalWidth="0" w:num="2">
            <w:col w:w="980" w:space="100"/>
            <w:col w:w="10320"/>
          </w:cols>
          <w:pgMar w:left="240" w:top="131" w:right="259" w:bottom="0" w:gutter="0" w:footer="0" w:header="0"/>
          <w:type w:val="continuous"/>
        </w:sectPr>
      </w:pPr>
    </w:p>
    <w:p>
      <w:pPr>
        <w:spacing w:after="0" w:line="21" w:lineRule="exact"/>
        <w:rPr>
          <w:sz w:val="20"/>
          <w:szCs w:val="20"/>
          <w:color w:val="auto"/>
        </w:rPr>
      </w:pPr>
    </w:p>
    <w:p>
      <w:pPr>
        <w:ind w:left="1080" w:right="3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$50.0 million in funds deposited into the Completion Guarantee Deposit Account held at the Completion Guarantor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support the $50.0 million guarantee by the Completion Guarantor of the completion in full of the construction and opening of the Project, subject to disbursement pursuant to the Disbursement Agreement;</w:t>
      </w:r>
    </w:p>
    <w:p>
      <w:pPr>
        <w:spacing w:after="0" w:line="199" w:lineRule="exact"/>
        <w:rPr>
          <w:sz w:val="20"/>
          <w:szCs w:val="20"/>
          <w:color w:val="auto"/>
        </w:rPr>
      </w:pPr>
    </w:p>
    <w:p>
      <w:pPr>
        <w:ind w:left="1080" w:right="8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$30.0 million in funds deposited into the Liquidity Reserve Account held at Wynn Las Vegas to support completion of the construction and opening of the Project and the payment of debt service on the notes and the loans under the Credit Agreement, subject to disbursement pursuant to the Disbursement Agreement;</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second priority pledge of the equity interests held by the Issuers in any of their respective existing or future Restricted Subsidiaries, including the equity interests held by Wynn Las Vegas in Wynn Capital, the Completion Guarantor, Las Vegas Jet, LLC and World Travel, LLC;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owned by Wynn Las Vegas.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Secured Account. </w:t>
      </w:r>
      <w:r>
        <w:rPr>
          <w:rFonts w:ascii="Arial" w:cs="Arial" w:eastAsia="Arial" w:hAnsi="Arial"/>
          <w:sz w:val="16"/>
          <w:szCs w:val="16"/>
          <w:color w:val="auto"/>
        </w:rPr>
        <w:t>Pending application to the Project, the net proceeds of this offering will be held in a secured account of Wynn Las Vegas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by a securities intermediary, on behalf of the trustee for the benefit of the holders of the notes. The Secured Account will be governed by a control agreement (the "Secured Account Agreement") to be entered into among the Issuers, the securities intermediary and the trustee. The funds in the Secured Account will be required to be invested in Permitted Securities at the direction of Wynn Las Vegas. The trustee, for the benefit of the holders of the notes, will have a perfected first priority security interest in the funds and Permitted Securities held in the Secured Account. Neither the lenders under the Credit Agreement nor the FF&amp;E Facility will have a security interest in the Secured Account or the funds held in it.</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or as directed by Wynn Las Vegas in accordance with the Disbursement Agreement and applied to the development and construction of the Project and to pay interest on the notes, in each case in accordance with the Project Budget. See "Disbursement Agreement."</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Completion Guarantee Deposit Account. </w:t>
      </w:r>
      <w:r>
        <w:rPr>
          <w:rFonts w:ascii="Arial" w:cs="Arial" w:eastAsia="Arial" w:hAnsi="Arial"/>
          <w:sz w:val="16"/>
          <w:szCs w:val="16"/>
          <w:color w:val="auto"/>
        </w:rPr>
        <w:t>Wynn Completion Guarantor, LLC, one of Wynn Las Vegas' Wholly Owned Unrestricted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Guarantor") will provide a $50.0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w:t>
      </w:r>
    </w:p>
    <w:p>
      <w:pPr>
        <w:sectPr>
          <w:pgSz w:w="11900" w:h="16838" w:orient="portrait"/>
          <w:cols w:equalWidth="0" w:num="1">
            <w:col w:w="11400"/>
          </w:cols>
          <w:pgMar w:left="240" w:top="131" w:right="259" w:bottom="0" w:gutter="0" w:footer="0" w:header="0"/>
          <w:type w:val="continuous"/>
        </w:sectPr>
      </w:pPr>
    </w:p>
    <w:bookmarkStart w:id="79" w:name="page80"/>
    <w:bookmarkEnd w:id="79"/>
    <w:p>
      <w:pPr>
        <w:spacing w:after="0" w:line="9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of this offering and the IPO, of $50.0 million of the net proceeds of the IPO to the Completion Guarantor to support its obligations under the Completion Guarantee. These funds will be deposited into a collateral account (the "Completion Guarantee Deposit Account") to be held in cash and/or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Permitted Securities. The lenders under the Credit Agreement will have a first priority security interest in the funds in the Completion Guarantee Deposit Account, and the trustee will have a second priority security interest in the funds in the Completion Guarantee Deposit Account for the benefit of the Holders. Amounts in the Completion Guarantee Deposit Account may be applied to the costs of the Project in accordance with the Disbursement Agreement. Pursuant to the Disbursement Agreement, these funds will be available to 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 respective documents. Upon the Completion Guarantee Release Date, any amounts then remaining in the Completion Guarantee Deposit Account will be released to Wynn Las Vegas, after reserving necessary amounts for completion of punchlist items and disputed claims, which may distribute such funds at its discretion, including to Wynn Resorts, and the Completion Guarantor will be dissolved. See "Disbursement Agreement—Completion Guarantee Deposit Account."</w:t>
      </w:r>
    </w:p>
    <w:p>
      <w:pPr>
        <w:spacing w:after="0" w:line="17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i w:val="1"/>
          <w:iCs w:val="1"/>
          <w:color w:val="auto"/>
        </w:rPr>
        <w:t xml:space="preserve">Liquidity Reserve Account. </w:t>
      </w:r>
      <w:r>
        <w:rPr>
          <w:rFonts w:ascii="Arial" w:cs="Arial" w:eastAsia="Arial" w:hAnsi="Arial"/>
          <w:sz w:val="16"/>
          <w:szCs w:val="16"/>
          <w:color w:val="auto"/>
        </w:rPr>
        <w:t>Wynn Resorts will, concurrently with the closing of this offering and the IPO, make a common equity capital contribution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Reserve Capital Contribution") to Wynn Las Vegas in an amount equal to $30.0 million of the net proceeds of the IPO.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for the benefit of the noteholders. Amounts in the Liquidity Reserve Account may be applied to the costs of the Project, including cost overruns, in accordance with the Disbursement Agreement. Pursuant to the Disbursement Agreement, these funds will be available to Wynn Las Vegas on a gradual basis to apply to the costs of the Project, commencing after fifty percent of the construction work has been completed. Upon the Completion Date, any amounts then remaining in the Liquidity Reserve Account will, to the extent funds are not otherwise available from operations, be used solely to pay debt service under the Credit Agreement and/or the notes until such time as the actual Consolidated EBITDA of Wynn Las Vegas and its Restricted Subsidiaries for the period of four full consecutive fiscal quarters of Wynn Las Vegas equals or exceeds certain specified Consolidated EBITDA levels. At such time, any amounts then remaining in the Liquidity Reserve Account, if any, must be used to reduce the amounts then outstanding under the revolving loans under the Credit Agreement without reducing the corresponding commitments under the Credit Agreement. See "Disbursement Agreement—Liquidity Reserve Account."</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Guarantees will be secured by, among other things:</w:t>
      </w:r>
    </w:p>
    <w:p>
      <w:pPr>
        <w:spacing w:after="0" w:line="262" w:lineRule="exact"/>
        <w:rPr>
          <w:sz w:val="20"/>
          <w:szCs w:val="20"/>
          <w:color w:val="auto"/>
        </w:rPr>
      </w:pPr>
    </w:p>
    <w:p>
      <w:pPr>
        <w:jc w:val="both"/>
        <w:ind w:left="1080" w:right="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security interest in substantially all of the existing and future assets (other than gaming licenses and Aircraft Assets, if any) of the Guarantors, including: if approved by the Nevada PUC, the Water Rights for the Golf Course Land owned by Desert Inn Improvement Co., and the rights of any Guarantor under the Key Project Documents to which it is a party,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6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Golf Course Land owned by Wynn Resorts Holdings and, if the grant of such security interest is approved by the Nevada PUC, in the related Water Rights held by Desert Inn Water Company, LLC, in each case, subject to release as described below under "—Release of Golf Course Land and Phase II Land,"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Phase II Land, subject to release as described below under "—Release of Golf Course Land and Phase II Land,"</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Guarantors in Wynn Las Vegas, any Restricted Entity or any of their respective Restricted Subsidiaries, including the equity interests held by Valvino Lamore in each of: Desert Inn Water Company, LLC, which owns all of the stock of Desert Inn Improvement Co., Wynn Design &amp; Development, LLC, which is responsible for the design and architecture of the Project, Wynn Resorts Holdings, which owns the Golf Course Land, by Wynn Resorts Holdings in Wynn Las Vegas and Palo, LLC, which owns three parcels of residential real estate adjacent to the Golf Course Land, and by Desert Inn Water Company, LLC in Desert Inn Improvement Co., which owns the principal Water Rights for the Golf Course Land, and</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if any, owned by the Guarantors.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Guarantees will not be secured by a security interest in the Aircraft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Golf Course Land and Phase II Land</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noteholders' security interests in all or certain portions of the Golf Course Land (and the related Water Rights, if applicable) and in all of the Phase II Land may be released under the circumstances described below. Upon any such release of those security interests, the disposition or transfer of such assets will no longer be subject to any of the restrictive covenants in the indenture.</w:t>
      </w:r>
    </w:p>
    <w:p>
      <w:pPr>
        <w:spacing w:after="0" w:line="194" w:lineRule="exact"/>
        <w:rPr>
          <w:sz w:val="20"/>
          <w:szCs w:val="20"/>
          <w:color w:val="auto"/>
        </w:rPr>
      </w:pPr>
    </w:p>
    <w:p>
      <w:pPr>
        <w:ind w:left="360"/>
        <w:spacing w:after="0"/>
        <w:tabs>
          <w:tab w:leader="none" w:pos="3280" w:val="left"/>
        </w:tabs>
        <w:rPr>
          <w:sz w:val="20"/>
          <w:szCs w:val="20"/>
          <w:color w:val="auto"/>
        </w:rPr>
      </w:pPr>
      <w:r>
        <w:rPr>
          <w:rFonts w:ascii="Arial" w:cs="Arial" w:eastAsia="Arial" w:hAnsi="Arial"/>
          <w:sz w:val="18"/>
          <w:szCs w:val="18"/>
          <w:i w:val="1"/>
          <w:iCs w:val="1"/>
          <w:color w:val="auto"/>
        </w:rPr>
        <w:t>Release of All of the Golf Course Land.</w:t>
      </w:r>
      <w:r>
        <w:rPr>
          <w:sz w:val="20"/>
          <w:szCs w:val="20"/>
          <w:color w:val="auto"/>
        </w:rPr>
        <w:tab/>
      </w:r>
      <w:r>
        <w:rPr>
          <w:rFonts w:ascii="Arial" w:cs="Arial" w:eastAsia="Arial" w:hAnsi="Arial"/>
          <w:sz w:val="16"/>
          <w:szCs w:val="16"/>
          <w:color w:val="auto"/>
        </w:rPr>
        <w:t>The security interests in all of the Golf Course Land, the equity interests in Desert Inn Improvement Co. and/or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 and the DIIC Water Permits (other than the DIIC Casino Water Permit) will be released so long as:</w:t>
      </w:r>
    </w:p>
    <w:p>
      <w:pPr>
        <w:spacing w:after="0" w:line="232" w:lineRule="exact"/>
        <w:rPr>
          <w:sz w:val="20"/>
          <w:szCs w:val="20"/>
          <w:color w:val="auto"/>
        </w:rPr>
      </w:pPr>
    </w:p>
    <w:p>
      <w:pPr>
        <w:ind w:left="1080" w:right="320" w:hanging="532"/>
        <w:spacing w:after="0" w:line="370" w:lineRule="auto"/>
        <w:tabs>
          <w:tab w:leader="none" w:pos="10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w:t>
      </w:r>
    </w:p>
    <w:p>
      <w:pPr>
        <w:sectPr>
          <w:pgSz w:w="11900" w:h="16935" w:orient="portrait"/>
          <w:cols w:equalWidth="0" w:num="1">
            <w:col w:w="11420"/>
          </w:cols>
          <w:pgMar w:left="240" w:top="131" w:right="239" w:bottom="0" w:gutter="0" w:footer="0" w:header="0"/>
        </w:sectPr>
      </w:pPr>
    </w:p>
    <w:bookmarkStart w:id="80" w:name="page81"/>
    <w:bookmarkEnd w:id="80"/>
    <w:p>
      <w:pPr>
        <w:ind w:left="1080" w:right="280"/>
        <w:spacing w:after="0" w:line="268" w:lineRule="auto"/>
        <w:rPr>
          <w:sz w:val="20"/>
          <w:szCs w:val="20"/>
          <w:color w:val="auto"/>
        </w:rPr>
      </w:pPr>
      <w:r>
        <w:rPr>
          <w:rFonts w:ascii="Arial" w:cs="Arial" w:eastAsia="Arial" w:hAnsi="Arial"/>
          <w:sz w:val="18"/>
          <w:szCs w:val="18"/>
          <w:color w:val="auto"/>
        </w:rPr>
        <w:t>binding agreement is entered into) and after giving pro forma effect to that release (as if, for purposes of calculating the Consolidated Leverage Ratio, such release had been made at the beginning of the applicable four-quarter period):</w:t>
      </w:r>
    </w:p>
    <w:p>
      <w:pPr>
        <w:spacing w:after="0" w:line="200" w:lineRule="exact"/>
        <w:rPr>
          <w:sz w:val="20"/>
          <w:szCs w:val="20"/>
          <w:color w:val="auto"/>
        </w:rPr>
      </w:pPr>
    </w:p>
    <w:p>
      <w:pPr>
        <w:spacing w:after="0" w:line="216" w:lineRule="exact"/>
        <w:rPr>
          <w:sz w:val="20"/>
          <w:szCs w:val="20"/>
          <w:color w:val="auto"/>
        </w:rPr>
      </w:pPr>
    </w:p>
    <w:p>
      <w:pPr>
        <w:ind w:left="1620" w:hanging="532"/>
        <w:spacing w:after="0"/>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Default or Event of Default exists,</w:t>
      </w:r>
    </w:p>
    <w:p>
      <w:pPr>
        <w:spacing w:after="0" w:line="252" w:lineRule="exact"/>
        <w:rPr>
          <w:rFonts w:ascii="Arial" w:cs="Arial" w:eastAsia="Arial" w:hAnsi="Arial"/>
          <w:sz w:val="18"/>
          <w:szCs w:val="18"/>
          <w:color w:val="auto"/>
        </w:rPr>
      </w:pPr>
    </w:p>
    <w:p>
      <w:pPr>
        <w:ind w:left="1620" w:right="280" w:hanging="532"/>
        <w:spacing w:after="0" w:line="268"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full consecutive fiscal quarters of Wynn Las Vegas ending immediately prior to the release date is 3.0 to 1.0 or less,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release occurs on or after the third anniversary of the Opening Date,</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Golf Course Land, the equity interests in Desert Inn Improvement Co. and/or Desert Inn Water Company, LLC and the DIIC Water Permits (other than the DIIC Casino Water Permits), in each case, to be released by the trustee,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Desert Inn Water Company owns no assets other than the stock of Desert Inn Improvement Co.,</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Valvino Water Permits and the DIIC Casino Water Permit, wells associated therewith or rights-of-way necessary for the transportation to the Le Rêve casino water features of water drawn or to be drawn pursuant to such Water Permits, are located on the Golf Course Land or (2) the applicable entities that own the Golf Course Land to be released shall have transferred at no cost such easements to Wynn Las Vegas as are necessary for Wynn Las Vegas to access such Points of Diversion, own and operate such wells and transport the water drawn therefrom to the Le Rêve casino water features,</w:t>
      </w:r>
    </w:p>
    <w:p>
      <w:pPr>
        <w:spacing w:after="0" w:line="196"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Las Vegas shall have taken all actions required pursuant to the covenant captioned "—Additional Collateral; Acquisition of Assets or Property" with respect to any assets or property acquired pursuant to clause (e) above,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Resorts Holdings delivers an officers' certificate (including supporting calculations in reasonable detail) to the trustee confirming that the conditions in clauses (a), (b), (c), (d), (e) and (f) above have been satisfied.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Release of Portions of the Golf Course Land. </w:t>
      </w:r>
      <w:r>
        <w:rPr>
          <w:rFonts w:ascii="Arial" w:cs="Arial" w:eastAsia="Arial" w:hAnsi="Arial"/>
          <w:sz w:val="16"/>
          <w:szCs w:val="16"/>
          <w:color w:val="auto"/>
        </w:rPr>
        <w:t>The security interests granted by Wynn Resorts Holdings in approximately 20 acres of the Golf Course Land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released if the lenders under the Credit Agreement concurrently release their first priority security interest in such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an extension, refinancing, renewal, replacement, amendment and restatement, restatement, defeasance or refunding (collectively,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approximately 20 acres of the Golf Course Land, Wynn Las Vegas, the Restricted Entities or any of their respective Restricted Subsidiaries grants a security interest in any or all of such portions to secure such refinancing Indebtedness or any guarantee thereof, such Person will concurrently grant a security interest in such portions of the Golf Course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w:t>
      </w:r>
    </w:p>
    <w:p>
      <w:pPr>
        <w:spacing w:after="0" w:line="17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Credit Agreement currently provides that the lenders will release their security interests in approximately 20 acres of the Golf Course Land when Wynn Las Vegas achieves a specified minimum level of Consolidated EBITDA for four full consecutive fiscal quarters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satisfies certain conditions relating to water required for the Le Rêve casino water features and the golf course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pacing w:after="0" w:line="197"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i w:val="1"/>
          <w:iCs w:val="1"/>
          <w:color w:val="auto"/>
        </w:rPr>
        <w:t xml:space="preserve">Release of Homesite Acreage. </w:t>
      </w:r>
      <w:r>
        <w:rPr>
          <w:rFonts w:ascii="Arial" w:cs="Arial" w:eastAsia="Arial" w:hAnsi="Arial"/>
          <w:sz w:val="18"/>
          <w:szCs w:val="18"/>
          <w:color w:val="auto"/>
        </w:rPr>
        <w:t>The security interests in approximately two acres of the Golf Course Land will be released in order to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personal residence for Stephen A. Wynn, so long as:</w:t>
      </w:r>
    </w:p>
    <w:p>
      <w:pPr>
        <w:spacing w:after="0" w:line="19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purchase price is paid directly to Wynn Resorts Holdings so long as, prior to the release of the security interests, the purchase price is contributed in immediately available funds to Wynn Las Vegas as a common equity capital contribution (the "Steve Wynn Capital Contribution"),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w:t>
      </w:r>
    </w:p>
    <w:p>
      <w:pPr>
        <w:sectPr>
          <w:pgSz w:w="11900" w:h="16838" w:orient="portrait"/>
          <w:cols w:equalWidth="0" w:num="1">
            <w:col w:w="11420"/>
          </w:cols>
          <w:pgMar w:left="240" w:top="131" w:right="239" w:bottom="0" w:gutter="0" w:footer="0" w:header="0"/>
        </w:sectPr>
      </w:pPr>
    </w:p>
    <w:bookmarkStart w:id="81" w:name="page82"/>
    <w:bookmarkEnd w:id="81"/>
    <w:p>
      <w:pPr>
        <w:spacing w:after="0" w:line="8" w:lineRule="exact"/>
        <w:rPr>
          <w:sz w:val="20"/>
          <w:szCs w:val="20"/>
          <w:color w:val="auto"/>
        </w:rPr>
      </w:pPr>
    </w:p>
    <w:p>
      <w:pPr>
        <w:jc w:val="both"/>
        <w:ind w:left="1080" w:right="60"/>
        <w:spacing w:after="0" w:line="259" w:lineRule="auto"/>
        <w:rPr>
          <w:sz w:val="20"/>
          <w:szCs w:val="20"/>
          <w:color w:val="auto"/>
        </w:rPr>
      </w:pPr>
      <w:r>
        <w:rPr>
          <w:rFonts w:ascii="Arial" w:cs="Arial" w:eastAsia="Arial" w:hAnsi="Arial"/>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08" w:lineRule="exact"/>
        <w:rPr>
          <w:sz w:val="20"/>
          <w:szCs w:val="20"/>
          <w:color w:val="auto"/>
        </w:rPr>
      </w:pPr>
    </w:p>
    <w:p>
      <w:pPr>
        <w:ind w:left="1080" w:right="2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portions of the Golf Course Land to be released by the trustee,</w:t>
      </w:r>
    </w:p>
    <w:p>
      <w:pPr>
        <w:spacing w:after="0" w:line="212"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Water Permits, wells associated therewith or rights-of-way necessary for the transportation to the Golf Course Land or the Le Rêve casino water features of water drawn or to be drawn pursuant to Water Permits, are located on the released Golf Course Land or (2) the entity that owns the released Golf Course Land shall have transferred at no cost:</w:t>
      </w:r>
    </w:p>
    <w:p>
      <w:pPr>
        <w:spacing w:after="0" w:line="390" w:lineRule="exact"/>
        <w:rPr>
          <w:rFonts w:ascii="Arial" w:cs="Arial" w:eastAsia="Arial" w:hAnsi="Arial"/>
          <w:sz w:val="16"/>
          <w:szCs w:val="16"/>
          <w:color w:val="auto"/>
        </w:rPr>
      </w:pPr>
    </w:p>
    <w:p>
      <w:pPr>
        <w:ind w:left="1620" w:right="200" w:hanging="532"/>
        <w:spacing w:after="0" w:line="298"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and associated wells with respect to the Valvino Water Permits and the DIIC Casino Water Permit, and rights-of-way necessary for the transportation to the Le Rêve casino water features of water drawn or to be drawn pursuant to Water Permits, such easements to Wynn Las Vegas as are necessary for Wynn Las Vegas to access such Points of Diversion, own and operate such wells and transport the water drawn therefrom to the Le Rêve casino water features, and</w:t>
      </w:r>
    </w:p>
    <w:p>
      <w:pPr>
        <w:spacing w:after="0" w:line="180" w:lineRule="exact"/>
        <w:rPr>
          <w:rFonts w:ascii="Arial" w:cs="Arial" w:eastAsia="Arial" w:hAnsi="Arial"/>
          <w:sz w:val="16"/>
          <w:szCs w:val="16"/>
          <w:color w:val="auto"/>
        </w:rPr>
      </w:pPr>
    </w:p>
    <w:p>
      <w:pPr>
        <w:ind w:left="1620" w:right="40" w:hanging="532"/>
        <w:spacing w:after="0" w:line="306"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all other DIIC Water Permits and the wells associated therewith, such easements to Wynn Las Vegas and Wynn Resorts Holdings as are necessary for Wynn Las Vegas and Wynn Resorts Holdings to access such Points of Diversion, own and operate such wells and transport the water drawn therefrom to the Golf Course Land,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Wynn Las Vegas and Wynn Resorts Holdings, as the case may be, shall have taken all actions required pursuant to the covenant captioned "— Additional Collateral;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Acquisition of Assets or Property" with respect to any assets or property acquired pursuant to clause (f) above, and</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Wynn Resorts Holdings delivers an officers' certificate to the trustee confirming that the conditions in clauses (a), (b), (c), (d), (e), (f)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(g) above have been satisfied.</w:t>
      </w:r>
    </w:p>
    <w:p>
      <w:pPr>
        <w:spacing w:after="0" w:line="21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Release of the Phase II Land. </w:t>
      </w:r>
      <w:r>
        <w:rPr>
          <w:rFonts w:ascii="Arial" w:cs="Arial" w:eastAsia="Arial" w:hAnsi="Arial"/>
          <w:sz w:val="16"/>
          <w:szCs w:val="16"/>
          <w:color w:val="auto"/>
        </w:rPr>
        <w:t>The security interests granted by Valvino Lamore in the Phase II Land to secure its obligations under its Guarantee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the Phase II Land, Wynn Las Vegas, the Restricted Entities or any of their respective Restricted Subsidiaries grants a security interest in any or all of the Phase II Land to secure such refinancing Indebtedness or any guarantee thereof, such Person will concurrently grant a security interest in such Phase II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 The foregoing provisions will not permit the release of any portions of the Phase II Land on which an Entertainment Facility is being constructed or has been constructed.</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Credit Agreement currently provides that the lenders will release their security interests in the Phase II Land when Wynn Las Vegas achieves specified minimum levels of Consolidated EBITDA for either two or four consecutive fiscal quarters, so long as the Valvino Water Permit Transfer has occurred and, if any of the Entertainment Facility is built on the Phase II Land, that portion of the Phase II Land has been transferred to Wynn Las Vegas.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and either or both of the Issuers or any of their subsidiaries may act as paying agent or registrar.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ectPr>
          <w:pgSz w:w="11900" w:h="16847" w:orient="portrait"/>
          <w:cols w:equalWidth="0" w:num="1">
            <w:col w:w="11420"/>
          </w:cols>
          <w:pgMar w:left="240" w:top="131" w:right="239" w:bottom="0" w:gutter="0" w:footer="0" w:header="0"/>
        </w:sectPr>
      </w:pPr>
    </w:p>
    <w:bookmarkStart w:id="82" w:name="page83"/>
    <w:bookmarkEnd w:id="82"/>
    <w:p>
      <w:pPr>
        <w:ind w:left="5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239"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accept for payment all notes or portions of the notes properly tendered pursuant to the Change of Control Offer;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the notes so tendered; and</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Each such new note will be in a principal amount of $1,000 or an integral multiple of $1,000. The Issuers will publicly announce the results of the Change of Control Offer on or as soon as practicable after the Change of Control Payment Date.</w:t>
      </w:r>
    </w:p>
    <w:p>
      <w:pPr>
        <w:spacing w:after="0" w:line="167"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 provisions that permit the holders to require that the Issuers repurchase or redeem notes in the event of a takeover, recapitalization or similar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the Restricted Entities and their respective Restricted Subsidiaries, taken as a whole, or Wynn Las Vegas and its Restricted Subsidiaries, taken as a whole, to another Person or group may be uncertain.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Wynn Las Vegas and the Restricted Entities will not, and will not permit any of their respective Restricted Subsidiaries to, consummate an Asset Sale unless:</w:t>
      </w:r>
    </w:p>
    <w:p>
      <w:pPr>
        <w:spacing w:after="0" w:line="273"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Asset Sale;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with respect to Non-Project Assets, the Opening Date has occurred;</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75% (or 95%, in the case of any Asset Sale that occurs on or before the Completion Date) of the consideration received in the Asset Sale by the applicable entity is in the form of cash or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After the receipt of any Net Proceeds from an Asset Sale by Wynn Las Vegas, any Restricted Entity or any of their respective Restricted Subsidiaries, the applicable entity:</w:t>
      </w:r>
    </w:p>
    <w:p>
      <w:pPr>
        <w:sectPr>
          <w:pgSz w:w="11900" w:h="16838" w:orient="portrait"/>
          <w:cols w:equalWidth="0" w:num="1">
            <w:col w:w="11420"/>
          </w:cols>
          <w:pgMar w:left="240" w:top="131" w:right="239" w:bottom="0" w:gutter="0" w:footer="0" w:header="0"/>
        </w:sectPr>
      </w:pPr>
    </w:p>
    <w:bookmarkStart w:id="83" w:name="page84"/>
    <w:bookmarkEnd w:id="83"/>
    <w:p>
      <w:pPr>
        <w:ind w:left="1080" w:right="40" w:hanging="532"/>
        <w:spacing w:after="0" w:line="256"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24"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 business permitted by the covenant described below under the caption "—Certain Covenants—Line of Business."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any such case, the Restricted Entities shall take all necessary action to ensure that the security interest of the trustee, on behalf of the holders, continues as a perfected security interest (subject only to the security interest 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 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sale proceeds from an Asset Sale to repay the loans under the Credit Agreement. In such circumstances, until the debt under the Credit Agreement has been repaid in full, there will not be any Net Proceeds. As a result, in that case, the operative provisions of this covenant will not apply, and no Asset Sale Offers will be made to the note holders.</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Once the Credit Agreement has been repaid in full, 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as described below under "— Selection and Notice." Upon completion of each Asset Sale Offer, the amount of Excess Proceeds will be reset at zero.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Events of Loss</w:t>
      </w:r>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After any Event of Loss of Collateral comprising the Project occurring after the Final Completion Date in an amount of up to $500.0 million (measured as the greater of the fair market value or the replacement cost of the Collateral subject to such Event of Loss), Wynn Las Vegas, the applicable Restricted Entity or the applicable Restricted Subsidiary, as the case may be, may apply the Net Loss Proceeds from the Event of Loss to the rebuilding, repair, replacement or construction of improvements to the Project, with no obligation to make any purchase of any notes; so long as, in the case of any such Collateral with a fair market value (or replacement cost, if higher) in excess of $15.0 million but less than or equal to $500.0 million:</w:t>
      </w:r>
    </w:p>
    <w:p>
      <w:pPr>
        <w:spacing w:after="0" w:line="183" w:lineRule="exact"/>
        <w:rPr>
          <w:sz w:val="20"/>
          <w:szCs w:val="20"/>
          <w:color w:val="auto"/>
        </w:rPr>
      </w:pPr>
    </w:p>
    <w:p>
      <w:pPr>
        <w:ind w:left="540" w:right="10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199" w:lineRule="exact"/>
        <w:rPr>
          <w:rFonts w:ascii="Arial" w:cs="Arial" w:eastAsia="Arial" w:hAnsi="Arial"/>
          <w:sz w:val="18"/>
          <w:szCs w:val="18"/>
          <w:color w:val="auto"/>
        </w:rPr>
      </w:pPr>
    </w:p>
    <w:p>
      <w:pPr>
        <w:ind w:left="540" w:right="200" w:hanging="532"/>
        <w:spacing w:after="0" w:line="294"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96"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However, if the damaged Collateral is not necessary for and is not used in the operation of the Permitted Business of the Project, the applicable entity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ability of Wynn Las Vegas, any Restricted Entities or any of their Restricted Subsidiaries to repair or restore any of the Collateral following an Event of Loss that occurs on or prior to the Final Completion Date will be governed by the Disbursement Agreement.</w:t>
      </w:r>
    </w:p>
    <w:p>
      <w:pPr>
        <w:spacing w:after="0" w:line="18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loss proceeds from an Event of Loss to repay the loans under the Credit Agreement. In such circumstances, until the debt under the Credit Agreement has been repaid in full, there will not be any Net Loss Proceeds. As a result, in that case, the operative provisions of this covenant will not apply, and no Event of Loss Offers will be made to the note holders.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Once the Credit Agreement has been repaid in full, 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 Vegas will make an offer (an "Event of Loss Offer") to all holders to purchase the maximum principal amount of notes that may be purchased out of the Excess Loss Proceeds. The offer price in any Event of Loss Offer will be 100% of the principal amount of the notes to be purchased, plus accrued and</w:t>
      </w:r>
    </w:p>
    <w:p>
      <w:pPr>
        <w:sectPr>
          <w:pgSz w:w="11900" w:h="16838" w:orient="portrait"/>
          <w:cols w:equalWidth="0" w:num="1">
            <w:col w:w="11420"/>
          </w:cols>
          <w:pgMar w:left="240" w:top="145"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420"/>
          </w:cols>
          <w:pgMar w:left="240" w:top="145" w:right="239" w:bottom="0" w:gutter="0" w:footer="0" w:header="0"/>
          <w:type w:val="continuous"/>
        </w:sectPr>
      </w:pPr>
    </w:p>
    <w:bookmarkStart w:id="84" w:name="page85"/>
    <w:bookmarkEnd w:id="84"/>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"—Selection and Notice." Upon completion of each Event of Loss Offer, the amount of Excess Loss Proceeds will be reset at zero.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the Credit Agreement, or</w:t>
      </w:r>
    </w:p>
    <w:p>
      <w:pPr>
        <w:spacing w:after="0" w:line="38" w:lineRule="exact"/>
        <w:rPr>
          <w:sz w:val="20"/>
          <w:szCs w:val="20"/>
          <w:color w:val="auto"/>
        </w:rPr>
      </w:pPr>
    </w:p>
    <w:p>
      <w:pPr>
        <w:ind w:right="40" w:firstLine="8"/>
        <w:spacing w:after="0" w:line="290" w:lineRule="auto"/>
        <w:tabs>
          <w:tab w:leader="none" w:pos="24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 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99" w:lineRule="exact"/>
        <w:rPr>
          <w:sz w:val="20"/>
          <w:szCs w:val="20"/>
          <w:color w:val="auto"/>
        </w:rPr>
      </w:pPr>
    </w:p>
    <w:p>
      <w:pPr>
        <w:ind w:left="540" w:right="8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the applicable entity's board of directors set forth in an officers' certificate delivered to the trustee) of the property or assets subject to the Event of Loss;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90% of which is in the form of cash or Cash Equivalents.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Repurchase of Notes</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the Restricted Entities and their respective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Second Mortgage Notes—We may not be able to fulfill our repurchase obligations with respect to the second mortgage notes upon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will select notes for redemption or purchase as follows:</w:t>
      </w:r>
    </w:p>
    <w:p>
      <w:pPr>
        <w:spacing w:after="0" w:line="199" w:lineRule="exact"/>
        <w:rPr>
          <w:sz w:val="20"/>
          <w:szCs w:val="20"/>
          <w:color w:val="auto"/>
        </w:rPr>
      </w:pPr>
    </w:p>
    <w:p>
      <w:pPr>
        <w:ind w:left="540" w:right="120" w:hanging="532"/>
        <w:spacing w:after="0" w:line="26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notes are not listed on any national securities exchange, on a pro rata basis, by lot or by any other method the trustee deems fair and appropriate.</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Notices of redemption or purchase may not be conditional.</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25" w:right="239" w:bottom="0" w:gutter="0" w:footer="0" w:header="0"/>
        </w:sectPr>
      </w:pPr>
    </w:p>
    <w:bookmarkStart w:id="85" w:name="page86"/>
    <w:bookmarkEnd w:id="85"/>
    <w:p>
      <w:pPr>
        <w:spacing w:after="0" w:line="113"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declare or pay any dividend or make any other payment or distribution on account of any Equity Interests of Wynn Las Vegas, any Restricted Entity or any Restricted Entity's Restricted Subsidiaries (including, without limitation, any payment in connection with any merger or consolidation) or to the direct or indirect holders of any Equity Interests of Wynn Las Vegas, any Restricted Entity or any Restricted Entity's Restricted Subsidiaries in any capacity, other than dividends or distributions payable in Equity Interests (other than Disqualified Stock) of Wynn Las Vegas, any Restricted Entity or any Restricted Entity's Restricted Subsidiaries;</w:t>
      </w:r>
    </w:p>
    <w:p>
      <w:pPr>
        <w:spacing w:after="0" w:line="210" w:lineRule="exact"/>
        <w:rPr>
          <w:sz w:val="20"/>
          <w:szCs w:val="20"/>
          <w:color w:val="auto"/>
        </w:rPr>
      </w:pPr>
    </w:p>
    <w:p>
      <w:pPr>
        <w:ind w:left="540" w:right="100" w:hanging="532"/>
        <w:spacing w:after="0" w:line="259"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any Restricted Entity or any Restricted Entity's Restricted Subsidiaries, other than Permitted Investments;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60" w:hanging="532"/>
        <w:spacing w:after="0" w:line="332"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"Restricted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3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Completion Date has occurred;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238"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210" w:lineRule="exact"/>
        <w:rPr>
          <w:rFonts w:ascii="Arial" w:cs="Arial" w:eastAsia="Arial" w:hAnsi="Arial"/>
          <w:sz w:val="18"/>
          <w:szCs w:val="18"/>
          <w:color w:val="auto"/>
        </w:rPr>
      </w:pPr>
    </w:p>
    <w:p>
      <w:pPr>
        <w:ind w:left="540" w:right="120" w:hanging="532"/>
        <w:spacing w:after="0" w:line="298"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Wynn Las Vegas, any Restricted Entity or any of their respective Restricted Subsidiaries after the date of the indenture (excluding Restricted Payments permitted by clauses (2), (3), (5), (7), (8), (9), (10), (11), (12), (13) and (14) below (with respect to clause (5) to the extent such Restricted Payments were already deducted from Consolidated Net Income) of the next succeeding paragraph), is less than the sum, without duplication, of:</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left="1080" w:right="160" w:hanging="532"/>
        <w:spacing w:after="0" w:line="256"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100% of the aggregate Net New Equity Proceeds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to the extent those proceeds are utilized as a basis for incurring Indebtedness pursuant to clause (11) or (12) of the second paragraph of the covenant captioned "—Incurrence of Indebtedness and Issuance of Preferred Equity,"</w:t>
      </w:r>
    </w:p>
    <w:p>
      <w:pPr>
        <w:spacing w:after="0" w:line="212"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to the extent consisting of capital contributions made to Wynn Las Vegas for the purpose of satisfying the "in-balance" requirements of the Disbursement Agreement,</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2"/>
          <w:numId w:val="135"/>
        </w:numPr>
        <w:rPr>
          <w:rFonts w:ascii="Arial" w:cs="Arial" w:eastAsia="Arial" w:hAnsi="Arial"/>
          <w:sz w:val="16"/>
          <w:szCs w:val="16"/>
          <w:color w:val="auto"/>
        </w:rPr>
      </w:pPr>
      <w:r>
        <w:rPr>
          <w:rFonts w:ascii="Arial" w:cs="Arial" w:eastAsia="Arial" w:hAnsi="Arial"/>
          <w:sz w:val="16"/>
          <w:szCs w:val="16"/>
          <w:color w:val="auto"/>
        </w:rPr>
        <w:t>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except that, solely for purposes of calculating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360"/>
        <w:spacing w:after="0" w:line="268" w:lineRule="auto"/>
        <w:rPr>
          <w:sz w:val="20"/>
          <w:szCs w:val="20"/>
          <w:color w:val="auto"/>
        </w:rPr>
      </w:pPr>
      <w:r>
        <w:rPr>
          <w:rFonts w:ascii="Arial" w:cs="Arial" w:eastAsia="Arial" w:hAnsi="Arial"/>
          <w:sz w:val="18"/>
          <w:szCs w:val="18"/>
          <w:color w:val="auto"/>
        </w:rPr>
        <w:t>Fixed Charge Coverage Ratio under this subclause (iii), the Fixed Charges of Wynn Resorts shall be included as a Fixed Charge in the calculation of "Fixed Charges,"</w:t>
      </w:r>
    </w:p>
    <w:p>
      <w:pPr>
        <w:spacing w:after="0" w:line="199" w:lineRule="exact"/>
        <w:rPr>
          <w:sz w:val="20"/>
          <w:szCs w:val="20"/>
          <w:color w:val="auto"/>
        </w:rPr>
      </w:pPr>
    </w:p>
    <w:p>
      <w:pPr>
        <w:ind w:left="1620" w:right="560" w:hanging="532"/>
        <w:spacing w:after="0" w:line="268"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the extent those proceeds are used to redeem, repurchase, retire, defease or acquire subordinated Indebtedness or Equity Interests pursuant to clause (2) or (3) of the immediately succeeding paragraph, and</w:t>
      </w:r>
    </w:p>
    <w:p>
      <w:pPr>
        <w:spacing w:after="0" w:line="212" w:lineRule="exact"/>
        <w:rPr>
          <w:rFonts w:ascii="Arial" w:cs="Arial" w:eastAsia="Arial" w:hAnsi="Arial"/>
          <w:sz w:val="18"/>
          <w:szCs w:val="18"/>
          <w:color w:val="auto"/>
        </w:rPr>
      </w:pPr>
    </w:p>
    <w:p>
      <w:pPr>
        <w:ind w:left="1620" w:right="440" w:hanging="532"/>
        <w:spacing w:after="0" w:line="268"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to the extent those proceeds are used to make Permitted Investments of the type permitted by clause (5) of the definition of Permitted Investments, </w:t>
      </w:r>
      <w:r>
        <w:rPr>
          <w:rFonts w:ascii="Arial" w:cs="Arial" w:eastAsia="Arial" w:hAnsi="Arial"/>
          <w:sz w:val="18"/>
          <w:szCs w:val="18"/>
          <w:i w:val="1"/>
          <w:iCs w:val="1"/>
          <w:color w:val="auto"/>
        </w:rPr>
        <w:t>plus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220" w:hanging="532"/>
        <w:spacing w:after="0" w:line="318" w:lineRule="auto"/>
        <w:tabs>
          <w:tab w:leader="none" w:pos="10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 to the extent that any Restricted Investment that was made after the date of the indenture is sold for cash or otherwise liquidated or repaid for cash for an amount in 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w:t>
      </w:r>
    </w:p>
    <w:p>
      <w:pPr>
        <w:sectPr>
          <w:pgSz w:w="11900" w:h="16951" w:orient="portrait"/>
          <w:cols w:equalWidth="0" w:num="1">
            <w:col w:w="11420"/>
          </w:cols>
          <w:pgMar w:left="240" w:top="131" w:right="239" w:bottom="0" w:gutter="0" w:footer="0" w:header="0"/>
        </w:sectPr>
      </w:pPr>
    </w:p>
    <w:bookmarkStart w:id="86" w:name="page87"/>
    <w:bookmarkEnd w:id="86"/>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respect to such Restricted Investment (less the cost of disposition, if any), </w:t>
      </w:r>
      <w:r>
        <w:rPr>
          <w:rFonts w:ascii="Arial" w:cs="Arial" w:eastAsia="Arial" w:hAnsi="Arial"/>
          <w:sz w:val="18"/>
          <w:szCs w:val="18"/>
          <w:i w:val="1"/>
          <w:iCs w:val="1"/>
          <w:color w:val="auto"/>
        </w:rPr>
        <w:t>plus</w:t>
      </w:r>
    </w:p>
    <w:p>
      <w:pPr>
        <w:spacing w:after="0" w:line="239" w:lineRule="exact"/>
        <w:rPr>
          <w:sz w:val="20"/>
          <w:szCs w:val="20"/>
          <w:color w:val="auto"/>
        </w:rPr>
      </w:pPr>
    </w:p>
    <w:p>
      <w:pPr>
        <w:ind w:left="1080" w:right="14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any of its Restricted Subsidiaries after the date of the indenture from an Unrestricted Subsidiary of Wynn Las Vegas,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6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With respect to (a) any payments made pursuant to clauses (1), (2), (3), (6), (7), (8), (9), (11), (12), (13), (14), (15) and (16) below, so long as no Default or Event of Default has occurred and is continuing or would be caused by the payments, and (b) any payments made pursuant to clauses (4), (5) and (10) below, regardless of whether any Default or Event of Default has occurred and is continuing or would be caused by the payment, the preceding provisions will not prohibit:</w:t>
      </w:r>
    </w:p>
    <w:p>
      <w:pPr>
        <w:spacing w:after="0" w:line="211" w:lineRule="exact"/>
        <w:rPr>
          <w:sz w:val="20"/>
          <w:szCs w:val="20"/>
          <w:color w:val="auto"/>
        </w:rPr>
      </w:pPr>
    </w:p>
    <w:p>
      <w:pPr>
        <w:ind w:left="540" w:right="220" w:hanging="53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207"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redemption, repurchase, retirement, defeasance or other acquisition of any subordinated Indebtedness of (a) Wynn Las Vegas, any Restricted Entity or any of their respective Restricted Subsidiaries in exchange for, or out of Net New Equity Proceeds, or (b) Wynn Las Vegas, any Restricted Entity or any of their Restricted Subsidiaries with the net cash proceeds from an incurrence of Permitted Refinancing Indebtedness;</w:t>
      </w:r>
    </w:p>
    <w:p>
      <w:pPr>
        <w:spacing w:after="0" w:line="18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any Equity Interests of Wynn Las Vegas or Wynn Resorts in exchange for or out of Net New Equity Proceeds;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distribution to Wynn Resorts, directly or through any intermediate Wholly Owned Subsidiaries of Wynn Resorts, of amounts necessary to repurchase Equity Interests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12" w:lineRule="exact"/>
        <w:rPr>
          <w:sz w:val="20"/>
          <w:szCs w:val="20"/>
          <w:color w:val="auto"/>
        </w:rPr>
      </w:pPr>
    </w:p>
    <w:p>
      <w:pPr>
        <w:ind w:left="540" w:right="240" w:hanging="532"/>
        <w:spacing w:after="0" w:line="259"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any Restricted Entity or any of their respective Restricted Subsidiaries with respect to any period during which such entity is a Pass Through Entity or a Consolidated Member, such distributions in an aggregate amount not to exceed such owners' Tax Amounts for such period;</w:t>
      </w:r>
    </w:p>
    <w:p>
      <w:pPr>
        <w:spacing w:after="0" w:line="221" w:lineRule="exact"/>
        <w:rPr>
          <w:rFonts w:ascii="Arial" w:cs="Arial" w:eastAsia="Arial" w:hAnsi="Arial"/>
          <w:sz w:val="18"/>
          <w:szCs w:val="18"/>
          <w:color w:val="auto"/>
        </w:rPr>
      </w:pPr>
    </w:p>
    <w:p>
      <w:pPr>
        <w:ind w:left="540" w:right="80" w:hanging="532"/>
        <w:spacing w:after="0" w:line="290"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85"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Management Fees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76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distribution to Wynn Resorts of amounts remaining in the Completion Guarantee Deposit Account, following the release of such amounts in accordance with the Disbursement Agreement;</w:t>
      </w:r>
    </w:p>
    <w:p>
      <w:pPr>
        <w:spacing w:after="0" w:line="212" w:lineRule="exact"/>
        <w:rPr>
          <w:rFonts w:ascii="Arial" w:cs="Arial" w:eastAsia="Arial" w:hAnsi="Arial"/>
          <w:sz w:val="18"/>
          <w:szCs w:val="18"/>
          <w:color w:val="auto"/>
        </w:rPr>
      </w:pPr>
    </w:p>
    <w:p>
      <w:pPr>
        <w:ind w:left="540" w:right="160" w:hanging="532"/>
        <w:spacing w:after="0" w:line="298"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following the Completion Date, the payments of amounts then due and payable under the Affiliate Agreements and Qualified Intercompany Agreements in respect of the period following the Completion Date (other than payments described in clauses (7), (10) and (11) of this paragraph), so long as such amounts do not include, in any case, any fee, profit or similar component and represent only the payment or reimbursement of actual costs and expenses incurred or, as the case may be, the fair value of services provided thereunder;</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amounts then due and payable under the Tax Indemnification Agreement, as in effect on the date of the indenture;</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Budgeted Amounts pursuant to 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0" w:hanging="532"/>
        <w:spacing w:after="0" w:line="268"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 rata dividends, distributions or payments to direct or indirect Equity Interests holders by a Person, (excluding any dividend, distribution or payment by a Person that is a Guarantor to a Person, other than an Issuer, that is not a Guarantor) payable:</w:t>
      </w:r>
    </w:p>
    <w:p>
      <w:pPr>
        <w:sectPr>
          <w:pgSz w:w="11900" w:h="16919" w:orient="portrait"/>
          <w:cols w:equalWidth="0" w:num="1">
            <w:col w:w="11420"/>
          </w:cols>
          <w:pgMar w:left="240" w:top="131" w:right="239" w:bottom="0" w:gutter="0" w:footer="0" w:header="0"/>
        </w:sectPr>
      </w:pPr>
    </w:p>
    <w:bookmarkStart w:id="87" w:name="page88"/>
    <w:bookmarkEnd w:id="87"/>
    <w:p>
      <w:pPr>
        <w:ind w:left="1080" w:hanging="532"/>
        <w:spacing w:after="0"/>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Wynn Las Vegas or any of its Restricted Subsidiaries,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dividend or distribution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by (x) any Restricted Entity or any Restricted Subsidiary of a Restricted Entity, that, in each case, is not a Guarantor to (y) any parent Restricted Entity or any parent Restricted Subsidiary of a Restricted Entity that, in each case, is a Guarantor,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until the earlier of (i) 12 months following the acquisition of the Replacement Aircraft, and (ii) the sale by World Travel, LLC or the Aircraft Trustee of the Existing Aircraft, the payment to Wynn Resorts of amounts necessary to pay interest then due and payable on the Replacement Aircraft Indebtedness in an aggregate amount not to exceed $1.0 million;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(15) in an aggregate amount of not more than $10.0 million.</w:t>
      </w:r>
    </w:p>
    <w:p>
      <w:pPr>
        <w:spacing w:after="0" w:line="248"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 Reports," Wynn Las Vegas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Incurrence of Indebtedness and Issuance of Preferred Equity</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(1) create, incur, issue, assume, guarantee or otherwise become directly or indirectly liable, contingently or otherwise, with respect to (collectively, "incur") any Indebtedness (including Acquired Debt), or (2) issue any Disqualified Stock or shares of preferred stock. Notwithstanding the above, Wynn Las Vegas and its Restricted Subsidiaries may incur Indebtedness (including Acquired Debt), if (1) the Opening Date has occurred and (2) the Fixed Charge Coverage Ratio of Wynn Las Vegas for Wynn Las Vegas' most recently ended four full fiscal quarters following the Opening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199" w:lineRule="exact"/>
        <w:rPr>
          <w:sz w:val="20"/>
          <w:szCs w:val="20"/>
          <w:color w:val="auto"/>
        </w:rPr>
      </w:pPr>
    </w:p>
    <w:p>
      <w:pPr>
        <w:ind w:left="540" w:right="40" w:hanging="532"/>
        <w:spacing w:after="0" w:line="256"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amount of all prepayments of principal Indebtedness that result in permanent reductions of the commitments under the Credit Agreement;</w:t>
      </w:r>
    </w:p>
    <w:p>
      <w:pPr>
        <w:spacing w:after="0" w:line="224"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incurrence by the Issuers, the Restricted Entities and their respective Restricted Subsidiaries of their respective obligations arising under the notes, the Credit Agreement, the FF&amp;E Facility and, to the extent those obligations would represent Indebtedness, the Collateral Documents;</w:t>
      </w:r>
    </w:p>
    <w:p>
      <w:pPr>
        <w:spacing w:after="0" w:line="152" w:lineRule="exact"/>
        <w:rPr>
          <w:rFonts w:ascii="Arial" w:cs="Arial" w:eastAsia="Arial" w:hAnsi="Arial"/>
          <w:sz w:val="16"/>
          <w:szCs w:val="16"/>
          <w:color w:val="auto"/>
        </w:rPr>
      </w:pPr>
    </w:p>
    <w:p>
      <w:pPr>
        <w:ind w:left="540" w:right="380" w:hanging="532"/>
        <w:spacing w:after="0" w:line="335" w:lineRule="auto"/>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incurrence by Wynn Las Vegas, any Restricted Entity or any of their respective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clauses (2) or (7) of this paragraph or under this clause (3);</w:t>
      </w:r>
    </w:p>
    <w:p>
      <w:pPr>
        <w:spacing w:after="0" w:line="155" w:lineRule="exact"/>
        <w:rPr>
          <w:rFonts w:ascii="Arial" w:cs="Arial" w:eastAsia="Arial" w:hAnsi="Arial"/>
          <w:sz w:val="15"/>
          <w:szCs w:val="15"/>
          <w:color w:val="auto"/>
        </w:rPr>
      </w:pPr>
    </w:p>
    <w:p>
      <w:pPr>
        <w:ind w:left="540" w:right="40" w:hanging="532"/>
        <w:spacing w:after="0" w:line="294"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incurrence of intercompany Indebtedness (i) between or among Wynn Las Vegas and/or its Restricted Subsidiaries, (ii) between or among Valvino Lamore and Wynn Resorts Holdings, (iii) between or among the Wynn Group Entities and (iv) the incurrence by the Restricted Entities or any of their respective Restricted Subsidiaries of intercompany Indebtedness (to the extent that Wynn Las Vegas, any of its Restricted Subsidiaries, or, as the case may be, the applicable Restricted Entity, would be permitted to make loans giving rise to, or otherwise hold, such Indebtedness as a Restricted Payment under the covenant captioned "—Restricted Payments") owing to Wynn Las Vegas or any of its Restricted Subsidiaries, so long as:</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60" w:hanging="532"/>
        <w:spacing w:after="0" w:line="255"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the Indebtedness, the Indebtedness is expressly subordinated in right of payment to the prior payment in full in cash of all Obligations with respect to the notes, in the case of the Wynn Las Vegas, or its guarantee under the Guarantee and Collateral Agreement to which it is a party, in the case of a Guarantor, except that no Indebtedness of Wynn Las Vegas or any Guarantor will be deemed to be contractually subordinated in right of payment to any other Indebtedness of Wynn Las Vegas or any such Guarantor solely by virtue of being unsecured;</w:t>
      </w:r>
    </w:p>
    <w:p>
      <w:pPr>
        <w:spacing w:after="0" w:line="210" w:lineRule="exact"/>
        <w:rPr>
          <w:rFonts w:ascii="Arial" w:cs="Arial" w:eastAsia="Arial" w:hAnsi="Arial"/>
          <w:sz w:val="18"/>
          <w:szCs w:val="18"/>
          <w:color w:val="auto"/>
        </w:rPr>
      </w:pPr>
    </w:p>
    <w:p>
      <w:pPr>
        <w:ind w:left="1080" w:hanging="532"/>
        <w:spacing w:after="0" w:line="323" w:lineRule="auto"/>
        <w:tabs>
          <w:tab w:leader="none" w:pos="108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such Restricted Entity or such Restricted Subsidiary, as the case may be, that was not permitted by this clause (4); and</w:t>
      </w:r>
    </w:p>
    <w:p>
      <w:pPr>
        <w:sectPr>
          <w:pgSz w:w="11900" w:h="16838" w:orient="portrait"/>
          <w:cols w:equalWidth="0" w:num="1">
            <w:col w:w="11420"/>
          </w:cols>
          <w:pgMar w:left="240" w:top="577" w:right="239" w:bottom="0" w:gutter="0" w:footer="0" w:header="0"/>
        </w:sectPr>
      </w:pPr>
    </w:p>
    <w:bookmarkStart w:id="88" w:name="page89"/>
    <w:bookmarkEnd w:id="88"/>
    <w:p>
      <w:pPr>
        <w:ind w:left="1072" w:hanging="532"/>
        <w:spacing w:after="0" w:line="259" w:lineRule="auto"/>
        <w:tabs>
          <w:tab w:leader="none" w:pos="10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any Indebtedness incurred pursuant to clause (iv) above, such Indebtedness is permitted to be incurred as a Restricted Payment under the covenant captioned "—Restricted Payments," and, for purposes of such covenant, the obligee or payee on such Indebtedness shall be deemed to have a Restricted Payment on the</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160"/>
        <w:spacing w:after="0" w:line="268" w:lineRule="auto"/>
        <w:rPr>
          <w:sz w:val="20"/>
          <w:szCs w:val="20"/>
          <w:color w:val="auto"/>
        </w:rPr>
      </w:pPr>
      <w:r>
        <w:rPr>
          <w:rFonts w:ascii="Arial" w:cs="Arial" w:eastAsia="Arial" w:hAnsi="Arial"/>
          <w:sz w:val="18"/>
          <w:szCs w:val="18"/>
          <w:color w:val="auto"/>
        </w:rPr>
        <w:t>date on which such Indebtedness is incurred in an amount equal to the principal amount of the Indebtedness incurred on such date (or, if less, the principal amount of such Indebtedness from time to time outstanding);</w:t>
      </w:r>
    </w:p>
    <w:p>
      <w:pPr>
        <w:spacing w:after="0" w:line="213" w:lineRule="exact"/>
        <w:rPr>
          <w:sz w:val="20"/>
          <w:szCs w:val="20"/>
          <w:color w:val="auto"/>
        </w:rPr>
      </w:pPr>
    </w:p>
    <w:p>
      <w:pPr>
        <w:ind w:left="532" w:right="180" w:hanging="532"/>
        <w:spacing w:after="0" w:line="259"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Hedging Obligations that are incurred for the purpose of fixing or hedging interest rate risk with respect to any floating rate Indebtedness that is permitted by the terms of the indenture to be outstanding;</w:t>
      </w:r>
    </w:p>
    <w:p>
      <w:pPr>
        <w:spacing w:after="0" w:line="207"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Indebtedness solely in respect of performance, surety, appeal or similar bonds or standby letters of credit, so long as the aggregate amount of all such bonds and standby letters of credit is not greater than $20.0 million at any time outstanding;</w:t>
      </w:r>
    </w:p>
    <w:p>
      <w:pPr>
        <w:spacing w:after="0" w:line="207" w:lineRule="exact"/>
        <w:rPr>
          <w:rFonts w:ascii="Arial" w:cs="Arial" w:eastAsia="Arial" w:hAnsi="Arial"/>
          <w:sz w:val="18"/>
          <w:szCs w:val="18"/>
          <w:color w:val="auto"/>
        </w:rPr>
      </w:pPr>
    </w:p>
    <w:p>
      <w:pPr>
        <w:ind w:left="532" w:right="100" w:hanging="532"/>
        <w:spacing w:after="0" w:line="256"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so long as: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72" w:right="100" w:hanging="532"/>
        <w:spacing w:after="0" w:line="259" w:lineRule="auto"/>
        <w:tabs>
          <w:tab w:leader="none" w:pos="10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207" w:lineRule="exact"/>
        <w:rPr>
          <w:rFonts w:ascii="Arial" w:cs="Arial" w:eastAsia="Arial" w:hAnsi="Arial"/>
          <w:sz w:val="18"/>
          <w:szCs w:val="18"/>
          <w:color w:val="auto"/>
        </w:rPr>
      </w:pPr>
    </w:p>
    <w:p>
      <w:pPr>
        <w:ind w:left="1072" w:right="200" w:hanging="532"/>
        <w:spacing w:after="0" w:line="259" w:lineRule="auto"/>
        <w:tabs>
          <w:tab w:leader="none" w:pos="10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unless such Indebtedness is unsecured or is incurred under the FF&amp;E Facility, as in effect of the date of the indenture, not less than 70% of the aggregate fair market value of the purchase or lease costs of such FF&amp;E or other assets is paid with the proceeds of Indebtedness incurred under this clause (7), and</w:t>
      </w:r>
    </w:p>
    <w:p>
      <w:pPr>
        <w:spacing w:after="0" w:line="207" w:lineRule="exact"/>
        <w:rPr>
          <w:rFonts w:ascii="Arial" w:cs="Arial" w:eastAsia="Arial" w:hAnsi="Arial"/>
          <w:sz w:val="18"/>
          <w:szCs w:val="18"/>
          <w:color w:val="auto"/>
        </w:rPr>
      </w:pPr>
    </w:p>
    <w:p>
      <w:pPr>
        <w:ind w:left="1072" w:right="280" w:hanging="532"/>
        <w:spacing w:after="0" w:line="332" w:lineRule="auto"/>
        <w:tabs>
          <w:tab w:leader="none" w:pos="107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aggregate principal amount of such Indebtedness, including all Permitted Refinancing Indebtedness incurred to refund, refinance or replace any Indebtedness incurred pursuant to this clause, does not exceed an amount outstanding at any time equal to the greater of:</w:t>
      </w:r>
    </w:p>
    <w:p>
      <w:pPr>
        <w:spacing w:after="0" w:line="382" w:lineRule="exact"/>
        <w:rPr>
          <w:rFonts w:ascii="Arial" w:cs="Arial" w:eastAsia="Arial" w:hAnsi="Arial"/>
          <w:sz w:val="16"/>
          <w:szCs w:val="16"/>
          <w:color w:val="auto"/>
        </w:rPr>
      </w:pPr>
    </w:p>
    <w:p>
      <w:pPr>
        <w:ind w:left="1612" w:right="40" w:hanging="532"/>
        <w:spacing w:after="0" w:line="256" w:lineRule="auto"/>
        <w:tabs>
          <w:tab w:leader="none" w:pos="16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xml:space="preserve">$188.5 million (or $198.5 million from and after the Aircraft Refinancing Date, so long as such additional $10.0 million of Indebtedness is used solely to repay Replacement Aircraft Indebtedness) </w:t>
      </w:r>
      <w:r>
        <w:rPr>
          <w:rFonts w:ascii="Arial" w:cs="Arial" w:eastAsia="Arial" w:hAnsi="Arial"/>
          <w:sz w:val="18"/>
          <w:szCs w:val="18"/>
          <w:i w:val="1"/>
          <w:iCs w:val="1"/>
          <w:color w:val="auto"/>
        </w:rPr>
        <w:t>less</w:t>
      </w:r>
      <w:r>
        <w:rPr>
          <w:rFonts w:ascii="Arial" w:cs="Arial" w:eastAsia="Arial" w:hAnsi="Arial"/>
          <w:sz w:val="18"/>
          <w:szCs w:val="18"/>
          <w:color w:val="auto"/>
        </w:rPr>
        <w:t xml:space="preserve"> (i) the aggregate amount of all prepayments of principal made under the FF&amp;E Facility,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permanent commitment reductions under the FF&amp;E Facility resulting from the application of Asset Sale or Event of Loss proceeds, and</w:t>
      </w:r>
    </w:p>
    <w:p>
      <w:pPr>
        <w:spacing w:after="0" w:line="210" w:lineRule="exact"/>
        <w:rPr>
          <w:rFonts w:ascii="Arial" w:cs="Arial" w:eastAsia="Arial" w:hAnsi="Arial"/>
          <w:sz w:val="18"/>
          <w:szCs w:val="18"/>
          <w:color w:val="auto"/>
        </w:rPr>
      </w:pPr>
    </w:p>
    <w:p>
      <w:pPr>
        <w:ind w:left="1612" w:hanging="532"/>
        <w:spacing w:after="0"/>
        <w:tabs>
          <w:tab w:leader="none" w:pos="16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$100.0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right="20" w:hanging="532"/>
        <w:spacing w:after="0" w:line="294" w:lineRule="auto"/>
        <w:tabs>
          <w:tab w:leader="none" w:pos="53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the Guarantee by Wynn Las Vegas, any Restricted Entity or any of their Restricted Subsidiaries of Indebtedness of any other of Wynn Las Vegas and any of its Restricted Subsidiaries, (ii) the Guarantee by Valvino Lamore or Wynn Resorts Holdings of Indebtedness of Wynn Resorts Holdings or Valvino Lamore, or Wynn Las Vegas or any of its Restricted Subsidiaries, as the case may be, or (iii) the Guarantee by any Wynn Group Entity of Indebtedness of Wynn Las Vegas, any Restricted Entity, and any of their respective Restricted Subsidiaries, in each case, to the extent the Indebtedness to be Guaranteed is permitted to be incurred by such other entity by another provision of this covenant;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20" w:hanging="532"/>
        <w:spacing w:after="0" w:line="259" w:lineRule="auto"/>
        <w:tabs>
          <w:tab w:leader="none" w:pos="5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Entity permitted pursuant to the provisions of clause (6) of the covenant captioned "—Restricted Payments";</w:t>
      </w:r>
    </w:p>
    <w:p>
      <w:pPr>
        <w:spacing w:after="0" w:line="207" w:lineRule="exact"/>
        <w:rPr>
          <w:rFonts w:ascii="Arial" w:cs="Arial" w:eastAsia="Arial" w:hAnsi="Arial"/>
          <w:sz w:val="18"/>
          <w:szCs w:val="18"/>
          <w:color w:val="auto"/>
        </w:rPr>
      </w:pPr>
    </w:p>
    <w:p>
      <w:pPr>
        <w:ind w:left="532" w:right="200" w:hanging="532"/>
        <w:spacing w:after="0" w:line="306" w:lineRule="auto"/>
        <w:tabs>
          <w:tab w:leader="none" w:pos="5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incurrence or issuance by Wynn Las Vegas' Unrestricted Subsidiaries of Non-Recourse Debt, except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74" w:lineRule="exact"/>
        <w:rPr>
          <w:rFonts w:ascii="Arial" w:cs="Arial" w:eastAsia="Arial" w:hAnsi="Arial"/>
          <w:sz w:val="16"/>
          <w:szCs w:val="16"/>
          <w:color w:val="auto"/>
        </w:rPr>
      </w:pPr>
    </w:p>
    <w:p>
      <w:pPr>
        <w:ind w:left="532" w:right="100" w:hanging="532"/>
        <w:spacing w:after="0" w:line="291" w:lineRule="auto"/>
        <w:tabs>
          <w:tab w:leader="none" w:pos="5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or through the issuance of additional notes under the indenture, or is unsecured Indebtedness) to be used to develop and construct an Entertainment Facility on land included in the Project (other than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such Entertainment Facility,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1072" w:hanging="532"/>
        <w:spacing w:after="0"/>
        <w:tabs>
          <w:tab w:leader="none" w:pos="10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(12) below,</w:t>
      </w:r>
    </w:p>
    <w:p>
      <w:pPr>
        <w:spacing w:after="0" w:line="238" w:lineRule="exact"/>
        <w:rPr>
          <w:rFonts w:ascii="Arial" w:cs="Arial" w:eastAsia="Arial" w:hAnsi="Arial"/>
          <w:sz w:val="18"/>
          <w:szCs w:val="18"/>
          <w:color w:val="auto"/>
        </w:rPr>
      </w:pPr>
    </w:p>
    <w:p>
      <w:pPr>
        <w:ind w:left="1072" w:right="680" w:hanging="532"/>
        <w:spacing w:after="0" w:line="268" w:lineRule="auto"/>
        <w:tabs>
          <w:tab w:leader="none" w:pos="10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ectPr>
          <w:pgSz w:w="11900" w:h="16838" w:orient="portrait"/>
          <w:cols w:equalWidth="0" w:num="1">
            <w:col w:w="11412"/>
          </w:cols>
          <w:pgMar w:left="248" w:top="144" w:right="239" w:bottom="0" w:gutter="0" w:footer="0" w:header="0"/>
        </w:sectPr>
      </w:pPr>
    </w:p>
    <w:bookmarkStart w:id="89" w:name="page90"/>
    <w:bookmarkEnd w:id="89"/>
    <w:p>
      <w:pPr>
        <w:spacing w:after="0" w:line="14" w:lineRule="exact"/>
        <w:rPr>
          <w:sz w:val="20"/>
          <w:szCs w:val="20"/>
          <w:color w:val="auto"/>
        </w:rPr>
      </w:pPr>
    </w:p>
    <w:p>
      <w:pPr>
        <w:ind w:left="1080" w:hanging="532"/>
        <w:spacing w:after="0"/>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60" w:hanging="532"/>
        <w:spacing w:after="0" w:line="254"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additional Indebtedness (so long as such Indebtedness is incurred under the Credit Agreement or the FF&amp;E Facility or through the issuance of additional notes under the indenture, or is unsecured Indebtedness) in an aggregate principal amount (or initial accreted value, as applicable) at any time outstanding incurred pursuant to this clause (12), not to exceed $50.0 million, so long as Indebtedness incurred pursuant to this clause (12) prior to the Completion Date is matched dollar for dollar, by additional Net New Equity Proceeds received by Wynn Las Vegas or any of its Restricted Subsidiaries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 to the extent those proceeds are: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(11) above,</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hanging="532"/>
        <w:spacing w:after="0"/>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accretion or amortization of original issue discount and the write-up of Indebtedness in accordance with GAAP purchase accounting; and</w:t>
      </w:r>
    </w:p>
    <w:p>
      <w:pPr>
        <w:spacing w:after="0" w:line="261"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on or prior to the Final Completion Date of Indebtedness represented by performance bonds, guaranties, trade letters of credit, bankers'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acceptances or similar instruments issued by Person other than Wynn Resorts, any Restricted Entity or any of their respective Restricted Subsidiaries for the benefit of a trade creditor of any such Person, in an aggregate amount not to exceed $10.0 million at any time outstanding so long as:</w:t>
      </w:r>
    </w:p>
    <w:p>
      <w:pPr>
        <w:spacing w:after="0" w:line="166"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238" w:lineRule="exact"/>
        <w:rPr>
          <w:rFonts w:ascii="Arial" w:cs="Arial" w:eastAsia="Arial" w:hAnsi="Arial"/>
          <w:sz w:val="18"/>
          <w:szCs w:val="18"/>
          <w:color w:val="auto"/>
        </w:rPr>
      </w:pPr>
    </w:p>
    <w:p>
      <w:pPr>
        <w:ind w:left="1080" w:right="20" w:hanging="532"/>
        <w:spacing w:after="0" w:line="323" w:lineRule="auto"/>
        <w:tabs>
          <w:tab w:leader="none" w:pos="10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obligations of Wynn Las Vegas, any Restricted Entity or the applicable Restricted Subsidiary, as the case may be, supported by such performance bonds, guaranties, trade letters of credit, bankers' acceptances or similar instruments (1) consist solely of payment obligations with respect to costs incurred in accordance with the Project Budget which would otherwise be permitted to be paid by the applicable entity pursuant to the Disbursement Agreement, (2) are secured, and (3) are secured solely by Liens permitted by clause (22) of the definition of "Permitted Liens."</w:t>
      </w:r>
    </w:p>
    <w:p>
      <w:pPr>
        <w:spacing w:after="0" w:line="15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No Indebtedness of Wynn Las Vegas or any Guarantor will be deemed to be contractually subordinated in right of payment to any other Indebtedness of Wynn Las Vegas or any such Guarantor solely by virtue of being unsecured.</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 of Wynn Las Vegas</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create or permit to exist or become effective any consensual encumbrance or restriction on the ability of any of Wynn Las Vegas' Restricted Subsidiaries to:</w:t>
      </w:r>
    </w:p>
    <w:p>
      <w:pPr>
        <w:spacing w:after="0" w:line="153" w:lineRule="exact"/>
        <w:rPr>
          <w:sz w:val="20"/>
          <w:szCs w:val="20"/>
          <w:color w:val="auto"/>
        </w:rPr>
      </w:pPr>
    </w:p>
    <w:p>
      <w:pPr>
        <w:ind w:left="540" w:right="40" w:hanging="532"/>
        <w:spacing w:after="0" w:line="26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Wynn Las Vegas, or with respect to any other interest or participation in, or measured by, its profits, or pay any indebtedness owed to Wynn Las Vegas;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 any of its properties or assets to Wynn Las Vegas or any of its Restricted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53" w:orient="portrait"/>
          <w:cols w:equalWidth="0" w:num="1">
            <w:col w:w="11400"/>
          </w:cols>
          <w:pgMar w:left="240" w:top="145" w:right="259" w:bottom="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t>the notes, the indenture or the Collateral Documents;</w:t>
      </w:r>
    </w:p>
    <w:p>
      <w:pPr>
        <w:spacing w:after="0" w:line="239"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199"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and the FF&amp;E Facility, in each case as in effect on the date of the indenture;</w:t>
      </w:r>
    </w:p>
    <w:p>
      <w:pPr>
        <w:spacing w:after="0" w:line="183" w:lineRule="exact"/>
        <w:rPr>
          <w:rFonts w:ascii="Arial" w:cs="Arial" w:eastAsia="Arial" w:hAnsi="Arial"/>
          <w:sz w:val="16"/>
          <w:szCs w:val="16"/>
          <w:color w:val="auto"/>
        </w:rPr>
      </w:pPr>
    </w:p>
    <w:p>
      <w:pPr>
        <w:ind w:left="540" w:right="100" w:hanging="532"/>
        <w:spacing w:after="0" w:line="335" w:lineRule="auto"/>
        <w:tabs>
          <w:tab w:leader="none" w:pos="5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69" w:lineRule="exact"/>
        <w:rPr>
          <w:rFonts w:ascii="Arial" w:cs="Arial" w:eastAsia="Arial" w:hAnsi="Arial"/>
          <w:sz w:val="15"/>
          <w:szCs w:val="15"/>
          <w:color w:val="auto"/>
        </w:rPr>
      </w:pPr>
    </w:p>
    <w:p>
      <w:pPr>
        <w:jc w:val="both"/>
        <w:ind w:left="540" w:right="140" w:hanging="532"/>
        <w:spacing w:after="0" w:line="259"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207"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199"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221"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assets of (a) Wynn Las Vegas, the Restricted Entities and their respective Restricted Subsidiaries, taken as a whole, (b) Wynn Las Vegas and its Restricted Subsidiaries, taken as a whole, or (c) in the case of a Guarantor, that Guarantor, in one or more related transactions, to another Person, unless:</w:t>
      </w:r>
    </w:p>
    <w:p>
      <w:pPr>
        <w:spacing w:after="0" w:line="130" w:lineRule="exact"/>
        <w:rPr>
          <w:sz w:val="20"/>
          <w:szCs w:val="20"/>
          <w:color w:val="auto"/>
        </w:rPr>
      </w:pPr>
    </w:p>
    <w:p>
      <w:pPr>
        <w:ind w:left="540" w:right="300" w:hanging="532"/>
        <w:spacing w:after="0" w:line="306"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174" w:lineRule="exact"/>
        <w:rPr>
          <w:rFonts w:ascii="Arial" w:cs="Arial" w:eastAsia="Arial" w:hAnsi="Arial"/>
          <w:sz w:val="16"/>
          <w:szCs w:val="16"/>
          <w:color w:val="auto"/>
        </w:rPr>
      </w:pPr>
    </w:p>
    <w:p>
      <w:pPr>
        <w:ind w:left="540" w:right="60" w:hanging="532"/>
        <w:spacing w:after="0" w:line="294"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the Guarantees and the Collateral Documents pursuant to agreements reasonably satisfactory to the trustee; however, this clause (2) shall not apply to any merger, consolidation, sale, assignment, transfer, conveyance or other disposition of assets of a Guarantor with, into or to Wynn Las Vegas, so long as, in the case of any consolidation or merger, Wynn Las Vegas is the survivor of such consolidation or merger;</w:t>
      </w:r>
    </w:p>
    <w:p>
      <w:pPr>
        <w:spacing w:after="0" w:line="196" w:lineRule="exact"/>
        <w:rPr>
          <w:rFonts w:ascii="Arial" w:cs="Arial" w:eastAsia="Arial" w:hAnsi="Arial"/>
          <w:sz w:val="16"/>
          <w:szCs w:val="16"/>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38"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152" w:lineRule="exact"/>
        <w:rPr>
          <w:rFonts w:ascii="Arial" w:cs="Arial" w:eastAsia="Arial" w:hAnsi="Arial"/>
          <w:sz w:val="16"/>
          <w:szCs w:val="16"/>
          <w:color w:val="auto"/>
        </w:rPr>
      </w:pPr>
    </w:p>
    <w:p>
      <w:pPr>
        <w:ind w:left="540" w:right="180" w:hanging="532"/>
        <w:spacing w:after="0" w:line="298"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such Issuer or Guarantor or the Person formed by or surviving any such consolidation or merger (if other than such Issuer) or to which such sale, assignment, transfer, conveyance or other disposition shall have been made will have Consolidated Net Worth immediately after the transaction equal to or greater than the Consolidated Net Worth of such Issuer or Guarantor immediately preceding the transaction (excluding the effect of the related professional fees, commissions, sales and other taxes, and other transactional costs that would otherwise reduce Consolidated Net Worth);</w:t>
      </w:r>
    </w:p>
    <w:p>
      <w:pPr>
        <w:spacing w:after="0" w:line="193"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in the case of a consolidation or merger of such Issuer, such Issuer or the Person formed by or surviving any such consolidation or merger (if other than such Issuer) or to which such sale, assignment, transfer, conveyance or other disposition shall have been made will, or (ii) in the case of a consolidation or merger of a Guarantor that is a Restricted Subsidiary of Wynn Las Vegas or the sale, assignment, transfer, conveyance or other disposition of the property or assets of such Guarantor, the Issuers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Equity," and</w:t>
      </w:r>
    </w:p>
    <w:p>
      <w:pPr>
        <w:spacing w:after="0" w:line="185"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or beneficial owner would not have been required to obtain a Gaming License or be qualified or found</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420"/>
          </w:cols>
          <w:pgMar w:left="240" w:top="131" w:right="239" w:bottom="0" w:gutter="0" w:footer="0" w:header="0"/>
          <w:type w:val="continuous"/>
        </w:sectPr>
      </w:pPr>
    </w:p>
    <w:bookmarkStart w:id="91" w:name="page92"/>
    <w:bookmarkEnd w:id="9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suitable under the laws of any applicable gaming jurisdiction in the absence of such transaction.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the foregoing, a Guarantor may consolidate or merge with or into another Guarantor, or sell, assign, transfer, convey or otherwise dispose of all or substantially all of its properties or assets to another Guarantor, so long as (1) the conditions in clauses (3), (4) and (7) of the preceding paragraph are satisfied, and (2) such Guarantor or the Person formed by or surviving any such consolidation or merger, or the Guarantor to which such sale, assignment, transfer, conveyance or other disposition shall have been made, as the case may be, is Solvent.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(excluding any sale, assignment, transfer, conveyance or disposition of assets that would otherwise be subject to this covenant from a Person that is a Guarantor to a Person, other than Wynn Las Vegas, that is not a Guarantor):</w:t>
      </w:r>
    </w:p>
    <w:p>
      <w:pPr>
        <w:spacing w:after="0" w:line="211"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25"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For purposes of this covenant, a sale of properties or assets by a Guarantor shall not constitute a sale of "substantially all of the properties or assets" of that Guarantor if, following that sale, the Guarantor owns or holds (1) any of the Water Rights for the Project (excluding Water Rights that are then Released Assets) or (2) any of the Phase II Land or the Golf Course Land, (excluding any such land that is then a Released Asset).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Notwithstanding the foregoing, Wynn Las Vegas and each Guarantor is permitted to reorganize as a corporation pursuant to a Permitted C-Corp. Conversion.</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board of directors of Wynn Las Vegas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Las Vegas may redesignate any Unrestricted Subsidiary of Wynn Las Vegas to be a Restricted Subsidiary of Wynn Las Vegas if the redesignation would not cause a Default or an Event of Default.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None of the Restricted Entities and their Subsidiaries (other than Wynn Las Vegas and its Subsidiaries and Desert Inn Water Company) is permitted to have Unrestricted Subsidiaries. As a result, all future Subsidiaries of the Restricted Entities (other than Wynn Las Vegas and its Subsidiaries and Desert Inn Improvement Co.) will be Restricted Subsidiaries and subject to the restrictive covenants contained in the indenture.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88" w:lineRule="exact"/>
        <w:rPr>
          <w:sz w:val="20"/>
          <w:szCs w:val="20"/>
          <w:color w:val="auto"/>
        </w:rPr>
      </w:pPr>
    </w:p>
    <w:p>
      <w:pPr>
        <w:ind w:left="540" w:right="120" w:hanging="532"/>
        <w:spacing w:after="0" w:line="268"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relevant entity than those that would have been obtained in a comparable transaction by such entity with an unrelated Person;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Wynn Las Vegas or the applicable Restricted Entity or Restricted Subsidiary, as the case may be delivers to the trustee: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80" w:hanging="532"/>
        <w:spacing w:after="0" w:line="306" w:lineRule="auto"/>
        <w:tabs>
          <w:tab w:leader="none" w:pos="10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 complies with this covenant and that such Affiliate Transaction has been approved by a majority of the Independent Directors of the applicable entity; and</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(or $25.0 million, with respect to Qualified Intercompany Agreements), an opinion as to the fairness to the applicable entity of such Affiliate Transaction from a financial point of view issued by an accounting, appraisal or investment banking firm of national standing prior to the consummation of such Affiliate Transaction;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40" w:right="80" w:hanging="532"/>
        <w:spacing w:after="0" w:line="255"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Existing Aircraft or the Replacement Aircraft (in each case, if such aircraft is owned by Wynn Las Vegas, any Restricted Entity or any Restricted Subsidiary) for any purpose not reasonably related to the Project or the Permitted Businesses of Wynn Las Vegas or the applicable Restricted Entity or Restricted Subsidiary relating to or in connection with the Project, Wynn Las Vegas or the applicable Restricted Entity or Restricted Subsidiary, as the case may be, is reimbursed promptly for actual costs and expenses incurred by such Person in connection with such use.</w:t>
      </w:r>
    </w:p>
    <w:p>
      <w:pPr>
        <w:sectPr>
          <w:pgSz w:w="11900" w:h="16838" w:orient="portrait"/>
          <w:cols w:equalWidth="0" w:num="1">
            <w:col w:w="11420"/>
          </w:cols>
          <w:pgMar w:left="240" w:top="374" w:right="239" w:bottom="0" w:gutter="0" w:footer="0" w:header="0"/>
        </w:sectPr>
      </w:pPr>
    </w:p>
    <w:bookmarkStart w:id="92" w:name="page93"/>
    <w:bookmarkEnd w:id="92"/>
    <w:p>
      <w:pPr>
        <w:spacing w:after="0" w:line="1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262" w:lineRule="exact"/>
        <w:rPr>
          <w:sz w:val="20"/>
          <w:szCs w:val="20"/>
          <w:color w:val="auto"/>
        </w:rPr>
      </w:pPr>
    </w:p>
    <w:p>
      <w:pPr>
        <w:ind w:left="540" w:right="14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Wynn Employment Agreement or any other employment agreement entered into by Wynn Las Vegas, any Restricted Entity or any of their Restricted Subsidiaries with any Person (other than the Principal) in the ordinary course of business on terms customary in the applicable Permitted Business in which it operates;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36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payment of reasonable directors' fees to directors of Wynn Resorts, Wynn Capital or any Guarantor, and customary indemnification and insurance arrangements in favor of such directors, in each case in the ordinary course of business;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transactions: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or among Wynn Las Vegas and/or its Restricted Subsidiaries,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Valvino Lamore and Wynn Resorts Holdings, other than any transaction involving a transfer of any or all of the Golf Course Land to Valvino Lamore, unless such Golf Course Land is then a Released Asset,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or among any of the Wynn Group Entities, or by any Wynn Group Entity as a contribution to Wynn Las Vegas, any Restricted Entity or any of their Restricted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indenture described above under the caption "—Restricted Payments";</w:t>
      </w:r>
    </w:p>
    <w:p>
      <w:pPr>
        <w:spacing w:after="0" w:line="23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subleases by Wynn Las Vegas to one or more of its Affiliates of space at the building located on the Phase II Land at below market rent, to the extent permitted under the Collateral Documents;</w:t>
      </w:r>
    </w:p>
    <w:p>
      <w:pPr>
        <w:spacing w:after="0" w:line="199"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leases by Wynn Las Vegas to one or more of its Affiliates of space at the Project, at below market rent, for the development and operation of a Ferrari and Maserati automobile dealership pursuant to the Dealership Lease Agreement, to the extent permitted under the Collateral Documents; and</w:t>
      </w:r>
    </w:p>
    <w:p>
      <w:pPr>
        <w:spacing w:after="0" w:line="166"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Construction</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Wynn Las Vegas and the Restricted Entities will, and will cause each of their respective Restricted Subsidiaries to, construct the Project, including the furnishing, fixturing and equipping of the Project, with diligence and continuity in a good and workmanlike manner substantially in accordance with the Plans and Specifications.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Use of Proceeds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Leaseback Transactions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enter into any sale and leaseback transaction (except with respect to the FF&amp;E Collateral or the Aircraft Assets so long as, and to the extent that, such FF&amp;E Collateral or Aircraft Assets, as the case may be, are not Collateral), unless:</w:t>
      </w:r>
    </w:p>
    <w:p>
      <w:pPr>
        <w:spacing w:after="0" w:line="208" w:lineRule="exact"/>
        <w:rPr>
          <w:sz w:val="20"/>
          <w:szCs w:val="20"/>
          <w:color w:val="auto"/>
        </w:rPr>
      </w:pPr>
    </w:p>
    <w:p>
      <w:pPr>
        <w:ind w:left="540" w:right="20" w:hanging="532"/>
        <w:spacing w:after="0" w:line="256"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pacing w:after="0" w:line="210" w:lineRule="exact"/>
        <w:rPr>
          <w:rFonts w:ascii="Arial" w:cs="Arial" w:eastAsia="Arial" w:hAnsi="Arial"/>
          <w:sz w:val="18"/>
          <w:szCs w:val="18"/>
          <w:color w:val="auto"/>
        </w:rPr>
      </w:pPr>
    </w:p>
    <w:p>
      <w:pPr>
        <w:ind w:left="540" w:right="240" w:hanging="532"/>
        <w:spacing w:after="0" w:line="259"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Las Vegas, that Restricted Entity or that Restricted Subsidiary, as the case may be, and set forth in an officers' certificate delivered to the trustee, of the property that is the subject of that sale and leaseback transaction; and</w:t>
      </w:r>
    </w:p>
    <w:p>
      <w:pPr>
        <w:spacing w:after="0" w:line="221" w:lineRule="exact"/>
        <w:rPr>
          <w:rFonts w:ascii="Arial" w:cs="Arial" w:eastAsia="Arial" w:hAnsi="Arial"/>
          <w:sz w:val="18"/>
          <w:szCs w:val="18"/>
          <w:color w:val="auto"/>
        </w:rPr>
      </w:pPr>
    </w:p>
    <w:p>
      <w:pPr>
        <w:ind w:left="540" w:right="220" w:hanging="532"/>
        <w:spacing w:after="0" w:line="370" w:lineRule="auto"/>
        <w:tabs>
          <w:tab w:leader="none" w:pos="5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such Restricted Entity or such Restricted Subsidiary applies the proceeds of such transaction in compliance with, the covenant described above under the caption "—Repurchase at the Option of Holders—</w:t>
      </w:r>
    </w:p>
    <w:p>
      <w:pPr>
        <w:sectPr>
          <w:pgSz w:w="11900" w:h="16975" w:orient="portrait"/>
          <w:cols w:equalWidth="0" w:num="1">
            <w:col w:w="11420"/>
          </w:cols>
          <w:pgMar w:left="240" w:top="131" w:right="239" w:bottom="0" w:gutter="0" w:footer="0" w:header="0"/>
        </w:sectPr>
      </w:pPr>
    </w:p>
    <w:bookmarkStart w:id="93" w:name="page94"/>
    <w:bookmarkEnd w:id="93"/>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Asset Sales."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engage in any business or investment activities other than the Permitted Business. Wynn Las Vegas and the Restricted Entities will not, and will not permit any of their respective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Phase II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the Phase II Land are released in accordance with the covenant captioned "—Release of Security Interests":</w:t>
      </w:r>
    </w:p>
    <w:p>
      <w:pPr>
        <w:spacing w:after="0" w:line="153" w:lineRule="exact"/>
        <w:rPr>
          <w:sz w:val="20"/>
          <w:szCs w:val="20"/>
          <w:color w:val="auto"/>
        </w:rPr>
      </w:pPr>
    </w:p>
    <w:p>
      <w:pPr>
        <w:ind w:left="540" w:right="100" w:hanging="532"/>
        <w:spacing w:after="0" w:line="26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80" w:hanging="532"/>
        <w:spacing w:after="0" w:line="268"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Phase II Land or any building on the Phase II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subsidiaries may:</w:t>
      </w:r>
    </w:p>
    <w:p>
      <w:pPr>
        <w:spacing w:after="0" w:line="239"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excavate, refurbish, improve or otherwise develop the Phase II Land as contemplated in the Plans and Specifications and the Project Budget,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maintain and repair the Phase II Land and the improvements thereon,</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remodel or reconfigure the improvements on the Phase II Land to provide for an employment center, office space and associated amenities, gallery space or design support for the Project,</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use or operate the Phase II Land, including the improvements thereon, for the temporary operation of a full-service Ferrari and Maserati automobile dealership,</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 develop, construct, own and operate the Entertainment Facility and associated amenities on the Phase II Land,</w:t>
      </w:r>
    </w:p>
    <w:p>
      <w:pPr>
        <w:spacing w:after="0" w:line="238"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undertake Government Transfers and have Permitted Liens of the type described in clause (12) of the definition of "Permitted Liens."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Golf Course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all of the Golf Course Land are released in accordance with the covenant entitled "—Release of Security Interests":</w:t>
      </w:r>
    </w:p>
    <w:p>
      <w:pPr>
        <w:spacing w:after="0" w:line="166" w:lineRule="exact"/>
        <w:rPr>
          <w:sz w:val="20"/>
          <w:szCs w:val="20"/>
          <w:color w:val="auto"/>
        </w:rPr>
      </w:pPr>
    </w:p>
    <w:p>
      <w:pPr>
        <w:ind w:left="540" w:right="50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199"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Golf Course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Restricted Subsidiaries may:</w:t>
      </w:r>
    </w:p>
    <w:p>
      <w:pPr>
        <w:spacing w:after="0" w:line="252" w:lineRule="exact"/>
        <w:rPr>
          <w:sz w:val="20"/>
          <w:szCs w:val="20"/>
          <w:color w:val="auto"/>
        </w:rPr>
      </w:pPr>
    </w:p>
    <w:p>
      <w:pPr>
        <w:ind w:left="540" w:right="80" w:hanging="532"/>
        <w:spacing w:after="0" w:line="268"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Final Completion Date,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w:t>
      </w:r>
    </w:p>
    <w:p>
      <w:pPr>
        <w:sectPr>
          <w:pgSz w:w="11900" w:h="16845" w:orient="portrait"/>
          <w:cols w:equalWidth="0" w:num="1">
            <w:col w:w="11420"/>
          </w:cols>
          <w:pgMar w:left="240" w:top="13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169</w:t>
      </w:r>
    </w:p>
    <w:p>
      <w:pPr>
        <w:sectPr>
          <w:pgSz w:w="11900" w:h="16845" w:orient="portrait"/>
          <w:cols w:equalWidth="0" w:num="1">
            <w:col w:w="11420"/>
          </w:cols>
          <w:pgMar w:left="240" w:top="131" w:right="239" w:bottom="0" w:gutter="0" w:footer="0" w:header="0"/>
          <w:type w:val="continuous"/>
        </w:sectPr>
      </w:pPr>
    </w:p>
    <w:bookmarkStart w:id="94" w:name="page95"/>
    <w:bookmarkEnd w:id="94"/>
    <w:p>
      <w:pPr>
        <w:ind w:left="540" w:hanging="532"/>
        <w:spacing w:after="0" w:line="259"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reconfigure certain portions of the golf course in connection with the release of portions of the Golf Course Land in accordance with the provisions set forth under "Security Interests—Release of Golf Course Land and Phase II Land —Release of Portions of Golf Course Land" and "—Release of Homesite Acreage,"</w:t>
      </w:r>
    </w:p>
    <w:p>
      <w:pPr>
        <w:spacing w:after="0" w:line="221"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spacing w:after="0" w:line="152"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 as contemplated by the Plans and Specifications or the Disbursement Agreement,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undertake Government Transfers,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Payments of Management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62" w:lineRule="exact"/>
        <w:rPr>
          <w:sz w:val="20"/>
          <w:szCs w:val="20"/>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20" w:hanging="532"/>
        <w:spacing w:after="0" w:line="298" w:lineRule="auto"/>
        <w:tabs>
          <w:tab w:leader="none" w:pos="1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their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93" w:lineRule="exact"/>
        <w:rPr>
          <w:rFonts w:ascii="Arial" w:cs="Arial" w:eastAsia="Arial" w:hAnsi="Arial"/>
          <w:sz w:val="16"/>
          <w:szCs w:val="16"/>
          <w:color w:val="auto"/>
        </w:rPr>
      </w:pPr>
    </w:p>
    <w:p>
      <w:pPr>
        <w:ind w:left="1080" w:right="500" w:hanging="532"/>
        <w:spacing w:after="0" w:line="268" w:lineRule="auto"/>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Advances to Guarantors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advances to Guarantors made by Wynn Las Vegas, any Restricted Entity or any of their respective Restricted Subsidiaries after the date of the indenture will be unsecured,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evidenced by intercompany notes and will be pledged pursuant to the Collateral Documents. Each intercompany note will be payable upon demand and will bear interest at then current fair market interests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Subsidiaries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86"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transfer, convey, sell, lease or otherwise dispose of any Equity Interests in any of their respective Wholly Owned Restricted Subsidiaries or any Restricted Entity to any Person (other than Wynn Las Vegas, a Restricted Entity, or any of Wynn Las Vegas' or any Restricted Entity's Wholly Owned Subsidiaries that is a Guarantor), unless:</w:t>
      </w:r>
    </w:p>
    <w:p>
      <w:pPr>
        <w:spacing w:after="0" w:line="174" w:lineRule="exact"/>
        <w:rPr>
          <w:sz w:val="20"/>
          <w:szCs w:val="20"/>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entity; and</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186" w:lineRule="exact"/>
        <w:rPr>
          <w:sz w:val="20"/>
          <w:szCs w:val="20"/>
          <w:color w:val="auto"/>
        </w:rPr>
      </w:pPr>
    </w:p>
    <w:p>
      <w:pPr>
        <w:jc w:val="center"/>
        <w:ind w:right="360"/>
        <w:spacing w:after="0" w:line="335" w:lineRule="auto"/>
        <w:rPr>
          <w:sz w:val="20"/>
          <w:szCs w:val="20"/>
          <w:color w:val="auto"/>
        </w:rPr>
      </w:pPr>
      <w:r>
        <w:rPr>
          <w:rFonts w:ascii="Arial" w:cs="Arial" w:eastAsia="Arial" w:hAnsi="Arial"/>
          <w:sz w:val="15"/>
          <w:szCs w:val="15"/>
          <w:color w:val="auto"/>
        </w:rPr>
        <w:t>In addition, Wynn Las Vegas and the Restricted Entities (other than Valvino Lamore) will not, and will not permit any of their respective Restricted Subsidiaries to, issue any of their respective Equity Interests (other than, if necessary, shares of their respective capital stock constituting directors' qualifying shares) to any Person other than to Wynn Las Vegas, a Restricted Entity or any of their respective Wholly Owned Restricted Subsidiaries that is a Guarantor.</w:t>
      </w:r>
    </w:p>
    <w:p>
      <w:pPr>
        <w:sectPr>
          <w:pgSz w:w="11900" w:h="16838" w:orient="portrait"/>
          <w:cols w:equalWidth="0" w:num="1">
            <w:col w:w="11420"/>
          </w:cols>
          <w:pgMar w:left="240" w:top="388" w:right="239" w:bottom="0" w:gutter="0" w:footer="0" w:header="0"/>
        </w:sectPr>
      </w:pP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Limitations on Issuances of Guarantees of, or Security Interests to Secure, Indebtedness</w:t>
      </w:r>
    </w:p>
    <w:p>
      <w:pPr>
        <w:sectPr>
          <w:pgSz w:w="11900" w:h="16838" w:orient="portrait"/>
          <w:cols w:equalWidth="0" w:num="1">
            <w:col w:w="11420"/>
          </w:cols>
          <w:pgMar w:left="240" w:top="388" w:right="239" w:bottom="0" w:gutter="0" w:footer="0" w:header="0"/>
          <w:type w:val="continuous"/>
        </w:sectPr>
      </w:pPr>
    </w:p>
    <w:bookmarkStart w:id="95" w:name="page96"/>
    <w:bookmarkEnd w:id="95"/>
    <w:p>
      <w:pPr>
        <w:ind w:firstLine="348"/>
        <w:spacing w:after="0" w:line="256"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directly or indirectly, Guarantee or pledge any assets to secure the payment and/or performance of any Indebtedness of Wynn Resorts unless (1) such Guarantee or pledge is otherwise permitted under the covenants captioned "—Incurrence of Indebtedness and Issuance of Preferred Equity" and "—Liens" and (2) each applicable entity simultaneously executes and delivers:</w:t>
      </w:r>
    </w:p>
    <w:p>
      <w:pPr>
        <w:spacing w:after="0" w:line="211" w:lineRule="exact"/>
        <w:rPr>
          <w:sz w:val="20"/>
          <w:szCs w:val="20"/>
          <w:color w:val="auto"/>
        </w:rPr>
      </w:pPr>
    </w:p>
    <w:p>
      <w:pPr>
        <w:ind w:left="540" w:right="200" w:hanging="532"/>
        <w:spacing w:after="0" w:line="268"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to the extent not previously provided, a Guarantee of the payment of the notes by such entity, which Guarantee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entity's Guarantee of such other Indebtedness;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security interest granted by such entity to secure such other Indebtedness.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or prior to the Final Completion Date, except as contemplated by the Disbursement Agreement,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any Restricted Entity or any of their respective Restricted Subsidiaries to develop, construct or operate the Project or (2) cause the Completion Date to occur or result in that date occurring after the Outside Completion Deadline.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Following the Final Completion Date,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10" w:lineRule="exact"/>
        <w:rPr>
          <w:sz w:val="20"/>
          <w:szCs w:val="20"/>
          <w:color w:val="auto"/>
        </w:rPr>
      </w:pPr>
    </w:p>
    <w:p>
      <w:pPr>
        <w:ind w:left="540" w:right="80" w:hanging="532"/>
        <w:spacing w:after="0" w:line="268"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275"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any Restricted Entity or any of their respective Restricted Subsidiaries unless accompanied by a corresponding decrease in the amounts payable by Wynn Las Vegas, any Restricted Entity or any of their respective Restricted Subsidiaries thereunder,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thereunder or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Amendments to Limited Liability Company Agreements and Charter Documents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w:t>
      </w:r>
    </w:p>
    <w:p>
      <w:pPr>
        <w:spacing w:after="0" w:line="252" w:lineRule="exact"/>
        <w:rPr>
          <w:sz w:val="20"/>
          <w:szCs w:val="20"/>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dissolve,</w:t>
      </w:r>
    </w:p>
    <w:p>
      <w:pPr>
        <w:spacing w:after="0" w:line="238" w:lineRule="exact"/>
        <w:rPr>
          <w:rFonts w:ascii="Arial" w:cs="Arial" w:eastAsia="Arial" w:hAnsi="Arial"/>
          <w:sz w:val="18"/>
          <w:szCs w:val="18"/>
          <w:color w:val="auto"/>
        </w:rPr>
      </w:pPr>
    </w:p>
    <w:p>
      <w:pPr>
        <w:jc w:val="both"/>
        <w:ind w:left="540" w:right="100" w:hanging="532"/>
        <w:spacing w:after="0" w:line="306"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either terminates the status of that Person as a member of the limited liability company or causes the limited liability company to be dissolved or its affairs wound up, or</w:t>
      </w:r>
    </w:p>
    <w:p>
      <w:pPr>
        <w:spacing w:after="0" w:line="199" w:lineRule="exact"/>
        <w:rPr>
          <w:sz w:val="20"/>
          <w:szCs w:val="20"/>
          <w:color w:val="auto"/>
        </w:rPr>
      </w:pPr>
    </w:p>
    <w:p>
      <w:pPr>
        <w:ind w:left="540" w:right="260" w:hanging="532"/>
        <w:spacing w:after="0" w:line="256"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 modify or otherwise change the provisions of Article VII of its limited liability company agreement relating to conduct, or any comparable provisions contained in its other charter documents, or fail to include provisions corresponding to those contained in Article VII of the limited liability company agreement of Valvino Lamore, as in effect on the date of the indenture, in the limited liability company agreement or other applicable charter documents of any future Restricted Subsidiary.</w:t>
      </w:r>
    </w:p>
    <w:p>
      <w:pPr>
        <w:spacing w:after="0" w:line="19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Wynn Las Vegas and the Restricted Entities will, and will cause their respective Restricted Subsidiaries to, maintain insurance with reputable and financially sound carriers against such risks and in such amounts as are customarily carried by similarly situated businesses, including, without limitation, property and</w:t>
      </w:r>
    </w:p>
    <w:p>
      <w:pPr>
        <w:sectPr>
          <w:pgSz w:w="11900" w:h="16838" w:orient="portrait"/>
          <w:cols w:equalWidth="0" w:num="1">
            <w:col w:w="11400"/>
          </w:cols>
          <w:pgMar w:left="240" w:top="131" w:right="259" w:bottom="0" w:gutter="0" w:footer="0" w:header="0"/>
        </w:sectPr>
      </w:pPr>
    </w:p>
    <w:bookmarkStart w:id="96" w:name="page97"/>
    <w:bookmarkEnd w:id="96"/>
    <w:p>
      <w:pPr>
        <w:ind w:right="340"/>
        <w:spacing w:after="0" w:line="268" w:lineRule="auto"/>
        <w:rPr>
          <w:sz w:val="20"/>
          <w:szCs w:val="20"/>
          <w:color w:val="auto"/>
        </w:rPr>
      </w:pPr>
      <w:r>
        <w:rPr>
          <w:rFonts w:ascii="Arial" w:cs="Arial" w:eastAsia="Arial" w:hAnsi="Arial"/>
          <w:sz w:val="18"/>
          <w:szCs w:val="18"/>
          <w:color w:val="auto"/>
        </w:rPr>
        <w:t>casualty insurance, so long as such insurance coverage (including deductibles, retentions and self-insurance amounts) at all times complies with the insurance coverage required under the Disbursement Agreement.</w:t>
      </w:r>
    </w:p>
    <w:p>
      <w:pPr>
        <w:spacing w:after="0" w:line="186"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Concurrently with (1) the formation or acquisition of any Restricted Subsidiary of Wynn Las Vegas or any Restricted Entity that, in either case, becomes or is required under the Credit Agreement to become a Guarantor of any of the obligations under the Credit Agreement, (2) the designation of an Unrestricted Subsidiary of Wynn Las Vegas as a Restricted Subsidiary, or (3) the reorganization by Wynn Las Vegas, any Restricted Entity or any of their respective Restricted Subsidiaries as a subchapter "C" corporation in a Permitted C-Corp. Conversion, Wynn Las Vegas and the Restricted Entities shall, to the extent not prohibited by Gaming Authorities or applicable Gaming Laws and subject to the Intercreditor Agreements:</w:t>
      </w:r>
    </w:p>
    <w:p>
      <w:pPr>
        <w:spacing w:after="0" w:line="183" w:lineRule="exact"/>
        <w:rPr>
          <w:sz w:val="20"/>
          <w:szCs w:val="20"/>
          <w:color w:val="auto"/>
        </w:rPr>
      </w:pPr>
    </w:p>
    <w:p>
      <w:pPr>
        <w:jc w:val="both"/>
        <w:ind w:left="540" w:right="100" w:hanging="532"/>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40" w:hanging="532"/>
        <w:spacing w:after="0" w:line="294" w:lineRule="auto"/>
        <w:tabs>
          <w:tab w:leader="none" w:pos="10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in the form of Annex 1 to the applicable Guarantee and Collateral Agreement (under which such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2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Subsidiary or subchapter "C" corporation to execute and deliver to the trustee: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60" w:hanging="532"/>
        <w:spacing w:after="0" w:line="298"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promptly pledge, or cause to be pledged, to the trustee (i) all of the outstanding capital stock of such entity or subchapter "C" corporation owned by Wynn Las Vegas, any Restricted Entity or any of their respective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180" w:lineRule="exact"/>
        <w:rPr>
          <w:rFonts w:ascii="Arial" w:cs="Arial" w:eastAsia="Arial" w:hAnsi="Arial"/>
          <w:sz w:val="16"/>
          <w:szCs w:val="16"/>
          <w:color w:val="auto"/>
        </w:rPr>
      </w:pPr>
    </w:p>
    <w:p>
      <w:pPr>
        <w:jc w:val="both"/>
        <w:ind w:left="540" w:right="6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207"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Additional Collateral; Acquisition of Assets or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Concurrently with the acquisition by Wynn Las Vegas, any Restricted Entity or any of their respective Restricted Subsidiaries of any assets or property (other than a Subsidiary of either Wynn Las Vegas or any Restricted Entity), to the extent not prohibited by Gaming Authorities or applicable Gaming Laws and subject to the Intercreditor Agreements, Wynn Las Vegas and the Restricted Entities will, and will cause their respective Restricted Subsidiaries to, cause the applicable entity to:</w:t>
      </w:r>
    </w:p>
    <w:p>
      <w:pPr>
        <w:spacing w:after="0" w:line="224" w:lineRule="exact"/>
        <w:rPr>
          <w:sz w:val="20"/>
          <w:szCs w:val="20"/>
          <w:color w:val="auto"/>
        </w:rPr>
      </w:pPr>
    </w:p>
    <w:p>
      <w:pPr>
        <w:jc w:val="both"/>
        <w:ind w:left="540" w:right="400" w:hanging="532"/>
        <w:spacing w:after="0" w:line="30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FF&amp;E Collateral and Aircraft Assets) for all such acquired personal property, execute and deliver to the trustee such Uniform Commercial Code financing statements, if any, as are necessary or, in the opinion of the trustee, desirable to perfect and protect the trustee's security interest in such assets or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0" w:gutter="0" w:footer="0" w:header="0"/>
        </w:sectPr>
      </w:pPr>
    </w:p>
    <w:bookmarkStart w:id="97" w:name="page98"/>
    <w:bookmarkEnd w:id="97"/>
    <w:p>
      <w:pPr>
        <w:spacing w:after="0" w:line="73"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in the case of the acquisition of real property, that (i) is contiguous to any real property included in the Collateral (other than a Golf Course Home) or (ii) has a fair market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excess of $5.0 million in the aggregate or $2.5 million individually, execute and deliver to the trustee:</w:t>
      </w:r>
    </w:p>
    <w:p>
      <w:pPr>
        <w:spacing w:after="0" w:line="239" w:lineRule="exact"/>
        <w:rPr>
          <w:sz w:val="20"/>
          <w:szCs w:val="20"/>
          <w:color w:val="auto"/>
        </w:rPr>
      </w:pPr>
    </w:p>
    <w:p>
      <w:pPr>
        <w:ind w:left="1080" w:right="180" w:hanging="532"/>
        <w:spacing w:after="0" w:line="259" w:lineRule="auto"/>
        <w:tabs>
          <w:tab w:leader="none" w:pos="10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such Restricted Entity or such Restricted Subsidiary will grant a security interest to the trustee in such real property and any related fixtures),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60"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Wynn Las Vegas and the Restricted Entities will, and will cause their respective Restricted Subsidiaries to, execute and deliver such additional instruments, certificates or documents, and take all such actions as may be reasonably required from time to time in order to:</w:t>
      </w:r>
    </w:p>
    <w:p>
      <w:pPr>
        <w:spacing w:after="0" w:line="199"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25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199"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ensure that any of the rights granted or intended to be granted to the trustee or any holder under the Collateral Documents or under any other instrument executed in connection therewith or granted to Wynn Las Vegas, any Restricted Entity or any of their respective Restricted Subsidiaries under the Collateral Documents or under any other instrument executed in connection therewith are protected and enforced.</w:t>
      </w:r>
    </w:p>
    <w:p>
      <w:pPr>
        <w:spacing w:after="0" w:line="16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the Nevada PUC or any Gaming Authority), Wynn Las Vegas and the Restricted Entities will, and will cause their respective Restricted Subsidiaries to, execute and deliver all applications, certifications, instruments and other documents and papers that may be required from Wynn Resorts, Wynn Las Vegas, any Restricted Entity or any of Wynn Las Vegas' or any Restricted Entity's Restricted Subsidiaries for such governmental consent, approval, recording, qualification or authorization.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Nevada PUC Approvals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and will cause each of their respective Restricted Subsidiaries and Desert Inn Improvement Co. to:</w:t>
      </w:r>
    </w:p>
    <w:p>
      <w:pPr>
        <w:spacing w:after="0" w:line="262" w:lineRule="exact"/>
        <w:rPr>
          <w:sz w:val="20"/>
          <w:szCs w:val="20"/>
          <w:color w:val="auto"/>
        </w:rPr>
      </w:pPr>
    </w:p>
    <w:p>
      <w:pPr>
        <w:ind w:left="540" w:right="180" w:hanging="532"/>
        <w:spacing w:after="0" w:line="259"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use their commercially reasonable efforts to amend the DIIC Casino Water Permit in accordance with all applicable requirements of law so that the designated place of use for water available for draw under such permit includes the Le Rêve casino's water features to the extent such water is necessary to operate the Le Rêve casino water features as contemplated on the date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 w:hanging="532"/>
        <w:spacing w:after="0" w:line="332"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use their commercially reasonable efforts to amend the DIIC Water Permits (other than the DIIC Casino Water Permit, if necessary) in accordance with all applicable requirements of law so that the designated place of use for water available for draw under such permits includes the golf course land;</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use their commercially reasonable efforts to effect the DIIC Water Transfer;</w:t>
      </w:r>
    </w:p>
    <w:p>
      <w:pPr>
        <w:spacing w:after="0" w:line="238" w:lineRule="exact"/>
        <w:rPr>
          <w:rFonts w:ascii="Arial" w:cs="Arial" w:eastAsia="Arial" w:hAnsi="Arial"/>
          <w:sz w:val="18"/>
          <w:szCs w:val="18"/>
          <w:color w:val="auto"/>
        </w:rPr>
      </w:pPr>
    </w:p>
    <w:p>
      <w:pPr>
        <w:ind w:left="540" w:right="260" w:hanging="532"/>
        <w:spacing w:after="0" w:line="298"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unless the DIIC Water Transfer is effected prior thereto, use their commercially reasonable efforts to obtain the approval of the Nevada PUC to the execution and delivery to the trustee of a mortgage securing the notes and covering the Water Utility Land and the DIIC Water Permits, substantially in the form of the Deeds of Trust executed and delivered on the date of the indenture, to be entered into by Desert Inn Improvement Co. in favor of the trustee for the benefit of the Holders, subject to any limitations imposed by the Nevada PUC;</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obtaining such approval, execute and deliver such mortgage; and</w:t>
      </w:r>
    </w:p>
    <w:p>
      <w:pPr>
        <w:spacing w:after="0" w:line="238"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effectuating the DIIC Water Transfer or executing the mortgage referred to in clause (4) of this covenant, take such other actions as may be reasonably required from time to time to create, grant, perfect and maintain the validity, effectiveness, perfection and priority of the trustee's security interest in the assets and property transferred pursuant to the DIIC Water Transfer or clause (4) of this covenant, subject to any limitations imposed by the Nevada PUC,</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ectPr>
          <w:pgSz w:w="11900" w:h="16911" w:orient="portrait"/>
          <w:cols w:equalWidth="0" w:num="1">
            <w:col w:w="11420"/>
          </w:cols>
          <w:pgMar w:left="240" w:top="131" w:right="239" w:bottom="0" w:gutter="0" w:footer="0" w:header="0"/>
        </w:sectPr>
      </w:pPr>
    </w:p>
    <w:bookmarkStart w:id="98" w:name="page99"/>
    <w:bookmarkEnd w:id="98"/>
    <w:p>
      <w:pPr>
        <w:ind w:left="540"/>
        <w:spacing w:after="0"/>
        <w:rPr>
          <w:sz w:val="20"/>
          <w:szCs w:val="20"/>
          <w:color w:val="auto"/>
        </w:rPr>
      </w:pPr>
      <w:r>
        <w:rPr>
          <w:rFonts w:ascii="Arial" w:cs="Arial" w:eastAsia="Arial" w:hAnsi="Arial"/>
          <w:sz w:val="18"/>
          <w:szCs w:val="18"/>
          <w:b w:val="1"/>
          <w:bCs w:val="1"/>
          <w:i w:val="1"/>
          <w:iCs w:val="1"/>
          <w:color w:val="auto"/>
        </w:rPr>
        <w:t>Restrictions on Specified Activities of Wynn Resorts</w:t>
      </w:r>
    </w:p>
    <w:p>
      <w:pPr>
        <w:spacing w:after="0" w:line="225"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Under the terms of the Wynn Resorts Agreement, Wynn Resorts will agree that it will not grant any security interests in any of its assets or properties (other than a security interest in favor of the trustee for the benefit of the noteholders and security interests granted in Excluded Project Assets or assets or properties that individually and in the aggregate have a fair market value of less than $10.0 million) in favor of any Person to secure (i) any Indebtedness of any of its Affiliates,</w:t>
      </w:r>
    </w:p>
    <w:p>
      <w:pPr>
        <w:spacing w:after="0" w:line="1"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Guarantee by Wynn Resorts of Indebtedness of any of its Affiliates, or (iii) any Indebtedness incurred by Wynn Resorts, unless:</w:t>
      </w: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Wynn Resorts concurrently grants a security interest in those assets or properties in favor of the trustee to secure the Parent Guarantee, and</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subject to the priorities set forth in the Intercreditor Agreements, the security interest described in clause (a) above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security interest granted by Wynn Resorts in respect of its Indebtedness, the Affiliate's Indebtedness or its guarantee of the Affiliate's Indebtedness, as the case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terms of the Parent Guarantee, Wynn Resorts will agree that it will not amend, modify, waive or otherwise change, or consent or agree to any amendment, modification, waiver or other change to, or otherwise fail to enforce, or terminate or abandon, any of the provisions of the Wynn Put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0" w:lineRule="exact"/>
        <w:rPr>
          <w:sz w:val="20"/>
          <w:szCs w:val="20"/>
          <w:color w:val="auto"/>
        </w:rPr>
      </w:pPr>
    </w:p>
    <w:p>
      <w:pPr>
        <w:ind w:left="540" w:right="540" w:hanging="532"/>
        <w:spacing w:after="0" w:line="268"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have a material adverse affect on the ability of Wynn Las Vegas, any Restricted Entity or any of their respective Restricted Subsidiaries to develop, construct or operate the Project,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cause the Completion Date to occur or result in that date occurring after the Outside Completion Deadline,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Notwithstanding the provisions of this covenant, in no event shall Wynn Resorts be required, by reason of granting any security interest pursuant to this covenant or otherwise, to become a Restricted Entity.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Wynn Capital will not hold any material assets, hold any Equity Securities, incur any Indebtedness, become liable for any obligations, engage in any business activities or have any Subsidiaries. However,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99" w:lineRule="exact"/>
        <w:rPr>
          <w:sz w:val="20"/>
          <w:szCs w:val="20"/>
          <w:color w:val="auto"/>
        </w:rPr>
      </w:pPr>
    </w:p>
    <w:p>
      <w:pPr>
        <w:ind w:left="540" w:hanging="532"/>
        <w:spacing w:after="0"/>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Commission on Forms 10-Q and 10-K if each of</w:t>
      </w:r>
    </w:p>
    <w:p>
      <w:pPr>
        <w:spacing w:after="0" w:line="38" w:lineRule="exact"/>
        <w:rPr>
          <w:rFonts w:ascii="Arial" w:cs="Arial" w:eastAsia="Arial" w:hAnsi="Arial"/>
          <w:sz w:val="16"/>
          <w:szCs w:val="16"/>
          <w:color w:val="auto"/>
        </w:rPr>
      </w:pPr>
    </w:p>
    <w:p>
      <w:pPr>
        <w:jc w:val="both"/>
        <w:ind w:left="540" w:right="300"/>
        <w:spacing w:after="0" w:line="255" w:lineRule="auto"/>
        <w:rPr>
          <w:rFonts w:ascii="Arial" w:cs="Arial" w:eastAsia="Arial" w:hAnsi="Arial"/>
          <w:sz w:val="16"/>
          <w:szCs w:val="16"/>
          <w:color w:val="auto"/>
        </w:rPr>
      </w:pPr>
      <w:r>
        <w:rPr>
          <w:rFonts w:ascii="Arial" w:cs="Arial" w:eastAsia="Arial" w:hAnsi="Arial"/>
          <w:sz w:val="18"/>
          <w:szCs w:val="18"/>
          <w:color w:val="auto"/>
        </w:rPr>
        <w:t>(a) Wynn Las Vegas and (b) the Restricted Entities were required to file such Forms, including a "Management's Discussion and Analysis of Financial Condition and Results of Operations" and, with respect to the annual information only, a report on the annual financial statements by Wynn Las Vegas' and the Restricted Entities' certified independent accountants; and</w:t>
      </w:r>
    </w:p>
    <w:p>
      <w:pPr>
        <w:spacing w:after="0" w:line="225"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each of (a) Wynn Las Vegas and (b) the Restricted Entities was required to file such reports.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w:t>
      </w:r>
    </w:p>
    <w:p>
      <w:pPr>
        <w:sectPr>
          <w:pgSz w:w="11900" w:h="16838" w:orient="portrait"/>
          <w:cols w:equalWidth="0" w:num="1">
            <w:col w:w="11420"/>
          </w:cols>
          <w:pgMar w:left="240" w:top="131" w:right="239" w:bottom="0" w:gutter="0" w:footer="0" w:header="0"/>
          <w:type w:val="continuous"/>
        </w:sectPr>
      </w:pPr>
    </w:p>
    <w:bookmarkStart w:id="99" w:name="page100"/>
    <w:bookmarkEnd w:id="99"/>
    <w:p>
      <w:pPr>
        <w:ind w:left="1080" w:right="120"/>
        <w:spacing w:after="0" w:line="259" w:lineRule="auto"/>
        <w:rPr>
          <w:sz w:val="20"/>
          <w:szCs w:val="20"/>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208" w:lineRule="exact"/>
        <w:rPr>
          <w:sz w:val="20"/>
          <w:szCs w:val="20"/>
          <w:color w:val="auto"/>
        </w:rPr>
      </w:pPr>
    </w:p>
    <w:p>
      <w:pPr>
        <w:ind w:left="1080" w:right="260" w:hanging="532"/>
        <w:spacing w:after="0" w:line="268" w:lineRule="auto"/>
        <w:tabs>
          <w:tab w:leader="none" w:pos="10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occurrence of any "event of default" under the Disbursement Agreement;</w:t>
      </w:r>
    </w:p>
    <w:p>
      <w:pPr>
        <w:spacing w:after="0" w:line="238" w:lineRule="exact"/>
        <w:rPr>
          <w:rFonts w:ascii="Arial" w:cs="Arial" w:eastAsia="Arial" w:hAnsi="Arial"/>
          <w:sz w:val="18"/>
          <w:szCs w:val="18"/>
          <w:color w:val="auto"/>
        </w:rPr>
      </w:pPr>
    </w:p>
    <w:p>
      <w:pPr>
        <w:ind w:left="540" w:right="220" w:hanging="532"/>
        <w:spacing w:after="0" w:line="306"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the Completion Guarantor or any other party thereto (other than the trustee or any representative of the lenders under the Credit Agreement or other lenders party thereto) for 60 days after receipt of written notice from the trustee to comply with any of its agreements, as applicable, in any Collateral Document;</w:t>
      </w:r>
    </w:p>
    <w:p>
      <w:pPr>
        <w:spacing w:after="0" w:line="187" w:lineRule="exact"/>
        <w:rPr>
          <w:rFonts w:ascii="Arial" w:cs="Arial" w:eastAsia="Arial" w:hAnsi="Arial"/>
          <w:sz w:val="16"/>
          <w:szCs w:val="16"/>
          <w:color w:val="auto"/>
        </w:rPr>
      </w:pPr>
    </w:p>
    <w:p>
      <w:pPr>
        <w:ind w:left="540" w:right="160" w:hanging="532"/>
        <w:spacing w:after="0" w:line="335" w:lineRule="auto"/>
        <w:tabs>
          <w:tab w:leader="none" w:pos="54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Indebtedness for money borrowed by Wynn Las Vegas, any Restricted Entity or any of their respective Restricted Subsidiaries (or the payment of which is guaranteed by any such Person) whether such Indebtedness or guarantee now exists, or is created after the date of the indenture, if that default:</w:t>
      </w:r>
    </w:p>
    <w:p>
      <w:pPr>
        <w:spacing w:after="0" w:line="371" w:lineRule="exact"/>
        <w:rPr>
          <w:rFonts w:ascii="Arial" w:cs="Arial" w:eastAsia="Arial" w:hAnsi="Arial"/>
          <w:sz w:val="15"/>
          <w:szCs w:val="15"/>
          <w:color w:val="auto"/>
        </w:rPr>
      </w:pPr>
    </w:p>
    <w:p>
      <w:pPr>
        <w:ind w:left="1080" w:right="160" w:hanging="532"/>
        <w:spacing w:after="0" w:line="268" w:lineRule="auto"/>
        <w:tabs>
          <w:tab w:leader="none" w:pos="10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13" w:lineRule="exact"/>
        <w:rPr>
          <w:sz w:val="20"/>
          <w:szCs w:val="20"/>
          <w:color w:val="auto"/>
        </w:rPr>
      </w:pPr>
    </w:p>
    <w:p>
      <w:pPr>
        <w:ind w:left="540" w:right="40" w:hanging="532"/>
        <w:spacing w:after="0" w:line="259"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00" w:hanging="532"/>
        <w:spacing w:after="0" w:line="298"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of the Collateral Documents shall cease, for any reason (other than pursuant to their terms), to be in full force and effect, or Wynn Capital, Wynn Las Vegas, any Restricted Entity or any of their respective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80" w:lineRule="exact"/>
        <w:rPr>
          <w:rFonts w:ascii="Arial" w:cs="Arial" w:eastAsia="Arial" w:hAnsi="Arial"/>
          <w:sz w:val="16"/>
          <w:szCs w:val="16"/>
          <w:color w:val="auto"/>
        </w:rPr>
      </w:pPr>
    </w:p>
    <w:p>
      <w:pPr>
        <w:ind w:left="540" w:right="140" w:hanging="532"/>
        <w:spacing w:after="0" w:line="294"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Wynn Capital, Wynn Las Vegas, any Restricted Entity or any of their respective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 Disbursement Agreement Event of Default;</w:t>
      </w:r>
    </w:p>
    <w:p>
      <w:pPr>
        <w:spacing w:after="0" w:line="196" w:lineRule="exact"/>
        <w:rPr>
          <w:rFonts w:ascii="Arial" w:cs="Arial" w:eastAsia="Arial" w:hAnsi="Arial"/>
          <w:sz w:val="16"/>
          <w:szCs w:val="16"/>
          <w:color w:val="auto"/>
        </w:rPr>
      </w:pPr>
    </w:p>
    <w:p>
      <w:pPr>
        <w:ind w:left="540" w:right="80" w:hanging="532"/>
        <w:spacing w:after="0" w:line="255"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expressly provided therein, the Completion Guarantee, the Construction Contract Guarantee, any Guarantee issued by a Restricted Entity, a Restricted Subsidiary of Wynn Las Vegas or any Restricted Entity, or the Parent Guarantee shall be held in any judicial proceeding to be unenforceable or invalid or shall cease for any reason to be in full force and effect or the Completion Guarantor, any Restricted Entity, any Restricted Subsidiary, or the Parent Guarantor or any Person acting on behalf of any such Person, shall deny or disaffirm its obligations under its Guarantee or, as the case may be, its Parent Guarantee;</w:t>
      </w:r>
    </w:p>
    <w:p>
      <w:pPr>
        <w:spacing w:after="0" w:line="210" w:lineRule="exact"/>
        <w:rPr>
          <w:rFonts w:ascii="Arial" w:cs="Arial" w:eastAsia="Arial" w:hAnsi="Arial"/>
          <w:sz w:val="18"/>
          <w:szCs w:val="18"/>
          <w:color w:val="auto"/>
        </w:rPr>
      </w:pPr>
    </w:p>
    <w:p>
      <w:pPr>
        <w:ind w:left="540" w:right="40" w:hanging="532"/>
        <w:spacing w:after="0" w:line="286"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(a) either Issuer, (b) any Significant Restricted Entity, (c) any group of Restricted Entities that, taken together, would constitute a Significant Restricted Entity, (d) any Significant Restricted Subsidiary of Wynn Las Vegas or</w:t>
      </w:r>
    </w:p>
    <w:p>
      <w:pPr>
        <w:ind w:left="540"/>
        <w:spacing w:after="0"/>
        <w:rPr>
          <w:rFonts w:ascii="Arial" w:cs="Arial" w:eastAsia="Arial" w:hAnsi="Arial"/>
          <w:sz w:val="16"/>
          <w:szCs w:val="16"/>
          <w:color w:val="auto"/>
        </w:rPr>
      </w:pPr>
      <w:r>
        <w:rPr>
          <w:rFonts w:ascii="Arial" w:cs="Arial" w:eastAsia="Arial" w:hAnsi="Arial"/>
          <w:sz w:val="16"/>
          <w:szCs w:val="16"/>
          <w:color w:val="auto"/>
        </w:rPr>
        <w:t>(e) any group of Restricted Subsidiaries of Wynn Las Vegas that, taken together, would constitute a Significant Restricted Subsidiary of Wynn Las Vegas;</w:t>
      </w:r>
    </w:p>
    <w:p>
      <w:pPr>
        <w:spacing w:after="0" w:line="255" w:lineRule="exact"/>
        <w:rPr>
          <w:rFonts w:ascii="Arial" w:cs="Arial" w:eastAsia="Arial" w:hAnsi="Arial"/>
          <w:sz w:val="16"/>
          <w:szCs w:val="16"/>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Project has not achieved Completion on or before the Outside Completion Deadline;</w:t>
      </w:r>
    </w:p>
    <w:p>
      <w:pPr>
        <w:spacing w:after="0" w:line="25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after the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of Wynn Las Vegas, or any group of Restricted Subsidiaries that, taken together, would constitute a Significant Restricted Subsidiary of Wynn Las Vegas,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0" w:name="page101"/>
    <w:bookmarkEnd w:id="100"/>
    <w:p>
      <w:pPr>
        <w:ind w:right="40" w:firstLine="351"/>
        <w:spacing w:after="0" w:line="298"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Agreements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case of any Event of Default occurring on or after November 1, 2006 by reason of any willful action or inaction taken or not taken by or on behalf of either Issuer, any Restricted Entity, any Restricted Subsidiary of Wynn Las Vegas or any Restricted Entity, any Guarantor or any of their respective Subsidiaries with the intention of avoiding payment of the premium that the Issuers would have had to pay if the Issuers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November 1, 2006, by reason of any willful action (or inaction) taken (or not taken) by or on behalf of either Issuer, any Restricted Entity, any Restricted Subsidiary of Wynn Las Vegas or any Restricted Entity, any Guarantor or any of their respective Subsidiaries with the intention of avoiding the prohibition on redemption of the notes prior to November 1, 2006, then the premium specified in the indenture will also become immediately due and payable to the extent permitted by law upon the acceleration of the notes.</w:t>
      </w:r>
    </w:p>
    <w:p>
      <w:pPr>
        <w:spacing w:after="0" w:line="172"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Remedies upon Default Under the Notes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Generally, 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of Wynn Las Vegas or any Restricted Entity, and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and remedies. See "—Gaming Law Limitations on Foreclosure," "—Bankruptcy Limitations on Foreclosure" and "—Nevada Public Utility Commission Limitations on Foreclosure."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225"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183" w:lineRule="exact"/>
        <w:rPr>
          <w:sz w:val="20"/>
          <w:szCs w:val="20"/>
          <w:color w:val="auto"/>
        </w:rPr>
      </w:pPr>
    </w:p>
    <w:p>
      <w:pPr>
        <w:ind w:left="540" w:right="400" w:hanging="532"/>
        <w:spacing w:after="0" w:line="332"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66"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39"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Nothing contained in this paragraph shall be deemed to apply to the Parent Guarantor or to restrict the ability of Wynn Las Vegas to make the Restricted Payments permitted to be made during the occurrence of an Event of Default under the covenant captioned "Certain Covenants—Restricted Payments."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Intercreditor Agreements may prevent timely payment on the notes if a default has occurred.</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intercreditor agreement between the trustee and the agent under the Credit Agreement, until the debt under the Credit Agreement has been repaid in full, the lenders under the Credit Agreement will have the exclusive right to exercise remedies against the Collateral and to determine the circumstances and manner in which the Collateral may be disposed, subject to the rights of the lenders under the FF&amp;E Facility with respect to the FF&amp;E Collateral. Similarly, until the debt under the FF&amp;E Facility has been repaid in full, the lenders under the FF&amp;E Facility will have the exclusive right to sell the FF&amp;E Collateral or exercise other remedies against the FF&amp;E Collateral.</w:t>
      </w:r>
    </w:p>
    <w:p>
      <w:pPr>
        <w:sectPr>
          <w:pgSz w:w="11900" w:h="16838" w:orient="portrait"/>
          <w:cols w:equalWidth="0" w:num="1">
            <w:col w:w="11420"/>
          </w:cols>
          <w:pgMar w:left="240" w:top="590" w:right="239" w:bottom="88"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Gaming Law Limitations on Granting of Security Interests</w:t>
      </w:r>
    </w:p>
    <w:p>
      <w:pPr>
        <w:sectPr>
          <w:pgSz w:w="11900" w:h="16838" w:orient="portrait"/>
          <w:cols w:equalWidth="0" w:num="1">
            <w:col w:w="11420"/>
          </w:cols>
          <w:pgMar w:left="240" w:top="590" w:right="239" w:bottom="88" w:gutter="0" w:footer="0" w:header="0"/>
          <w:type w:val="continuous"/>
        </w:sectPr>
      </w:pPr>
    </w:p>
    <w:bookmarkStart w:id="101" w:name="page102"/>
    <w:bookmarkEnd w:id="101"/>
    <w:p>
      <w:pPr>
        <w:ind w:right="40" w:firstLine="348"/>
        <w:spacing w:after="0" w:line="259" w:lineRule="auto"/>
        <w:rPr>
          <w:sz w:val="20"/>
          <w:szCs w:val="20"/>
          <w:color w:val="auto"/>
        </w:rPr>
      </w:pPr>
      <w:r>
        <w:rPr>
          <w:rFonts w:ascii="Arial" w:cs="Arial" w:eastAsia="Arial" w:hAnsi="Arial"/>
          <w:sz w:val="18"/>
          <w:szCs w:val="18"/>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 (2) unless consented to in advance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Nevada Gaming Authorities, the ownership interests of any person that holds any such license.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Public Utilities Commission of Nevada Limitations on Foreclosure</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Nevada Revised Statutes 704.668 prohibits small water utilities such as Desert Inn Improvement Co. from selling or otherwise disposing of water rights without the prior approval of the Nevada PUC. In a separate subsection of the statute, prior Nevada PUC approval is also required in order for a small water utility to encumber its water rights by way of mortgage, deed of trust, security agreement or otherwise. Desert Inn Improvement Co. will seek Nevada PUC approval to encumber the water rights held by it. See "Certain Covenants—Nevada PUC Approvals." The Nevada PUC may also require a prior application if a sale or transfer were to occur by way of a foreclosure, since such an event would result in the water rights being taken out of the total control of the utility.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ectPr>
          <w:pgSz w:w="11900" w:h="16838" w:orient="portrait"/>
          <w:cols w:equalWidth="0" w:num="1">
            <w:col w:w="11420"/>
          </w:cols>
          <w:pgMar w:left="240" w:top="131" w:right="239" w:bottom="0" w:gutter="0" w:footer="0" w:header="0"/>
        </w:sectPr>
      </w:pPr>
    </w:p>
    <w:bookmarkStart w:id="102" w:name="page103"/>
    <w:bookmarkEnd w:id="102"/>
    <w:p>
      <w:pPr>
        <w:ind w:right="40" w:firstLine="351"/>
        <w:spacing w:after="0" w:line="255"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lenders. However, the courts have not yet issued any definitive interpretations of the extent of these safe harbors. There is currently no controlling authority on this matter.</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Equity Holders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No director, officer, employee, incorporator, organizer, equity holder or member of either Issuer, any Restricted Entity, any of the Restricted Subsidiaries of Wynn Las Vegas or any Restricted Entity, or any Guarantor, as such, shall have any liability for any obligations of either Issuer, any Restricted Entity, any such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208" w:lineRule="exact"/>
        <w:rPr>
          <w:sz w:val="20"/>
          <w:szCs w:val="20"/>
          <w:color w:val="auto"/>
        </w:rPr>
      </w:pPr>
    </w:p>
    <w:p>
      <w:pPr>
        <w:ind w:left="540" w:right="54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and the Guarantors' obligations in connection therewith;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the Restricted Entities, the Restricted Subsidiaries of Wynn Las Vegas and the Restricted Entities,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540" w:right="240" w:hanging="532"/>
        <w:spacing w:after="0" w:line="306"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government securities, or a combination of cash in U.S. dollars and government securities, in amounts as will be sufficient, in the opinion of a nationally recognized firm of independent public accountants, to pay the principal of, or interest and premium, if any, on the outstanding notes on the stated maturity or 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applicable redemption date, as the case may be, and the Issuers must specify whether the notes are being defeased to maturity or to a particular redemption date;</w:t>
      </w:r>
    </w:p>
    <w:p>
      <w:pPr>
        <w:spacing w:after="0" w:line="199" w:lineRule="exact"/>
        <w:rPr>
          <w:sz w:val="20"/>
          <w:szCs w:val="20"/>
          <w:color w:val="auto"/>
        </w:rPr>
      </w:pPr>
    </w:p>
    <w:p>
      <w:pPr>
        <w:ind w:left="540" w:hanging="532"/>
        <w:spacing w:after="0" w:line="254"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11"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either:</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the date of such deposit (other than a Default or Event of Default resulting from the borrowing of funds to be applied to such deposit), or</w:t>
      </w:r>
    </w:p>
    <w:p>
      <w:pPr>
        <w:sectPr>
          <w:pgSz w:w="11900" w:h="16838" w:orient="portrait"/>
          <w:cols w:equalWidth="0" w:num="1">
            <w:col w:w="11420"/>
          </w:cols>
          <w:pgMar w:left="240" w:top="131" w:right="239" w:bottom="0" w:gutter="0" w:footer="0" w:header="0"/>
          <w:type w:val="continuous"/>
        </w:sectPr>
      </w:pPr>
    </w:p>
    <w:bookmarkStart w:id="103" w:name="page104"/>
    <w:bookmarkEnd w:id="103"/>
    <w:p>
      <w:pPr>
        <w:spacing w:after="0" w:line="41" w:lineRule="exact"/>
        <w:rPr>
          <w:sz w:val="20"/>
          <w:szCs w:val="20"/>
          <w:color w:val="auto"/>
        </w:rPr>
      </w:pPr>
    </w:p>
    <w:p>
      <w:pPr>
        <w:ind w:left="1080" w:right="80" w:hanging="532"/>
        <w:spacing w:after="0" w:line="300" w:lineRule="auto"/>
        <w:tabs>
          <w:tab w:leader="none" w:pos="108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 the case of Legal Defeasance, insofar as Events of Default of the type specified in clause (12) of the section above under the caption "Events of Default and Remedies" are concerned, at any time in the period ending on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date of deposit;</w:t>
      </w:r>
    </w:p>
    <w:p>
      <w:pPr>
        <w:spacing w:after="0" w:line="200" w:lineRule="exact"/>
        <w:rPr>
          <w:rFonts w:ascii="Arial" w:cs="Arial" w:eastAsia="Arial" w:hAnsi="Arial"/>
          <w:sz w:val="17"/>
          <w:szCs w:val="17"/>
          <w:color w:val="auto"/>
        </w:rPr>
      </w:pPr>
    </w:p>
    <w:p>
      <w:pPr>
        <w:spacing w:after="0" w:line="328" w:lineRule="exact"/>
        <w:rPr>
          <w:rFonts w:ascii="Arial" w:cs="Arial" w:eastAsia="Arial" w:hAnsi="Arial"/>
          <w:sz w:val="17"/>
          <w:szCs w:val="17"/>
          <w:color w:val="auto"/>
        </w:rPr>
      </w:pPr>
    </w:p>
    <w:p>
      <w:pPr>
        <w:ind w:left="540" w:right="120" w:hanging="532"/>
        <w:spacing w:after="0" w:line="259"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of Wynn Las Vegas or any Restricted Entity, or any Guarantor is a party or by which any such Person is bound;</w:t>
      </w:r>
    </w:p>
    <w:p>
      <w:pPr>
        <w:spacing w:after="0" w:line="207" w:lineRule="exact"/>
        <w:rPr>
          <w:rFonts w:ascii="Arial" w:cs="Arial" w:eastAsia="Arial" w:hAnsi="Arial"/>
          <w:sz w:val="18"/>
          <w:szCs w:val="18"/>
          <w:color w:val="auto"/>
        </w:rPr>
      </w:pPr>
    </w:p>
    <w:p>
      <w:pPr>
        <w:ind w:left="540" w:right="100" w:hanging="532"/>
        <w:spacing w:after="0" w:line="220"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 the case of Legal Defeasance, the Issuers must deliver to the trustee an opinion of counsel to the effect that, assuming no intervening bankruptcy of the Issuers or any Guarantor between the date of deposit and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and assuming that no holder of notes is an "insider" of either Issuer under applicable bankruptcy law, after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the trust funds will not be subject to the effect of any applicable bankruptcy, insolvency, reorganization or similar laws affecting creditors' rights generally;</w:t>
      </w:r>
    </w:p>
    <w:p>
      <w:pPr>
        <w:spacing w:after="0" w:line="226" w:lineRule="exact"/>
        <w:rPr>
          <w:rFonts w:ascii="Arial" w:cs="Arial" w:eastAsia="Arial" w:hAnsi="Arial"/>
          <w:sz w:val="17"/>
          <w:szCs w:val="17"/>
          <w:color w:val="auto"/>
        </w:rPr>
      </w:pPr>
    </w:p>
    <w:p>
      <w:pPr>
        <w:ind w:left="540" w:right="40" w:hanging="532"/>
        <w:spacing w:after="0" w:line="332"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Subject to the provisions of the Intercreditor Agreements,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232" w:lineRule="exact"/>
        <w:rPr>
          <w:sz w:val="20"/>
          <w:szCs w:val="20"/>
          <w:color w:val="auto"/>
        </w:rPr>
      </w:pPr>
    </w:p>
    <w:p>
      <w:pPr>
        <w:ind w:left="540" w:right="360" w:hanging="532"/>
        <w:spacing w:after="0" w:line="306"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74"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"—Repurchase at the Option of Holders—Events of Loss";</w:t>
      </w:r>
    </w:p>
    <w:p>
      <w:pPr>
        <w:spacing w:after="0" w:line="22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199"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Collateral Documents or the Wynn Resorts Agreement, Collateral of a Guarantor or of Wynn Resorts, as applicable, whose Guarantee or Parent Security Agreement is released or terminated pursuant to the terms of the indenture or the Parent Security Agreement, as the case may be;</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Released Assets;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and the notes,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262" w:lineRule="exact"/>
        <w:rPr>
          <w:sz w:val="20"/>
          <w:szCs w:val="20"/>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spacing w:after="0"/>
        <w:tabs>
          <w:tab w:leader="none" w:pos="0" w:val="left"/>
        </w:tabs>
        <w:numPr>
          <w:ilvl w:val="0"/>
          <w:numId w:val="196"/>
        </w:numPr>
        <w:rPr>
          <w:rFonts w:ascii="Arial" w:cs="Arial" w:eastAsia="Arial" w:hAnsi="Arial"/>
          <w:sz w:val="18"/>
          <w:szCs w:val="18"/>
          <w:color w:val="auto"/>
        </w:rPr>
      </w:pPr>
    </w:p>
    <w:p>
      <w:pPr>
        <w:sectPr>
          <w:pgSz w:w="11900" w:h="16880" w:orient="portrait"/>
          <w:cols w:equalWidth="0" w:num="1">
            <w:col w:w="11420"/>
          </w:cols>
          <w:pgMar w:left="240" w:top="145" w:right="239" w:bottom="0" w:gutter="0" w:footer="0" w:header="0"/>
        </w:sectPr>
      </w:pPr>
    </w:p>
    <w:bookmarkStart w:id="104" w:name="page105"/>
    <w:bookmarkEnd w:id="104"/>
    <w:p>
      <w:pPr>
        <w:ind w:left="540" w:right="180"/>
        <w:spacing w:after="0" w:line="268" w:lineRule="auto"/>
        <w:rPr>
          <w:sz w:val="20"/>
          <w:szCs w:val="20"/>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99" w:lineRule="exact"/>
        <w:rPr>
          <w:sz w:val="20"/>
          <w:szCs w:val="20"/>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5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212"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if the assets or properties of that Guarantor (a) constitute all or substantially all of the Collateral or (b) include Material Project Assets;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preceding, without the consent of any holder, the Issuers, any Restricted Entity, any Restricted Subsidiary of Wynn Las Vegas or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Restricted Entity, or any Guarantor, the Issuers, the Guarantors and the trustee may amend or supplement the indenture, the notes or the Collateral Documents to:</w:t>
      </w:r>
    </w:p>
    <w:p>
      <w:pPr>
        <w:spacing w:after="0" w:line="267" w:lineRule="exact"/>
        <w:rPr>
          <w:sz w:val="20"/>
          <w:szCs w:val="20"/>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provide for the assumption of the Issuers' obligations to holders of notes in the case of a merger or consolidation or sale of all or substantially all of the Issuers' assets;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notes or that does not adversely affect the legal rights under the indenture of any such holder;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comply with requirements of the Commission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Guarantee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provide for Additional Notes in accordance with the limitations set forth in the indenture on the date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under the indenture, when:</w:t>
      </w:r>
    </w:p>
    <w:p>
      <w:pPr>
        <w:spacing w:after="0" w:line="262" w:lineRule="exact"/>
        <w:rPr>
          <w:sz w:val="20"/>
          <w:szCs w:val="20"/>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332" w:lineRule="auto"/>
        <w:tabs>
          <w:tab w:leader="none" w:pos="10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66" w:lineRule="exact"/>
        <w:rPr>
          <w:rFonts w:ascii="Arial" w:cs="Arial" w:eastAsia="Arial" w:hAnsi="Arial"/>
          <w:sz w:val="16"/>
          <w:szCs w:val="16"/>
          <w:color w:val="auto"/>
        </w:rPr>
      </w:pPr>
    </w:p>
    <w:p>
      <w:pPr>
        <w:ind w:left="1080" w:right="100" w:hanging="532"/>
        <w:spacing w:after="0" w:line="254" w:lineRule="auto"/>
        <w:tabs>
          <w:tab w:leader="none" w:pos="10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government securities, or a combination of cash in U.S. dollars and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 Issuer or any Guarantor is bound;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the indenture;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1" w:right="279" w:bottom="0" w:gutter="0" w:footer="0" w:header="0"/>
        </w:sectPr>
      </w:pPr>
    </w:p>
    <w:bookmarkStart w:id="105" w:name="page106"/>
    <w:bookmarkEnd w:id="105"/>
    <w:p>
      <w:pPr>
        <w:spacing w:after="0" w:line="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will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Except as described in the next paragraph, the notes will be issued in the form of one or more global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68"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Issuers with portions of the principal amount of the Global Notes;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0" w:hanging="532"/>
        <w:spacing w:after="0" w:line="259"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9" w:orient="portrait"/>
          <w:cols w:equalWidth="0" w:num="1">
            <w:col w:w="11420"/>
          </w:cols>
          <w:pgMar w:left="240" w:top="131" w:right="239" w:bottom="0" w:gutter="0" w:footer="0" w:header="0"/>
        </w:sectPr>
      </w:pPr>
    </w:p>
    <w:bookmarkStart w:id="106" w:name="page107"/>
    <w:bookmarkEnd w:id="106"/>
    <w:p>
      <w:pPr>
        <w:ind w:left="540"/>
        <w:spacing w:after="0" w:line="259" w:lineRule="auto"/>
        <w:rPr>
          <w:sz w:val="20"/>
          <w:szCs w:val="20"/>
          <w:color w:val="auto"/>
        </w:rPr>
      </w:pPr>
      <w:r>
        <w:rPr>
          <w:rFonts w:ascii="Arial" w:cs="Arial" w:eastAsia="Arial" w:hAnsi="Arial"/>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208" w:lineRule="exact"/>
        <w:rPr>
          <w:sz w:val="20"/>
          <w:szCs w:val="20"/>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52" w:lineRule="exact"/>
        <w:rPr>
          <w:sz w:val="20"/>
          <w:szCs w:val="20"/>
          <w:color w:val="auto"/>
        </w:rPr>
      </w:pPr>
    </w:p>
    <w:p>
      <w:pPr>
        <w:ind w:left="540" w:right="480" w:hanging="532"/>
        <w:spacing w:after="0" w:line="268"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Wynn Las Vegas notifies the trustee in writing that DTC is no longer willing or able to act as a depository and Wynn Las Vegas is unable to locate a qualified successor within 90 days; or</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upon request to the trustee by any Person having a beneficial interest in a Global Note, following the occurrence and during the continuation of a Default or Event of Default,</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39" w:lineRule="exact"/>
        <w:rPr>
          <w:sz w:val="20"/>
          <w:szCs w:val="20"/>
          <w:color w:val="auto"/>
        </w:rPr>
      </w:pPr>
    </w:p>
    <w:p>
      <w:pPr>
        <w:ind w:left="540" w:hanging="532"/>
        <w:spacing w:after="0" w:line="259"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Beneficial ownership of 10% or more of the voting stock of a Person will be deemed to be control. For purposes of this definition, the terms "controlling," "controlled by" and "under common control with" will have correlative meanings.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Water Supply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Employment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17" w:gutter="0" w:footer="0" w:header="0"/>
        </w:sectPr>
      </w:pPr>
    </w:p>
    <w:p>
      <w:pPr>
        <w:spacing w:after="0" w:line="200" w:lineRule="exact"/>
        <w:rPr>
          <w:sz w:val="20"/>
          <w:szCs w:val="20"/>
          <w:color w:val="auto"/>
        </w:rPr>
      </w:pPr>
    </w:p>
    <w:p>
      <w:pPr>
        <w:spacing w:after="0" w:line="282" w:lineRule="exact"/>
        <w:rPr>
          <w:sz w:val="20"/>
          <w:szCs w:val="20"/>
          <w:color w:val="auto"/>
        </w:rPr>
      </w:pPr>
    </w:p>
    <w:p>
      <w:pPr>
        <w:ind w:left="540" w:hanging="532"/>
        <w:spacing w:after="0"/>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Tax Indemnification Agreement,</w:t>
      </w:r>
    </w:p>
    <w:p>
      <w:pPr>
        <w:sectPr>
          <w:pgSz w:w="11900" w:h="16838" w:orient="portrait"/>
          <w:cols w:equalWidth="0" w:num="1">
            <w:col w:w="11400"/>
          </w:cols>
          <w:pgMar w:left="240" w:top="131" w:right="259" w:bottom="117" w:gutter="0" w:footer="0" w:header="0"/>
          <w:type w:val="continuous"/>
        </w:sectPr>
      </w:pPr>
    </w:p>
    <w:bookmarkStart w:id="107" w:name="page108"/>
    <w:bookmarkEnd w:id="107"/>
    <w:p>
      <w:pPr>
        <w:ind w:right="7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Existing Aircraft and the Replacement Aircraft, in each case, together with the products and proceeds thereof, and (2) the Aircraft Note.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Refinancing Date</w:t>
      </w:r>
      <w:r>
        <w:rPr>
          <w:rFonts w:ascii="Arial" w:cs="Arial" w:eastAsia="Arial" w:hAnsi="Arial"/>
          <w:sz w:val="18"/>
          <w:szCs w:val="18"/>
          <w:color w:val="auto"/>
        </w:rPr>
        <w:t>" means the date on which the net proceeds of the sale of the Existing Aircraft and up to $10.0 million of borrowings under the FF&amp;E Facility are applied to repay Replacement Aircraft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w:t>
      </w:r>
    </w:p>
    <w:p>
      <w:pPr>
        <w:spacing w:after="0" w:line="239" w:lineRule="exact"/>
        <w:rPr>
          <w:sz w:val="20"/>
          <w:szCs w:val="20"/>
          <w:color w:val="auto"/>
        </w:rPr>
      </w:pPr>
    </w:p>
    <w:p>
      <w:pPr>
        <w:ind w:left="540" w:right="40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promissory note dated as of the date of the indenture issued by World Travel, LLC in favor of Wynn Las Vegas in an original principal amount of approximately $38.0 million, or</w:t>
      </w:r>
    </w:p>
    <w:p>
      <w:pPr>
        <w:spacing w:after="0" w:line="21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following the sale by World Travel, LLC or the Aircraft Trustee of the Existing Aircraft, a replacement promissory note in substantially the form of the promissory note described in clause (1) of this definition issued by World Travel, LLC in favor of Wynn Las Vegas in an aggregate principal amount not to exceed the sum of:</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principal amount of the promissory note described in clause (1) of this definition outstanding on the date on which the Existing Aircraft is sold by World Travel, LLC or the Aircraft Trustee,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lesser of (i) $10.0 million and (ii) the amount of additional Indebtedness incurred on the Aircraft Refinancing Date pursuant to clause (7) of the second paragraph of the covenant captioned "—Incurrence of Indebtedness and Issuance of Preferred Equity," the proceeds of which are used solely to repay Replacement Aircraft Indebtedness.</w:t>
      </w:r>
    </w:p>
    <w:p>
      <w:pPr>
        <w:spacing w:after="0" w:line="19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 Trustee</w:t>
      </w:r>
      <w:r>
        <w:rPr>
          <w:rFonts w:ascii="Arial" w:cs="Arial" w:eastAsia="Arial" w:hAnsi="Arial"/>
          <w:sz w:val="16"/>
          <w:szCs w:val="16"/>
          <w:color w:val="auto"/>
        </w:rPr>
        <w:t>" means Well Fargo Bank Northwest, National Association, not in its individual capacity, but solely as trustee under a trust agreement in favor of World Travel, LLC, and any successor or replacement trustee, including any trust holding ownership of the Replacement Aircraft.</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gaming and/or hotel projects of Wynn Resorts and its Subsidiaries which are operating or for which the financing for the development, construction and opening thereof has been obtained. However, amounts allocated to any Project shall be prorated based on the period within such period that such Project was in operation or financing therefor was obtained. For purposes of this definition, the Project and the Macau Project shall each count as separate projects. In addition, any such amounts that are applied in connection with the Phase II Land or the Golf Course Land shall be applied in accordance with the covenants captioned "—Limitation on Development of Phase II Land" and "—Limitation on Development of Golf Course Land," respectively.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in the aggregate, the greater of:</w:t>
      </w:r>
    </w:p>
    <w:p>
      <w:pPr>
        <w:spacing w:after="0" w:line="208" w:lineRule="exact"/>
        <w:rPr>
          <w:sz w:val="20"/>
          <w:szCs w:val="20"/>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$21.5 million,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0" w:hanging="532"/>
        <w:spacing w:after="0" w:line="306" w:lineRule="auto"/>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the Consolidated Leverage Ratio of the Issuers and their Restricted Subsidiaries for the period of four full consecutive fiscal quarters of Wynn Las Vegas ending immediately prior to the commencement of such 12-month period is 3.5 to 1.0 or less, 1.29% of Net Revenues of Wynn Las Vegas and its Restricted Subsidiaries for such period of four full consecutive fiscal quarters.</w:t>
      </w:r>
    </w:p>
    <w:p>
      <w:pPr>
        <w:spacing w:after="0" w:line="16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Second Amended and Restated Art Rental and Licensing Agreement, dated September 18, 2002, by and between Stephen A. Wynn and Wynn Resorts Holdings, as amended, modified or otherwise supplemented from time to time in accordance with the covenant captioned "—Certain Covenants—Amendments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issuance of Equity Interests by either Issuer, any Restricted Entity or any of their respective Restricted Subsidiaries or the sale of Equity Interests in either Issuer, any Restricted Entity or any of their respective Subsidiaries.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Notwithstanding the above, the sale, conveyance or other disposition of all or substantially all of the assets of Wynn Las Vegas, the Restricted Entities and their respective Restricted Subsidiaries,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none of the following items will be deemed to be an Asset Sale (except for purposes of the definition of "Consolidated Cash Flow"):</w:t>
      </w:r>
    </w:p>
    <w:p>
      <w:pPr>
        <w:spacing w:after="0" w:line="262" w:lineRule="exact"/>
        <w:rPr>
          <w:sz w:val="20"/>
          <w:szCs w:val="20"/>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225" w:lineRule="exact"/>
        <w:rPr>
          <w:rFonts w:ascii="Arial" w:cs="Arial" w:eastAsia="Arial" w:hAnsi="Arial"/>
          <w:sz w:val="18"/>
          <w:szCs w:val="18"/>
          <w:color w:val="auto"/>
        </w:rPr>
      </w:pPr>
    </w:p>
    <w:p>
      <w:pPr>
        <w:spacing w:after="0"/>
        <w:tabs>
          <w:tab w:leader="none" w:pos="0" w:val="left"/>
        </w:tabs>
        <w:numPr>
          <w:ilvl w:val="0"/>
          <w:numId w:val="212"/>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108" w:name="page109"/>
    <w:bookmarkEnd w:id="108"/>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sale, lease, conveyance or other disposition of any assets (excluding any transfer of assets from a Person that is a Guarantor to a Person, other than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Wynn Las Vegas, that is not a Guarantor):</w:t>
      </w:r>
    </w:p>
    <w:p>
      <w:pPr>
        <w:spacing w:after="0" w:line="200" w:lineRule="exact"/>
        <w:rPr>
          <w:sz w:val="20"/>
          <w:szCs w:val="20"/>
          <w:color w:val="auto"/>
        </w:rPr>
      </w:pPr>
    </w:p>
    <w:p>
      <w:pPr>
        <w:spacing w:after="0" w:line="248" w:lineRule="exact"/>
        <w:rPr>
          <w:sz w:val="20"/>
          <w:szCs w:val="20"/>
          <w:color w:val="auto"/>
        </w:rPr>
      </w:pPr>
    </w:p>
    <w:p>
      <w:pPr>
        <w:ind w:left="1080" w:hanging="532"/>
        <w:spacing w:after="0"/>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or any related Water Rights, unless such Golf Course Land is then a Released Asset,</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Restricted Entity or any of their respective Restricted Subsidiaries to a Guarantor;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6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38"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212"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any Restricted Entity or any of their respective Restricted Subsidiaries in such exchanges does not exceed $10.0 million in the aggregate in any calendar year;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dedication of space within the Project as necessary for the development of the Project and as permitted by the Collateral Documents;</w:t>
      </w:r>
    </w:p>
    <w:p>
      <w:pPr>
        <w:spacing w:after="0" w:line="238" w:lineRule="exact"/>
        <w:rPr>
          <w:rFonts w:ascii="Arial" w:cs="Arial" w:eastAsia="Arial" w:hAnsi="Arial"/>
          <w:sz w:val="18"/>
          <w:szCs w:val="18"/>
          <w:color w:val="auto"/>
        </w:rPr>
      </w:pPr>
    </w:p>
    <w:p>
      <w:pPr>
        <w:ind w:left="540" w:right="340" w:hanging="532"/>
        <w:spacing w:after="0" w:line="259"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transfer or sale or disposition of any Released Assets or Aircraft Assets;</w:t>
      </w:r>
    </w:p>
    <w:p>
      <w:pPr>
        <w:spacing w:after="0" w:line="238"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the Restricted Entities and their respective Restricted Subsidiaries pursuant to any Affiliate Agreement, as in effect on the date of the indenture;</w:t>
      </w:r>
    </w:p>
    <w:p>
      <w:pPr>
        <w:spacing w:after="0" w:line="212" w:lineRule="exact"/>
        <w:rPr>
          <w:rFonts w:ascii="Arial" w:cs="Arial" w:eastAsia="Arial" w:hAnsi="Arial"/>
          <w:sz w:val="18"/>
          <w:szCs w:val="18"/>
          <w:color w:val="auto"/>
        </w:rPr>
      </w:pPr>
    </w:p>
    <w:p>
      <w:pPr>
        <w:ind w:left="540" w:right="80" w:hanging="532"/>
        <w:spacing w:after="0" w:line="298"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any Restricted Entity or any of their respective Restricted Subsidiaries shall be treated as if they were Net Proceeds of an Asset Sale and applied in accordance with the covenant captioned "—Asset Sales"; and</w:t>
      </w:r>
    </w:p>
    <w:p>
      <w:pPr>
        <w:spacing w:after="0" w:line="180" w:lineRule="exact"/>
        <w:rPr>
          <w:rFonts w:ascii="Arial" w:cs="Arial" w:eastAsia="Arial" w:hAnsi="Arial"/>
          <w:sz w:val="16"/>
          <w:szCs w:val="16"/>
          <w:color w:val="auto"/>
        </w:rPr>
      </w:pPr>
    </w:p>
    <w:p>
      <w:pPr>
        <w:ind w:left="540" w:right="200" w:hanging="532"/>
        <w:spacing w:after="0" w:line="306"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Government Transfers or Permitted Liens of the type described in clause (12) of the definition of Permitted Liens, so long as the net proceeds, if any, of any such disposition received by Wynn Las Vegas, any Restricted Entity or any of their respective Restricted Subsidiaries in respect thereof shall be treated as if they were Net Proceeds of an Asset Sale and applied in accordance with the covenant captioned "—Asset Sales."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79"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Budgeted Overhead Final Payment Date</w:t>
      </w:r>
      <w:r>
        <w:rPr>
          <w:rFonts w:ascii="Arial" w:cs="Arial" w:eastAsia="Arial" w:hAnsi="Arial"/>
          <w:sz w:val="16"/>
          <w:szCs w:val="16"/>
          <w:color w:val="auto"/>
        </w:rPr>
        <w:t>" means the date on which the final payments in respect of corporate or other organizational overhead expenses of Wynn Resorts and its Subsidiaries included in the Project Budget are disbursed pursuant to the Disbursement Agreement. Wynn Las Vegas shall deliver an</w:t>
      </w:r>
    </w:p>
    <w:p>
      <w:pPr>
        <w:sectPr>
          <w:pgSz w:w="11900" w:h="16979" w:orient="portrait"/>
          <w:cols w:equalWidth="0" w:num="1">
            <w:col w:w="11400"/>
          </w:cols>
          <w:pgMar w:left="240" w:top="131" w:right="259"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color w:val="auto"/>
        </w:rPr>
        <w:t>officers' certificate to the trustee, within 30 days following a written request therefor from the trustee or any note holder, confirming and setting forth such date.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Buy-Sell Agreement"</w:t>
      </w:r>
      <w:r>
        <w:rPr>
          <w:rFonts w:ascii="Arial" w:cs="Arial" w:eastAsia="Arial" w:hAnsi="Arial"/>
          <w:sz w:val="16"/>
          <w:szCs w:val="16"/>
          <w:color w:val="auto"/>
        </w:rPr>
        <w:t xml:space="preserve"> means the Buy-Sell Agreement, dated as of June 13, 2002, among Stephen A. Wynn, Kazuo Okada, Aruze USA and Aruze Corp.</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52" w:lineRule="exact"/>
        <w:rPr>
          <w:rFonts w:ascii="Arial" w:cs="Arial" w:eastAsia="Arial" w:hAnsi="Arial"/>
          <w:sz w:val="18"/>
          <w:szCs w:val="18"/>
          <w:color w:val="auto"/>
        </w:rPr>
      </w:pPr>
    </w:p>
    <w:p>
      <w:pPr>
        <w:ind w:left="540" w:right="500" w:hanging="532"/>
        <w:spacing w:after="0" w:line="259"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207"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74"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commercial paper having the highest rating obtainable from Moody's or S&amp;P and in each case maturing within six months after the date of acquisition;</w:t>
      </w:r>
    </w:p>
    <w:p>
      <w:pPr>
        <w:spacing w:after="0" w:line="261"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Cash Equivalents of the kinds described in clauses (1) through (5) of this definition;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left="540" w:right="140" w:hanging="532"/>
        <w:spacing w:after="0" w:line="256"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Wynn Las Vegas, the Restricted Entities and their respective Restricted Subsidiaries, taken as a whole, or of Wynn Las Vegas and its Restricted Subsidiaries, taken as a whole, to any "person" (as that term is used in Section 13(d)(3) of the Exchange Act), other than to the Principal or a Related Party of the Principal;</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200" w:lineRule="exact"/>
        <w:rPr>
          <w:sz w:val="20"/>
          <w:szCs w:val="20"/>
          <w:color w:val="auto"/>
        </w:rPr>
      </w:pPr>
    </w:p>
    <w:p>
      <w:pPr>
        <w:spacing w:after="0" w:line="268" w:lineRule="exact"/>
        <w:rPr>
          <w:sz w:val="20"/>
          <w:szCs w:val="20"/>
          <w:color w:val="auto"/>
        </w:rPr>
      </w:pPr>
    </w:p>
    <w:p>
      <w:pPr>
        <w:ind w:left="1080" w:right="260" w:hanging="532"/>
        <w:spacing w:after="0" w:line="268"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the outstanding voting stock of Wynn Resorts, measured by voting power rather than number of equity interests;</w:t>
      </w:r>
    </w:p>
    <w:p>
      <w:pPr>
        <w:spacing w:after="0" w:line="239" w:lineRule="exact"/>
        <w:rPr>
          <w:sz w:val="20"/>
          <w:szCs w:val="20"/>
          <w:color w:val="auto"/>
        </w:rPr>
      </w:pPr>
    </w:p>
    <w:p>
      <w:pPr>
        <w:ind w:left="1080" w:right="20" w:hanging="532"/>
        <w:spacing w:after="0" w:line="284" w:lineRule="auto"/>
        <w:tabs>
          <w:tab w:leader="none" w:pos="10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6"/>
          <w:szCs w:val="16"/>
          <w:color w:val="auto"/>
        </w:rPr>
      </w:pPr>
    </w:p>
    <w:p>
      <w:pPr>
        <w:ind w:left="1080"/>
        <w:spacing w:after="0" w:line="295" w:lineRule="auto"/>
        <w:rPr>
          <w:rFonts w:ascii="Arial" w:cs="Arial" w:eastAsia="Arial" w:hAnsi="Arial"/>
          <w:sz w:val="16"/>
          <w:szCs w:val="16"/>
          <w:color w:val="auto"/>
        </w:rPr>
      </w:pPr>
      <w:r>
        <w:rPr>
          <w:rFonts w:ascii="Arial" w:cs="Arial" w:eastAsia="Arial" w:hAnsi="Arial"/>
          <w:sz w:val="16"/>
          <w:szCs w:val="16"/>
          <w:color w:val="auto"/>
        </w:rPr>
        <w:t>(iii)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82" w:lineRule="exact"/>
        <w:rPr>
          <w:rFonts w:ascii="Arial" w:cs="Arial" w:eastAsia="Arial" w:hAnsi="Arial"/>
          <w:sz w:val="16"/>
          <w:szCs w:val="16"/>
          <w:color w:val="auto"/>
        </w:rPr>
      </w:pPr>
    </w:p>
    <w:p>
      <w:pPr>
        <w:ind w:left="1080" w:right="180" w:hanging="532"/>
        <w:spacing w:after="0" w:line="256"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20% of the outstanding Voting Stock of Wynn Resorts, measured by voting power rather than number of equity interests (excluding, for purposes of calculating the outstanding voting stock of Wynn Resorts pursuant to this clause 3(c), shares of voting stock issued in a primary issuance by Wynn Resorts in one or more bona fide public offerings of additional voting stock of Wynn Resorts (other than the IPO)); or</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10% of the outstanding voting stock of Wynn Resorts, measured by voting power rather than number of equity interests;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first day on which the Principal does not act as either the chairman of the board of directors or the chief executive officer of Wynn Resorts, other than</w:t>
      </w:r>
    </w:p>
    <w:p>
      <w:pPr>
        <w:spacing w:after="0" w:line="38" w:lineRule="exact"/>
        <w:rPr>
          <w:rFonts w:ascii="Arial" w:cs="Arial" w:eastAsia="Arial" w:hAnsi="Arial"/>
          <w:sz w:val="16"/>
          <w:szCs w:val="16"/>
          <w:color w:val="auto"/>
        </w:rPr>
      </w:pPr>
    </w:p>
    <w:p>
      <w:pPr>
        <w:ind w:left="540" w:right="120"/>
        <w:spacing w:after="0" w:line="261" w:lineRule="auto"/>
        <w:rPr>
          <w:rFonts w:ascii="Arial" w:cs="Arial" w:eastAsia="Arial" w:hAnsi="Arial"/>
          <w:sz w:val="16"/>
          <w:szCs w:val="16"/>
          <w:color w:val="auto"/>
        </w:rPr>
      </w:pPr>
      <w:r>
        <w:rPr>
          <w:rFonts w:ascii="Arial" w:cs="Arial" w:eastAsia="Arial" w:hAnsi="Arial"/>
          <w:sz w:val="18"/>
          <w:szCs w:val="18"/>
          <w:color w:val="auto"/>
        </w:rPr>
        <w:t>(1) as a result of death or disability or (2) if the board of directors of Wynn Resorts, exercising their fiduciary duties in good faith, removes or fails to re-appoint the Principal as chairman of the board of directors or chief executive officer of Wynn Resorts;</w:t>
      </w:r>
    </w:p>
    <w:p>
      <w:pPr>
        <w:spacing w:after="0" w:line="218" w:lineRule="exact"/>
        <w:rPr>
          <w:rFonts w:ascii="Arial" w:cs="Arial" w:eastAsia="Arial" w:hAnsi="Arial"/>
          <w:sz w:val="16"/>
          <w:szCs w:val="16"/>
          <w:color w:val="auto"/>
        </w:rPr>
      </w:pPr>
    </w:p>
    <w:p>
      <w:pPr>
        <w:ind w:left="540" w:hanging="532"/>
        <w:spacing w:after="0"/>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ectPr>
          <w:pgSz w:w="11900" w:h="16838" w:orient="portrait"/>
          <w:cols w:equalWidth="0" w:num="1">
            <w:col w:w="11380"/>
          </w:cols>
          <w:pgMar w:left="240" w:top="131" w:right="279" w:bottom="22" w:gutter="0" w:footer="0" w:header="0"/>
        </w:sectPr>
      </w:pPr>
    </w:p>
    <w:bookmarkStart w:id="110" w:name="page111"/>
    <w:bookmarkEnd w:id="110"/>
    <w:p>
      <w:pPr>
        <w:ind w:left="540" w:hanging="532"/>
        <w:spacing w:after="0"/>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275" w:lineRule="exact"/>
        <w:rPr>
          <w:rFonts w:ascii="Arial" w:cs="Arial" w:eastAsia="Arial" w:hAnsi="Arial"/>
          <w:sz w:val="16"/>
          <w:szCs w:val="16"/>
          <w:color w:val="auto"/>
        </w:rPr>
      </w:pPr>
    </w:p>
    <w:p>
      <w:pPr>
        <w:ind w:left="540" w:hanging="532"/>
        <w:spacing w:after="0" w:line="291" w:lineRule="auto"/>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Entity, any Restricted Subsidiary of Wynn Las Vegas or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Guarantee and Collateral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Intercreditor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Parent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Parent Security Agreement, if 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w:t>
      </w:r>
      <w:r>
        <w:rPr>
          <w:rFonts w:ascii="Arial" w:cs="Arial" w:eastAsia="Arial" w:hAnsi="Arial"/>
          <w:sz w:val="18"/>
          <w:szCs w:val="18"/>
          <w:color w:val="auto"/>
        </w:rPr>
        <w:t>" has the meaning given that term in the Disbursement Agreement. That definition includes the requirement that each of the following has occurred:</w:t>
      </w:r>
    </w:p>
    <w:p>
      <w:pPr>
        <w:spacing w:after="0" w:line="213" w:lineRule="exact"/>
        <w:rPr>
          <w:sz w:val="20"/>
          <w:szCs w:val="20"/>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Opening Date has occurred under the Disbursement Agreement;</w:t>
      </w:r>
    </w:p>
    <w:p>
      <w:pPr>
        <w:spacing w:after="0" w:line="238" w:lineRule="exact"/>
        <w:rPr>
          <w:rFonts w:ascii="Arial" w:cs="Arial" w:eastAsia="Arial" w:hAnsi="Arial"/>
          <w:sz w:val="18"/>
          <w:szCs w:val="18"/>
          <w:color w:val="auto"/>
        </w:rPr>
      </w:pPr>
    </w:p>
    <w:p>
      <w:pPr>
        <w:ind w:left="540" w:right="20" w:hanging="532"/>
        <w:spacing w:after="0" w:line="302" w:lineRule="auto"/>
        <w:tabs>
          <w:tab w:leader="none" w:pos="5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Completion Date, are being withheld from the contractors and subcontractors in accordance with the provisions of the Project documents, (B) amounts being contested in accordance with the Disbursement Agreement, the Credit Agreement and the FF&amp;E Facility and other related financing agreements so long as adequate reserves have been established through an allocation in the Project anticipated cost report in accordance with any requirements of such financing agreements and</w:t>
      </w:r>
    </w:p>
    <w:p>
      <w:pPr>
        <w:spacing w:after="0" w:line="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(C) amounts payable in respect of Project punchlist items to the extent not covered by clause (A) above);</w:t>
      </w:r>
    </w:p>
    <w:p>
      <w:pPr>
        <w:spacing w:after="0" w:line="245" w:lineRule="exact"/>
        <w:rPr>
          <w:rFonts w:ascii="Arial" w:cs="Arial" w:eastAsia="Arial" w:hAnsi="Arial"/>
          <w:sz w:val="15"/>
          <w:szCs w:val="15"/>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Project punchlist items:</w:t>
      </w:r>
    </w:p>
    <w:p>
      <w:pPr>
        <w:spacing w:after="0" w:line="200" w:lineRule="exact"/>
        <w:rPr>
          <w:sz w:val="20"/>
          <w:szCs w:val="20"/>
          <w:color w:val="auto"/>
        </w:rPr>
      </w:pPr>
    </w:p>
    <w:p>
      <w:pPr>
        <w:spacing w:after="0" w:line="255" w:lineRule="exact"/>
        <w:rPr>
          <w:sz w:val="20"/>
          <w:szCs w:val="20"/>
          <w:color w:val="auto"/>
        </w:rPr>
      </w:pPr>
    </w:p>
    <w:p>
      <w:pPr>
        <w:ind w:left="1080" w:hanging="532"/>
        <w:spacing w:after="0" w:line="259"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list of any remaining Project punchlist items shall have been delivered to the Construction Consultant and the Disbursement Agent by the Issuers and Wynn Design and approved by the Construction Consultant as a reasonable final punchlist (such approval not to be unreasonably withheld); and</w:t>
      </w:r>
    </w:p>
    <w:p>
      <w:pPr>
        <w:sectPr>
          <w:pgSz w:w="11900" w:h="16838" w:orient="portrait"/>
          <w:cols w:equalWidth="0" w:num="1">
            <w:col w:w="11400"/>
          </w:cols>
          <w:pgMar w:left="240" w:top="145" w:right="259" w:bottom="0" w:gutter="0" w:footer="0" w:header="0"/>
        </w:sectPr>
      </w:pPr>
    </w:p>
    <w:bookmarkStart w:id="111" w:name="page112"/>
    <w:bookmarkEnd w:id="111"/>
    <w:p>
      <w:pPr>
        <w:ind w:left="1080" w:right="260" w:hanging="532"/>
        <w:spacing w:after="0" w:line="259"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written agreement with all contractors performing work with respect to Project punchlist items shall have been entered into by the Issuers and Wynn Design and such contractors detailing the cost of remaining Project punchlist items and shall have been delivered to the Construction Consultant and the Disbursement Agent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Issuers and Wynn Design and approved by the Construction Consultant and the Disbursement Agent;</w:t>
      </w:r>
    </w:p>
    <w:p>
      <w:pPr>
        <w:spacing w:after="0" w:line="252" w:lineRule="exact"/>
        <w:rPr>
          <w:sz w:val="20"/>
          <w:szCs w:val="20"/>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the FF&amp;E Financing: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302" w:lineRule="auto"/>
        <w:tabs>
          <w:tab w:leader="none" w:pos="108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the Issuers and Wynn Design shall have, at their own cost and expense, caused to be completed and delivered to the agent under the FF&amp;E Facility an appraisal demonstrating the fair market value of the FF&amp;E acquired under the FF&amp;E Facility (excluding the aircraft). If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exceeds</w:t>
      </w:r>
    </w:p>
    <w:p>
      <w:pPr>
        <w:spacing w:after="0" w:line="2" w:lineRule="exact"/>
        <w:rPr>
          <w:rFonts w:ascii="Arial" w:cs="Arial" w:eastAsia="Arial" w:hAnsi="Arial"/>
          <w:sz w:val="15"/>
          <w:szCs w:val="15"/>
          <w:color w:val="auto"/>
        </w:rPr>
      </w:pPr>
    </w:p>
    <w:p>
      <w:pPr>
        <w:ind w:left="1080" w:right="20"/>
        <w:spacing w:after="0" w:line="285" w:lineRule="auto"/>
        <w:rPr>
          <w:rFonts w:ascii="Arial" w:cs="Arial" w:eastAsia="Arial" w:hAnsi="Arial"/>
          <w:sz w:val="15"/>
          <w:szCs w:val="15"/>
          <w:color w:val="auto"/>
        </w:rPr>
      </w:pPr>
      <w:r>
        <w:rPr>
          <w:rFonts w:ascii="Arial" w:cs="Arial" w:eastAsia="Arial" w:hAnsi="Arial"/>
          <w:sz w:val="16"/>
          <w:szCs w:val="16"/>
          <w:color w:val="auto"/>
        </w:rPr>
        <w:t>75% of the aggregate fair market value of such FF&amp;E as reflected in such appraisal (excluding the aircraft), the Issuers and Wynn Design shall promptly cause, with the consent of the agent under the FF&amp;E Facility, first (A) additional items of eligible FF&amp;E equipment of a particular type or class selected by the Issuers and Wynn Design (and otherwise acceptable to the agent under the FF&amp;E Facility) to become part of the FF&amp;E acquired under the FF&amp;E Facility and subject to the first priority security interest of the FF&amp;E Facility security documents while the agent under the FF&amp;E Facility simultaneously releases another particular type or class of items of eligible FF&amp;E equipment currently part of the FF&amp;E acquired under the FF&amp;E Facility and subject to the FF&amp;E Facility security documents and selected by the agent under the FF&amp;E Facility, in order that, in either case,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does not exceed 75% of the fair market value of the FF&amp;E acquired under the FF&amp;E Facility (excluding the aircraft), and second (B) additional items of eligible FF&amp;E equipment of any type or class selected by the Issuers and Wynn Design (and otherwise acceptable to the agent under the FF&amp;E Facility) to become part of the FF&amp;E acquired under the FF&amp;E Facility and subject to the first priority security interest of the FF&amp;E Facility security documents; and</w:t>
      </w:r>
    </w:p>
    <w:p>
      <w:pPr>
        <w:spacing w:after="0" w:line="194" w:lineRule="exact"/>
        <w:rPr>
          <w:rFonts w:ascii="Arial" w:cs="Arial" w:eastAsia="Arial" w:hAnsi="Arial"/>
          <w:sz w:val="15"/>
          <w:szCs w:val="15"/>
          <w:color w:val="auto"/>
        </w:rPr>
      </w:pPr>
    </w:p>
    <w:p>
      <w:pPr>
        <w:ind w:left="1080" w:right="120" w:hanging="532"/>
        <w:spacing w:after="0" w:line="268" w:lineRule="auto"/>
        <w:tabs>
          <w:tab w:leader="none" w:pos="10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final exhibit listing the fixtures, furniture and equipment that constitutes the FF&amp;E component shall have been delivered by the Company to the Construction Consultant and the Disbursement Agent;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40" w:right="72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Completion Date;</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and a written analysis of the business and prospects of Wynn Las Vegas, the Restricted Entities and their respective Restricted Subsidiaries, in each case for the period from the Completion Date through the end of the calendar year in which the Completion Date occurs, all in form and substance satisfactory to the lenders under the Credit Agreement and the FF&amp;E Facility;</w:t>
      </w:r>
    </w:p>
    <w:p>
      <w:pPr>
        <w:spacing w:after="0" w:line="210" w:lineRule="exact"/>
        <w:rPr>
          <w:rFonts w:ascii="Arial" w:cs="Arial" w:eastAsia="Arial" w:hAnsi="Arial"/>
          <w:sz w:val="18"/>
          <w:szCs w:val="18"/>
          <w:color w:val="auto"/>
        </w:rPr>
      </w:pPr>
    </w:p>
    <w:p>
      <w:pPr>
        <w:ind w:left="540" w:right="320" w:hanging="532"/>
        <w:spacing w:after="0" w:line="306" w:lineRule="auto"/>
        <w:tabs>
          <w:tab w:leader="none" w:pos="5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General Contractor, the contractor under the Golf Course Construction Contract and the parking structure contractor each shall have delivered its completion certificate certifying, among other things, as to "substantial completion" of the work under its construction contract and such certifications shall have been accepted by the Issuers and Wynn Design in accordance with the Disbursement Agreement; and</w:t>
      </w:r>
    </w:p>
    <w:p>
      <w:pPr>
        <w:spacing w:after="0" w:line="187"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each contract and subcontract for which a Payment and Performance Bond is required under the Disbursement Agreement and for which the Issuers and Wynn Design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applicable contractor) will release retainage as a result of Completion being achieved, the Issuers and Wynn Design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xml:space="preserve"> means the date on which Completion occurs.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w:t>
      </w:r>
      <w:r>
        <w:rPr>
          <w:rFonts w:ascii="Arial" w:cs="Arial" w:eastAsia="Arial" w:hAnsi="Arial"/>
          <w:sz w:val="16"/>
          <w:szCs w:val="16"/>
          <w:color w:val="auto"/>
        </w:rPr>
        <w:t>" means the Completion Guarantee, dated as of the date of indenture, by the Completion Guarantor in favor of the trustee.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"Completion Guarantee Release Date" </w:t>
      </w:r>
      <w:r>
        <w:rPr>
          <w:rFonts w:ascii="Arial" w:cs="Arial" w:eastAsia="Arial" w:hAnsi="Arial"/>
          <w:sz w:val="18"/>
          <w:szCs w:val="18"/>
          <w:color w:val="auto"/>
        </w:rPr>
        <w:t>means the date on which the Completion Guarantee Release Conditions are satisfied.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"Completion Guarantee Release Conditions" </w:t>
      </w:r>
      <w:r>
        <w:rPr>
          <w:rFonts w:ascii="Arial" w:cs="Arial" w:eastAsia="Arial" w:hAnsi="Arial"/>
          <w:sz w:val="16"/>
          <w:szCs w:val="16"/>
          <w:color w:val="auto"/>
        </w:rPr>
        <w:t>has the meaning given the term "Completion Guaranty Release Conditions" in the Disbursement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 definition includes the requirements that:</w:t>
      </w:r>
    </w:p>
    <w:p>
      <w:pPr>
        <w:spacing w:after="0" w:line="232"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38"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66"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ectPr>
          <w:pgSz w:w="11900" w:h="16838" w:orient="portrait"/>
          <w:cols w:equalWidth="0" w:num="1">
            <w:col w:w="11420"/>
          </w:cols>
          <w:pgMar w:left="240" w:top="145" w:right="239" w:bottom="0" w:gutter="0" w:footer="0" w:header="0"/>
        </w:sectPr>
      </w:pPr>
    </w:p>
    <w:bookmarkStart w:id="112" w:name="page113"/>
    <w:bookmarkEnd w:id="112"/>
    <w:p>
      <w:pPr>
        <w:spacing w:after="0" w:line="44" w:lineRule="exact"/>
        <w:rPr>
          <w:sz w:val="20"/>
          <w:szCs w:val="20"/>
          <w:color w:val="auto"/>
        </w:rPr>
      </w:pPr>
    </w:p>
    <w:p>
      <w:pPr>
        <w:ind w:left="540" w:right="220" w:hanging="532"/>
        <w:spacing w:after="0" w:line="268"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Disbursement Agent, the trustee and the agents for the lenders under the Credit Agreement and the FF&amp;E Facility their completion guarantee release date certificate certifying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Project punchlist items have been completed other than punchlist items with an aggregate value (as reasonably determined by the Construction Consultant) of not more than $17.5 million so long as 150% of the Project punchlist completion amount for such uncompleted punchlist items shall have been reserved in a segregated account which is subject to a perfected first priority security interest in favor of the Disbursement Agent on behalf of the Project secured parties, and</w:t>
      </w:r>
    </w:p>
    <w:p>
      <w:pPr>
        <w:spacing w:after="0" w:line="210" w:lineRule="exact"/>
        <w:rPr>
          <w:rFonts w:ascii="Arial" w:cs="Arial" w:eastAsia="Arial" w:hAnsi="Arial"/>
          <w:sz w:val="18"/>
          <w:szCs w:val="18"/>
          <w:color w:val="auto"/>
        </w:rPr>
      </w:pPr>
    </w:p>
    <w:p>
      <w:pPr>
        <w:ind w:left="1080" w:right="200" w:hanging="532"/>
        <w:spacing w:after="0" w:line="294" w:lineRule="auto"/>
        <w:tabs>
          <w:tab w:leader="none" w:pos="10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 other than with respect to disputed claims (including claims subject to audit before payment) not exceeding $15.0 million in the aggregate so long as an amount equal to such disputed amounts shall have been reserved in a segregated account which is subject to a perfected first priority security interest in favor of the Disbursement Agent on behalf of the Project secured parties,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Construction Consultant shall have delivered its completion guarantee release date certificate, and</w:t>
      </w:r>
    </w:p>
    <w:p>
      <w:pPr>
        <w:spacing w:after="0" w:line="252" w:lineRule="exact"/>
        <w:rPr>
          <w:rFonts w:ascii="Arial" w:cs="Arial" w:eastAsia="Arial" w:hAnsi="Arial"/>
          <w:sz w:val="18"/>
          <w:szCs w:val="18"/>
          <w:color w:val="auto"/>
        </w:rPr>
      </w:pPr>
    </w:p>
    <w:p>
      <w:pPr>
        <w:ind w:left="540" w:right="780" w:hanging="532"/>
        <w:spacing w:after="0" w:line="332"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Issuers and Wynn Design shall have delivered from the surety under each Payment and Performance Bond required under the Disbursement Agreement a "Consent of Surety to Final Payment" (AIA form G707) other than with respect to contracts and subcontracts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which the Issuers and Wynn Design are disputing amounts in accordance with clause (4)(b) of this definition.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Cash Flow</w:t>
      </w:r>
      <w:r>
        <w:rPr>
          <w:rFonts w:ascii="Arial" w:cs="Arial" w:eastAsia="Arial" w:hAnsi="Arial"/>
          <w:sz w:val="16"/>
          <w:szCs w:val="16"/>
          <w:color w:val="auto"/>
        </w:rPr>
        <w:t xml:space="preserve">" means, with respect to any specified Person for any period, the Consolidated Net Income of such Person for such period </w:t>
      </w:r>
      <w:r>
        <w:rPr>
          <w:rFonts w:ascii="Arial" w:cs="Arial" w:eastAsia="Arial" w:hAnsi="Arial"/>
          <w:sz w:val="16"/>
          <w:szCs w:val="16"/>
          <w:i w:val="1"/>
          <w:iCs w:val="1"/>
          <w:color w:val="auto"/>
        </w:rPr>
        <w:t>plus</w:t>
      </w:r>
      <w:r>
        <w:rPr>
          <w:rFonts w:ascii="Arial" w:cs="Arial" w:eastAsia="Arial" w:hAnsi="Arial"/>
          <w:sz w:val="16"/>
          <w:szCs w:val="16"/>
          <w:color w:val="auto"/>
        </w:rPr>
        <w:t>:</w:t>
      </w:r>
    </w:p>
    <w:p>
      <w:pPr>
        <w:spacing w:after="0" w:line="262" w:lineRule="exact"/>
        <w:rPr>
          <w:sz w:val="20"/>
          <w:szCs w:val="20"/>
          <w:color w:val="auto"/>
        </w:rPr>
      </w:pPr>
    </w:p>
    <w:p>
      <w:pPr>
        <w:ind w:left="540" w:right="80" w:hanging="532"/>
        <w:spacing w:after="0" w:line="268"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540" w:right="160" w:hanging="532"/>
        <w:spacing w:after="0" w:line="254"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any pre-opening expenses, to the extent such pre-opening expenses were deducted in calculating Consolidated Net Income on a consolidated basis; </w:t>
      </w:r>
      <w:r>
        <w:rPr>
          <w:rFonts w:ascii="Arial" w:cs="Arial" w:eastAsia="Arial" w:hAnsi="Arial"/>
          <w:sz w:val="16"/>
          <w:szCs w:val="16"/>
          <w:i w:val="1"/>
          <w:iCs w:val="1"/>
          <w:color w:val="auto"/>
        </w:rPr>
        <w:t>plus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of any Person for any period,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firstLine="8"/>
        <w:spacing w:after="0" w:line="335" w:lineRule="auto"/>
        <w:tabs>
          <w:tab w:leader="none" w:pos="249" w:val="left"/>
        </w:tabs>
        <w:numPr>
          <w:ilvl w:val="0"/>
          <w:numId w:val="230"/>
        </w:numPr>
        <w:rPr>
          <w:rFonts w:ascii="Arial" w:cs="Arial" w:eastAsia="Arial" w:hAnsi="Arial"/>
          <w:sz w:val="15"/>
          <w:szCs w:val="15"/>
          <w:color w:val="auto"/>
        </w:rPr>
      </w:pPr>
      <w:r>
        <w:rPr>
          <w:rFonts w:ascii="Arial" w:cs="Arial" w:eastAsia="Arial" w:hAnsi="Arial"/>
          <w:sz w:val="15"/>
          <w:szCs w:val="15"/>
          <w:color w:val="auto"/>
        </w:rPr>
        <w:t>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w:t>
      </w:r>
    </w:p>
    <w:p>
      <w:pPr>
        <w:sectPr>
          <w:pgSz w:w="11900" w:h="16882" w:orient="portrait"/>
          <w:cols w:equalWidth="0" w:num="1">
            <w:col w:w="11420"/>
          </w:cols>
          <w:pgMar w:left="240" w:top="145" w:right="239" w:bottom="0" w:gutter="0" w:footer="0" w:header="0"/>
        </w:sectPr>
      </w:pPr>
    </w:p>
    <w:bookmarkStart w:id="113" w:name="page114"/>
    <w:bookmarkEnd w:id="113"/>
    <w:p>
      <w:pPr>
        <w:ind w:right="80"/>
        <w:spacing w:after="0" w:line="290" w:lineRule="auto"/>
        <w:rPr>
          <w:sz w:val="20"/>
          <w:szCs w:val="20"/>
          <w:color w:val="auto"/>
        </w:rPr>
      </w:pPr>
      <w:r>
        <w:rPr>
          <w:rFonts w:ascii="Arial" w:cs="Arial" w:eastAsia="Arial" w:hAnsi="Arial"/>
          <w:sz w:val="16"/>
          <w:szCs w:val="16"/>
          <w:color w:val="auto"/>
        </w:rPr>
        <w:t>expenses or losses (and, whether or not otherwise includable as separate items in the statement of such consolidated net income for such period, non-cash losses on sales of assets outside of the ordinary course of business and pre-opening expenses related to the initial opening of the Project (such pre-opening expenses to be no greater than that set forth in the Project Budget) and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Member</w:t>
      </w:r>
      <w:r>
        <w:rPr>
          <w:rFonts w:ascii="Arial" w:cs="Arial" w:eastAsia="Arial" w:hAnsi="Arial"/>
          <w:sz w:val="16"/>
          <w:szCs w:val="16"/>
          <w:color w:val="auto"/>
        </w:rPr>
        <w:t>" means a corporation, other than the common parent, that is a member of an affiliated group (as defined in Section 1504 of the Code) of which Wynn Resorts, any Restricted Entity or any Restricted Subsidiary of Wynn Las Vegas or any Restricted Entity is the common parent.</w:t>
      </w:r>
    </w:p>
    <w:p>
      <w:pPr>
        <w:spacing w:after="0" w:line="139"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Income</w:t>
      </w:r>
      <w:r>
        <w:rPr>
          <w:rFonts w:ascii="Arial" w:cs="Arial" w:eastAsia="Arial" w:hAnsi="Arial"/>
          <w:sz w:val="15"/>
          <w:szCs w:val="15"/>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30" w:lineRule="exact"/>
        <w:rPr>
          <w:sz w:val="20"/>
          <w:szCs w:val="20"/>
          <w:color w:val="auto"/>
        </w:rPr>
      </w:pPr>
    </w:p>
    <w:p>
      <w:pPr>
        <w:ind w:left="540" w:right="220" w:hanging="532"/>
        <w:spacing w:after="0" w:line="332"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166" w:lineRule="exact"/>
        <w:rPr>
          <w:rFonts w:ascii="Arial" w:cs="Arial" w:eastAsia="Arial" w:hAnsi="Arial"/>
          <w:sz w:val="16"/>
          <w:szCs w:val="16"/>
          <w:color w:val="auto"/>
        </w:rPr>
      </w:pPr>
    </w:p>
    <w:p>
      <w:pPr>
        <w:ind w:left="540" w:right="300" w:hanging="532"/>
        <w:spacing w:after="0" w:line="298"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will be excluded;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Net Income of any Unrestricted Subsidiary will be excluded, whether or not distributed to the specified Person or one of its Subsidiaries; and</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239" w:lineRule="exact"/>
        <w:rPr>
          <w:sz w:val="20"/>
          <w:szCs w:val="20"/>
          <w:color w:val="auto"/>
        </w:rPr>
      </w:pPr>
    </w:p>
    <w:p>
      <w:pPr>
        <w:ind w:left="540" w:hanging="532"/>
        <w:spacing w:after="0"/>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Restricted Subsidiaries as of such date; plus</w:t>
      </w:r>
    </w:p>
    <w:p>
      <w:pPr>
        <w:spacing w:after="0" w:line="238" w:lineRule="exact"/>
        <w:rPr>
          <w:rFonts w:ascii="Arial" w:cs="Arial" w:eastAsia="Arial" w:hAnsi="Arial"/>
          <w:sz w:val="18"/>
          <w:szCs w:val="18"/>
          <w:color w:val="auto"/>
        </w:rPr>
      </w:pPr>
    </w:p>
    <w:p>
      <w:pPr>
        <w:ind w:left="540" w:right="180" w:hanging="532"/>
        <w:spacing w:after="0" w:line="306" w:lineRule="auto"/>
        <w:tabs>
          <w:tab w:leader="none" w:pos="5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275" w:lineRule="exact"/>
        <w:rPr>
          <w:sz w:val="20"/>
          <w:szCs w:val="20"/>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the case of a limited liability company, was nominated by the direct or indirect board of directors of its managing member or sole member.</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Deutsche Bank AG., New York Branch, as arranger and joint documentation agent, and J.P. Morgan Securities Inc., as joint documentation agent, including any related notes, guarantees, collateral documents, instruments and agreements executed in connection therewith, and in each case (1) as amended, supplemented, amended and restated or</w:t>
      </w:r>
    </w:p>
    <w:p>
      <w:pPr>
        <w:sectPr>
          <w:pgSz w:w="11900" w:h="16838" w:orient="portrait"/>
          <w:cols w:equalWidth="0" w:num="1">
            <w:col w:w="11400"/>
          </w:cols>
          <w:pgMar w:left="240" w:top="13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1400"/>
          </w:cols>
          <w:pgMar w:left="240" w:top="131" w:right="259" w:bottom="0" w:gutter="0" w:footer="0" w:header="0"/>
          <w:type w:val="continuous"/>
        </w:sectPr>
      </w:pPr>
    </w:p>
    <w:bookmarkStart w:id="114" w:name="page115"/>
    <w:bookmarkEnd w:id="114"/>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otherwise modified from time to time, or (2) as renewed, refunded, replaced or refinanced from time to time, whether with the same or different lenders or holders.</w:t>
      </w:r>
    </w:p>
    <w:p>
      <w:pPr>
        <w:spacing w:after="0" w:line="186"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Dealership Lease Agreement</w:t>
      </w:r>
      <w:r>
        <w:rPr>
          <w:rFonts w:ascii="Arial" w:cs="Arial" w:eastAsia="Arial" w:hAnsi="Arial"/>
          <w:sz w:val="15"/>
          <w:szCs w:val="15"/>
          <w:color w:val="auto"/>
        </w:rPr>
        <w:t>" means the Dealership Lease Agreement, dated as of the date of the indenture, between Wynn Las Vegas, as lessor, and Kevyn, LLC, as lessee, with respect to the lease of space at the Project for the development and operation of a Ferrari and Maserati automobile dealership, as amended, modified or otherwise supplemented from time to time in accordance with the covenant captioned "—Amendments to Certain Agreements."</w:t>
      </w:r>
    </w:p>
    <w:p>
      <w:pPr>
        <w:spacing w:after="0" w:line="14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in accordance with the provisions of the indenture and the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 Co.</w:t>
      </w:r>
      <w:r>
        <w:rPr>
          <w:rFonts w:ascii="Arial" w:cs="Arial" w:eastAsia="Arial" w:hAnsi="Arial"/>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 Company</w:t>
      </w:r>
      <w:r>
        <w:rPr>
          <w:rFonts w:ascii="Arial" w:cs="Arial" w:eastAsia="Arial" w:hAnsi="Arial"/>
          <w:sz w:val="18"/>
          <w:szCs w:val="18"/>
          <w:color w:val="auto"/>
        </w:rPr>
        <w:t>" means Desert Inn Water Company, LLC, a Nevada limited liability company.</w:t>
      </w:r>
    </w:p>
    <w:p>
      <w:pPr>
        <w:spacing w:after="0" w:line="225"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accordance with the covenant captioned "—Amendments to Certain Agreements."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Casino Water Permit</w:t>
      </w:r>
      <w:r>
        <w:rPr>
          <w:rFonts w:ascii="Arial" w:cs="Arial" w:eastAsia="Arial" w:hAnsi="Arial"/>
          <w:sz w:val="18"/>
          <w:szCs w:val="18"/>
          <w:color w:val="auto"/>
        </w:rPr>
        <w:t>" means the permit identified as of the date of the indenture as Permit No. 13393 (Cert. 4731) as shown in the records of the State of Nevada, Division of Water Resources, in Carson City, Nevada (and any successor or replacement permit thereto).</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Permits</w:t>
      </w:r>
      <w:r>
        <w:rPr>
          <w:rFonts w:ascii="Arial" w:cs="Arial" w:eastAsia="Arial" w:hAnsi="Arial"/>
          <w:sz w:val="18"/>
          <w:szCs w:val="18"/>
          <w:color w:val="auto"/>
        </w:rPr>
        <w:t>" means, collectively, the permits identified as of the date of the indenture as Permit No. 13393 (Cert. 4731), Permit No. 16938 (Cert. 4765), Permit No. 16939 (Cert. 4766), Permit No. 24558 (Cert. 7828), Permit No. 24560 (Cert. 7827), Permit No. 24561 (Cert. 7829), and Permit No. 25223 (Cert. 7830), in each case as shown in the records of the State of Nevada, Division of Water Resources, in Carson City, Nevada (and any successor or replacement thereto).</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Transfer</w:t>
      </w:r>
      <w:r>
        <w:rPr>
          <w:rFonts w:ascii="Arial" w:cs="Arial" w:eastAsia="Arial" w:hAnsi="Arial"/>
          <w:sz w:val="18"/>
          <w:szCs w:val="18"/>
          <w:color w:val="auto"/>
        </w:rPr>
        <w:t>" means a transfer by Desert Inn Improvement Co. at no cost and in accordance with all requirements of law and pursuant to all necessary consents of Governmental Authorities (including, if applicable, the Nevada PUC and the State of Nevada, Division of Water Resources) of (1) the fee ownership of the Water Utility Land to Wynn Resorts Holdings and (2) the DIIC Water Permits to (a) in the case of the DIIC Casino Water Permit, Wynn Las Vegas and (b) in the case of all other DIIC Water Permits, Wynn Resorts Holdings.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Disbursement Agreement</w:t>
      </w:r>
      <w:r>
        <w:rPr>
          <w:rFonts w:ascii="Arial" w:cs="Arial" w:eastAsia="Arial" w:hAnsi="Arial"/>
          <w:sz w:val="16"/>
          <w:szCs w:val="16"/>
          <w:color w:val="auto"/>
        </w:rPr>
        <w:t>" means the Master Disbursement Agreement, dated as of the date of the indenture, among Wynn Las Vegas, Wynn Capital, Wynn Design, the trustee, a representative of the lenders under the Credit Agreement, a representative of the lenders under the FF&amp;E Facility and the Disbursement Agent in connection with the Project, as amended, modified or otherwise supplemented from time to time in accordance with its terms.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Wynn Las Vegas, any Restricted Entity or any of their respective Restricted Subsidiaries to repurchase such capital stock upon the occurrence of a change of control or an asset sale shall not constitute Disqualified Stock if the terms of such capital stock provide that Wynn Las Vegas, such Restricted Entity or such Restricted Subsidiary may not repurchase or redeem any such capital stock pursuant to such provisions unless such repurchase or redemption complies with the covenant described above under the caption "—Certain Covenants—Restricted Payments."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Driving Range Lease</w:t>
      </w:r>
      <w:r>
        <w:rPr>
          <w:rFonts w:ascii="Arial" w:cs="Arial" w:eastAsia="Arial" w:hAnsi="Arial"/>
          <w:sz w:val="18"/>
          <w:szCs w:val="18"/>
          <w:color w:val="auto"/>
        </w:rPr>
        <w:t>" means the lease, dated as of the date of the indenture between Valvino Lamore, as lessor, and Wynn Las Vegas, as lessee, with respect to the lease of land on which the driving range for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Le Rêve hotel on the Project and connected directly to such hotel.</w:t>
      </w:r>
    </w:p>
    <w:p>
      <w:pPr>
        <w:spacing w:after="0" w:line="24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99" w:lineRule="exact"/>
        <w:rPr>
          <w:sz w:val="20"/>
          <w:szCs w:val="20"/>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252"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ectPr>
          <w:pgSz w:w="11900" w:h="16838" w:orient="portrait"/>
          <w:cols w:equalWidth="0" w:num="1">
            <w:col w:w="11400"/>
          </w:cols>
          <w:pgMar w:left="240" w:top="725" w:right="259" w:bottom="0" w:gutter="0" w:footer="0" w:header="0"/>
        </w:sectPr>
      </w:pPr>
    </w:p>
    <w:bookmarkStart w:id="115" w:name="page116"/>
    <w:bookmarkEnd w:id="115"/>
    <w:p>
      <w:pPr>
        <w:spacing w:after="0" w:line="2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other than Equity Interests in Valvino Lamore or any other Restricted Entity and (2) the Released Assets.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net proceeds of the offering of the notes, which are required, under the Disbursement Agreement, to be deposited into the Secured Account.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Aircraft</w:t>
      </w:r>
      <w:r>
        <w:rPr>
          <w:rFonts w:ascii="Arial" w:cs="Arial" w:eastAsia="Arial" w:hAnsi="Arial"/>
          <w:sz w:val="18"/>
          <w:szCs w:val="18"/>
          <w:color w:val="auto"/>
        </w:rPr>
        <w:t>" means the Bombardier Global Express aircraft (manufacturer's serial number 9065 and United States Registration No. N711SW (formerly N789TP)) owned by a trust of which World Travel, LLC is the beneficial interest holder.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Stockholders</w:t>
      </w:r>
      <w:r>
        <w:rPr>
          <w:rFonts w:ascii="Arial" w:cs="Arial" w:eastAsia="Arial" w:hAnsi="Arial"/>
          <w:sz w:val="16"/>
          <w:szCs w:val="16"/>
          <w:color w:val="auto"/>
        </w:rPr>
        <w:t>" means Stephen A. Wynn, Aruze, USA, Inc., Baron Asset Fund and the Kenneth R. Wynn Family Trust dated February 20, 1985.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w:t>
      </w:r>
      <w:r>
        <w:rPr>
          <w:rFonts w:ascii="Arial" w:cs="Arial" w:eastAsia="Arial" w:hAnsi="Arial"/>
          <w:sz w:val="16"/>
          <w:szCs w:val="16"/>
          <w:color w:val="auto"/>
        </w:rPr>
        <w:t>" means furniture, fixtures or equipment used in the ordinary course of the business of Wynn Las Vegas and its Restricted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Collateral</w:t>
      </w:r>
      <w:r>
        <w:rPr>
          <w:rFonts w:ascii="Arial" w:cs="Arial" w:eastAsia="Arial" w:hAnsi="Arial"/>
          <w:sz w:val="18"/>
          <w:szCs w:val="18"/>
          <w:color w:val="auto"/>
        </w:rPr>
        <w:t xml:space="preserve">" means all assets, now owned or hereafter acquired, of either Issuer, any Guarantor or any other Person, to the extent such assets are pledged or assigned or purport to be pledged or assigned, or are required to be pledged or assigned, on a first lien priority basis, under the FF&amp;E Facility or the related collateral documents to the lenders under the FF&amp;E Facility, or a representative on their behalf, as security for the obligations under the FF&amp;E Facility, together with the proceeds and products thereof,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Aircraft Assets.</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Financing</w:t>
      </w:r>
      <w:r>
        <w:rPr>
          <w:rFonts w:ascii="Arial" w:cs="Arial" w:eastAsia="Arial" w:hAnsi="Arial"/>
          <w:sz w:val="16"/>
          <w:szCs w:val="16"/>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means the Credit Agreement, dated as of the date of the indenture, among Wynn Las Vegas, the collateral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given that term in the Disbursement Agreement. That definition includes the requirement that:</w:t>
      </w:r>
    </w:p>
    <w:p>
      <w:pPr>
        <w:spacing w:after="0" w:line="239" w:lineRule="exact"/>
        <w:rPr>
          <w:sz w:val="20"/>
          <w:szCs w:val="20"/>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52"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Project shall have received a permanent certificate of occupancy from the Clark County building department (and copies of such certificates shall have been delivered to the Disbursement Agent, the agent for the lenders under the Credit Agreement, the trustee and the Construction Consultant),</w:t>
      </w:r>
    </w:p>
    <w:p>
      <w:pPr>
        <w:spacing w:after="0" w:line="152" w:lineRule="exact"/>
        <w:rPr>
          <w:rFonts w:ascii="Arial" w:cs="Arial" w:eastAsia="Arial" w:hAnsi="Arial"/>
          <w:sz w:val="16"/>
          <w:szCs w:val="16"/>
          <w:color w:val="auto"/>
        </w:rPr>
      </w:pPr>
    </w:p>
    <w:p>
      <w:pPr>
        <w:ind w:left="540" w:right="34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52"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pacing w:after="0" w:line="212"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Issuers and Wynn Design shall have delivered to the Disbursement Agent, the trustee and the agents for the lenders under the Credit Agreement and the FF&amp;E Facility its Final Completion certificate certifying that (a) all Project punchlist items have been completed, and (b) 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w:t>
      </w:r>
    </w:p>
    <w:p>
      <w:pPr>
        <w:spacing w:after="0" w:line="180"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Construction Consultant, the Project architect and the General Contractor each shall have delivered its Final Completion certificate and the Issuers, Wynn Design and the Construction Consultant shall have accepted the General Contractor's Final Completion certificate in accordance with the Disbursement Agreement,</w:t>
      </w:r>
    </w:p>
    <w:p>
      <w:pPr>
        <w:spacing w:after="0" w:line="207"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trustee, the agents for the lenders under the Credit Agreement and the FF&amp;E Facility and the Construction Consultant an "as built survey" of the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54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Issuers and Wynn Design shall have delivered from the surety under each Payment and Performance Bond, as required under the Disbursement Agreement, a "Consent of Surety to Final Payment" (AIA form G707).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 such issuance, repurchase or redemption of preferred equity, and the use of the proceeds therefrom as if the same had occurred at the beginning of the applicable four-quarter reference period.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66" w:orient="portrait"/>
          <w:cols w:equalWidth="0" w:num="1">
            <w:col w:w="11420"/>
          </w:cols>
          <w:pgMar w:left="240" w:top="131" w:right="239" w:bottom="0" w:gutter="0" w:footer="0" w:header="0"/>
        </w:sectPr>
      </w:pPr>
    </w:p>
    <w:bookmarkStart w:id="116" w:name="page117"/>
    <w:bookmarkEnd w:id="116"/>
    <w:p>
      <w:pPr>
        <w:spacing w:after="0" w:line="113"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183" w:lineRule="exact"/>
        <w:rPr>
          <w:sz w:val="20"/>
          <w:szCs w:val="20"/>
          <w:color w:val="auto"/>
        </w:rPr>
      </w:pPr>
    </w:p>
    <w:p>
      <w:pPr>
        <w:ind w:left="540" w:right="220" w:hanging="532"/>
        <w:spacing w:after="0" w:line="268"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21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39" w:lineRule="exact"/>
        <w:rPr>
          <w:sz w:val="20"/>
          <w:szCs w:val="20"/>
          <w:color w:val="auto"/>
        </w:rPr>
      </w:pPr>
    </w:p>
    <w:p>
      <w:pPr>
        <w:ind w:left="540" w:right="160" w:hanging="532"/>
        <w:spacing w:after="0" w:line="294" w:lineRule="auto"/>
        <w:tabs>
          <w:tab w:leader="none" w:pos="5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80" w:hanging="532"/>
        <w:spacing w:after="0" w:line="332" w:lineRule="auto"/>
        <w:tabs>
          <w:tab w:leader="none" w:pos="5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on a consolidated basis and in accordance with GAAP.</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Floor Plan Financing</w:t>
      </w:r>
      <w:r>
        <w:rPr>
          <w:rFonts w:ascii="Arial" w:cs="Arial" w:eastAsia="Arial" w:hAnsi="Arial"/>
          <w:sz w:val="18"/>
          <w:szCs w:val="18"/>
          <w:color w:val="auto"/>
        </w:rPr>
        <w:t xml:space="preserve">" means the floor plan financing to be obtained by Kevyn, LLC in respect of the Ferrari and Maserati automobile dealership forming part of the Project and located on the Project Site in an aggregate principal amount at any time outstanding not to exceed $5.0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Issuer, no Restricted Entity nor any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Restricted Entity or any of their respective Restricted Subsidiaries.</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any Restricted Entity or any of their respective Restricted Subsidiaries is, or may be at any time after the date of the indenture, subject.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139"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Gaming Redemption Indebtedness</w:t>
      </w:r>
      <w:r>
        <w:rPr>
          <w:rFonts w:ascii="Arial" w:cs="Arial" w:eastAsia="Arial" w:hAnsi="Arial"/>
          <w:sz w:val="15"/>
          <w:szCs w:val="15"/>
          <w:color w:val="auto"/>
        </w:rPr>
        <w:t xml:space="preserve">" means Indebtedness of Wynn Resorts incurred solely to finance the repurchase by Wynn Resorts of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so long as such efforts do not jeopardize any Gaming License, Wynn Resorts and its Subsidiaries shall have diligently attempted to find a third-party purchaser for such Equity Interests or Indebtedness and no third-party</w:t>
      </w:r>
    </w:p>
    <w:p>
      <w:pPr>
        <w:sectPr>
          <w:pgSz w:w="11900" w:h="16951" w:orient="portrait"/>
          <w:cols w:equalWidth="0" w:num="1">
            <w:col w:w="11380"/>
          </w:cols>
          <w:pgMar w:left="240" w:top="131" w:right="279" w:bottom="0" w:gutter="0" w:footer="0" w:header="0"/>
        </w:sectPr>
      </w:pPr>
    </w:p>
    <w:bookmarkStart w:id="117" w:name="page118"/>
    <w:bookmarkEnd w:id="117"/>
    <w:p>
      <w:pPr>
        <w:ind w:right="240"/>
        <w:spacing w:after="0" w:line="268" w:lineRule="auto"/>
        <w:rPr>
          <w:sz w:val="20"/>
          <w:szCs w:val="20"/>
          <w:color w:val="auto"/>
        </w:rPr>
      </w:pPr>
      <w:r>
        <w:rPr>
          <w:rFonts w:ascii="Arial" w:cs="Arial" w:eastAsia="Arial" w:hAnsi="Arial"/>
          <w:sz w:val="18"/>
          <w:szCs w:val="18"/>
          <w:color w:val="auto"/>
        </w:rPr>
        <w:t>purchaser acceptable to the applicable Gaming Authority was willing to purchase such Equity Interests or Indebtedness within a time period acceptable to such Gaming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Contractor</w:t>
      </w:r>
      <w:r>
        <w:rPr>
          <w:rFonts w:ascii="Arial" w:cs="Arial" w:eastAsia="Arial" w:hAnsi="Arial"/>
          <w:sz w:val="18"/>
          <w:szCs w:val="18"/>
          <w:color w:val="auto"/>
        </w:rPr>
        <w:t>" means Marnell Corrao Associates, Inc., a Nevada corporation.</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agreement to be entered into following the date of the indenture between Wynn Resorts Holdings and/or Wynn Las Vegas and a golf course contractor for the construction of the new golf course on the Project Site, as amended, modified or otherwise supplemented from time to time in accordance with the Disbursement Agreement.</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Design Services Agreement</w:t>
      </w:r>
      <w:r>
        <w:rPr>
          <w:rFonts w:ascii="Arial" w:cs="Arial" w:eastAsia="Arial" w:hAnsi="Arial"/>
          <w:sz w:val="16"/>
          <w:szCs w:val="16"/>
          <w:color w:val="auto"/>
        </w:rPr>
        <w:t>" means that certain Golf Course Design Services Agreement, that Wynn Las Vegas is a party to, as amended, modified or otherwise supplemented from time to time in accordance with covenant captioned "—Amendments to Certain Agreements."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Homes</w:t>
      </w:r>
      <w:r>
        <w:rPr>
          <w:rFonts w:ascii="Arial" w:cs="Arial" w:eastAsia="Arial" w:hAnsi="Arial"/>
          <w:sz w:val="18"/>
          <w:szCs w:val="18"/>
          <w:color w:val="auto"/>
        </w:rPr>
        <w:t>" means the golf course homes located on the periphery of the Golf Course Land not acquired by Wynn Las Vegas, any Restricted Entity or any of their respective Subsidiaries as of the date of the indenture.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Resorts Holdings, as lessor, and Wynn Las Vegas, as lessee, with respect to the lease of land on which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332"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seizures, condemnations, confiscations or takings by the power of eminent domain or other similar mandatory actions, in each case by a governmental authority against real property held by Wynn Las Vegas, any Restricted Entity or any of their respective Restricted Subsidiaries, or</w:t>
      </w:r>
    </w:p>
    <w:p>
      <w:pPr>
        <w:spacing w:after="0" w:line="166" w:lineRule="exact"/>
        <w:rPr>
          <w:rFonts w:ascii="Arial" w:cs="Arial" w:eastAsia="Arial" w:hAnsi="Arial"/>
          <w:sz w:val="16"/>
          <w:szCs w:val="16"/>
          <w:color w:val="auto"/>
        </w:rPr>
      </w:pPr>
    </w:p>
    <w:p>
      <w:pPr>
        <w:jc w:val="both"/>
        <w:ind w:left="540" w:right="140" w:hanging="532"/>
        <w:spacing w:after="0" w:line="306"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transfers of interests in real property held by Wynn Las Vegas, any Restricted Entity or any of their respective Restricted Subsidiaries to any State of Nevada, Clark County or local governmental authority consisting of easements, rights-of-way, dedications, exchanges or swaps or other similar transfers undertaken in the ordinary course of business in furtherance of the development, construction or operation of the Project, so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long as; (a) in each case, the transferring entity receives reasonably equivalent value for the real property transferred, and (b) such transfers, individually and in the aggregate, do not materially interfere with the ordinary course of business or the assets or operations of Wynn Las Vegas, any Restricted Entity or any of their respective Restricted Subsidiaries, or materially detract from the value of the real property subject thereto.</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Guarantee and Collateral Agreement, dated as of the date of the indenture, among the Issuers, the Restricted Entities and the trustee,</w:t>
      </w:r>
    </w:p>
    <w:p>
      <w:pPr>
        <w:spacing w:after="0" w:line="261"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any Restricted Entity or any Restricted Subsidiary of Wynn Las Vegas or any Restricted Entity from time to time in accordance with the provisions of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252" w:lineRule="exact"/>
        <w:rPr>
          <w:sz w:val="20"/>
          <w:szCs w:val="20"/>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Restricted Entities,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Restricted Subsidiaries, if any, of Wynn Las Vegas or any Restricted Entity, and</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other Person (other than the Parent Guarantor) that executes a Guarantee (including pursuant to a Guarantee and Collateral Agreement) in accordance with the provisions of the indenture,</w:t>
      </w:r>
    </w:p>
    <w:p>
      <w:pPr>
        <w:spacing w:after="0" w:line="1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except to the extent the applicable Guarantee is released in accordance with the caption "—Release of Security Interests," their respective successors and assigns (other than the Issuers). A Person shall cease to be a Guarantor following the release of its Guarantee as described above under that caption.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52" w:lineRule="exact"/>
        <w:rPr>
          <w:sz w:val="20"/>
          <w:szCs w:val="20"/>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whether or not contingent, but without duplication: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118" w:name="page119"/>
    <w:bookmarkEnd w:id="118"/>
    <w:p>
      <w:pPr>
        <w:ind w:left="540"/>
        <w:spacing w:after="0"/>
        <w:rPr>
          <w:sz w:val="20"/>
          <w:szCs w:val="20"/>
          <w:color w:val="auto"/>
        </w:rPr>
      </w:pPr>
      <w:r>
        <w:rPr>
          <w:rFonts w:ascii="Arial" w:cs="Arial" w:eastAsia="Arial" w:hAnsi="Arial"/>
          <w:sz w:val="18"/>
          <w:szCs w:val="18"/>
          <w:color w:val="auto"/>
        </w:rPr>
        <w:t>in respect of borrowed money;</w:t>
      </w:r>
    </w:p>
    <w:p>
      <w:pPr>
        <w:spacing w:after="0" w:line="239" w:lineRule="exact"/>
        <w:rPr>
          <w:sz w:val="20"/>
          <w:szCs w:val="20"/>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38"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39" w:lineRule="exact"/>
        <w:rPr>
          <w:sz w:val="20"/>
          <w:szCs w:val="20"/>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238"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in the case of any Person, a member of the board of directors of such Person who:</w:t>
      </w:r>
    </w:p>
    <w:p>
      <w:pPr>
        <w:spacing w:after="0" w:line="239" w:lineRule="exact"/>
        <w:rPr>
          <w:sz w:val="20"/>
          <w:szCs w:val="20"/>
          <w:color w:val="auto"/>
        </w:rPr>
      </w:pPr>
    </w:p>
    <w:p>
      <w:pPr>
        <w:ind w:left="540" w:right="80" w:hanging="532"/>
        <w:spacing w:after="0" w:line="306" w:lineRule="auto"/>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is not the Principal or a Related Party,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definition, no member of the board of directors of any Person who is, or who has a Related Party who:</w:t>
      </w:r>
    </w:p>
    <w:p>
      <w:pPr>
        <w:spacing w:after="0" w:line="252" w:lineRule="exact"/>
        <w:rPr>
          <w:sz w:val="20"/>
          <w:szCs w:val="20"/>
          <w:color w:val="auto"/>
        </w:rPr>
      </w:pPr>
    </w:p>
    <w:p>
      <w:pPr>
        <w:ind w:left="540" w:right="220" w:hanging="532"/>
        <w:spacing w:after="0" w:line="268"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 a former employee of such Person will be eligible for consideration as an "Independent Director" until the fifth anniversary of the date on which that employment ended,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00" w:hanging="532"/>
        <w:spacing w:after="0" w:line="332" w:lineRule="auto"/>
        <w:tabs>
          <w:tab w:leader="none" w:pos="5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3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Notwithstanding the preceding, no Person shall be deemed not to be an Independent Director of Wynn Resorts, any Restricted Entity or any of their respective Restricted Subsidiaries solely because such Person is a member of the Board of Directors of any direct or indirect parent of Wynn Las Vegas, any Restricted Entity or any of their respective Restricted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Intellectual Property Security Agreement, dated as of the date of the indenture, among the Issuers, the Restricted Entities and the trustee, and</w:t>
      </w:r>
    </w:p>
    <w:p>
      <w:pPr>
        <w:spacing w:after="0" w:line="261" w:lineRule="exact"/>
        <w:rPr>
          <w:rFonts w:ascii="Arial" w:cs="Arial" w:eastAsia="Arial" w:hAnsi="Arial"/>
          <w:sz w:val="16"/>
          <w:szCs w:val="16"/>
          <w:color w:val="auto"/>
        </w:rPr>
      </w:pPr>
    </w:p>
    <w:p>
      <w:pPr>
        <w:ind w:left="540" w:right="380" w:hanging="532"/>
        <w:spacing w:after="0" w:line="332"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other intellectual property security agreement entered into by Wynn Resorts, either Issuers, any Restricted Entity or any Restricted Subsidiary of Wynn Las Vegas, or any Restricted Entity from time to time in accordance with the provisions of the indenture,</w:t>
      </w:r>
    </w:p>
    <w:p>
      <w:pPr>
        <w:sectPr>
          <w:pgSz w:w="11900" w:h="16838" w:orient="portrait"/>
          <w:cols w:equalWidth="0" w:num="1">
            <w:col w:w="11380"/>
          </w:cols>
          <w:pgMar w:left="240" w:top="131" w:right="279" w:bottom="0" w:gutter="0" w:footer="0" w:header="0"/>
        </w:sectPr>
      </w:pPr>
    </w:p>
    <w:bookmarkStart w:id="119" w:name="page120"/>
    <w:bookmarkEnd w:id="119"/>
    <w:p>
      <w:pPr>
        <w:spacing w:after="0" w:line="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268"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Project Lenders Intercreditor Agreement, dated as of the date of the indenture, between the trustee, and a representative of the lenders under the Credit Agreement, and</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FF&amp;E Intercreditor Agreement, dated as of the date of the indenture, among the trustee, a representative of the lenders under the Credit Agreement and a representative of the lenders under the FF&amp;E Facility.</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their respective Restricted Subsidiaries sells or otherwise disposes of any Equity Interests of any Restricted Entity or any direct or indirect Restricted Subsidiary of such selling Person such that, after giving effect to any such sale or disposition, such Person is no longer a Subsidiary of Wynn Las Vegas, such Restricted Entity or any of their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 Certain Covenants—Restricted Payments." The acquisition by Wynn Las Vegas, a Restricted Entity or any of their respective Restricted Subsidiaries of a Person that holds an Investment in a third Person will be deemed to be an Investment by Wynn Las Vegas, that Restricted Entity or that Restricted Subsidiary, as the case may be, in such third Person in an amount equal to the fair market value of the Investments held by the acquired Person in such third Person in an amount determined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provided in the final paragraph of the covenant described above under the caption "—Certain Covenants—Restricted Payments."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Project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Affiliate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execution and delivery thereof, the Golf Course Construction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Payment and Performance Bond, and</w:t>
      </w:r>
    </w:p>
    <w:p>
      <w:pPr>
        <w:spacing w:after="0" w:line="238" w:lineRule="exact"/>
        <w:rPr>
          <w:rFonts w:ascii="Arial" w:cs="Arial" w:eastAsia="Arial" w:hAnsi="Arial"/>
          <w:sz w:val="18"/>
          <w:szCs w:val="18"/>
          <w:color w:val="auto"/>
        </w:rPr>
      </w:pPr>
    </w:p>
    <w:p>
      <w:pPr>
        <w:ind w:left="540" w:right="220" w:hanging="532"/>
        <w:spacing w:after="0" w:line="332" w:lineRule="auto"/>
        <w:tabs>
          <w:tab w:leader="none" w:pos="5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other material agreements, instruments or documents entered into by Wynn Resorts, any Restricted Entity or any Restricted Subsidiary of Wynn Las Vegas or any Restricted Entity that are necessary for the construction, ownership and operation of the Project,</w:t>
      </w:r>
    </w:p>
    <w:p>
      <w:pPr>
        <w:spacing w:after="0" w:line="13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9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between Wynn Resorts as manager, the Issuers, the Restricted Entities and their respective Restricted Subsidiaries, as in effect on the date of the indenture or as amended, modified or supplemented from time to time in accordance with the covenant captioned "—Amendments to Certain Agreements."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w:t>
      </w:r>
    </w:p>
    <w:p>
      <w:pPr>
        <w:sectPr>
          <w:pgSz w:w="11900" w:h="16892" w:orient="portrait"/>
          <w:cols w:equalWidth="0" w:num="1">
            <w:col w:w="11400"/>
          </w:cols>
          <w:pgMar w:left="240" w:top="131" w:right="259" w:bottom="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Resorts, Wynn Las Vegas, the administrative agent under the Credit Agreement, the collateral agent under the FF&amp;E Facility and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assets that are necessary to the development, construction or operation of the Project in accordance with the Plans and Specifications, or</w:t>
      </w:r>
    </w:p>
    <w:p>
      <w:pPr>
        <w:spacing w:after="0" w:line="275"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assets, the absence of which, would result in the Completion Date occurring after the Outside Completion Deadline. In no event shall Released Assets be considered Material Project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Facilities</w:t>
      </w:r>
      <w:r>
        <w:rPr>
          <w:rFonts w:ascii="Arial" w:cs="Arial" w:eastAsia="Arial" w:hAnsi="Arial"/>
          <w:sz w:val="18"/>
          <w:szCs w:val="18"/>
          <w:color w:val="auto"/>
        </w:rPr>
        <w:t>" means, with respect to the Project:</w:t>
      </w:r>
    </w:p>
    <w:p>
      <w:pPr>
        <w:spacing w:after="0" w:line="239" w:lineRule="exact"/>
        <w:rPr>
          <w:sz w:val="20"/>
          <w:szCs w:val="20"/>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238" w:lineRule="exact"/>
        <w:rPr>
          <w:rFonts w:ascii="Arial" w:cs="Arial" w:eastAsia="Arial" w:hAnsi="Arial"/>
          <w:sz w:val="18"/>
          <w:szCs w:val="18"/>
          <w:color w:val="auto"/>
        </w:rPr>
      </w:pPr>
    </w:p>
    <w:p>
      <w:pPr>
        <w:ind w:left="540" w:right="200" w:hanging="532"/>
        <w:spacing w:after="0" w:line="323" w:lineRule="auto"/>
        <w:tabs>
          <w:tab w:leader="none" w:pos="5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78" w:lineRule="exact"/>
        <w:rPr>
          <w:rFonts w:ascii="Arial" w:cs="Arial" w:eastAsia="Arial" w:hAnsi="Arial"/>
          <w:sz w:val="15"/>
          <w:szCs w:val="15"/>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and excluding however:</w:t>
      </w:r>
    </w:p>
    <w:p>
      <w:pPr>
        <w:spacing w:after="0" w:line="211" w:lineRule="exact"/>
        <w:rPr>
          <w:sz w:val="20"/>
          <w:szCs w:val="20"/>
          <w:color w:val="auto"/>
        </w:rPr>
      </w:pPr>
    </w:p>
    <w:p>
      <w:pPr>
        <w:ind w:left="540" w:right="100" w:hanging="532"/>
        <w:spacing w:after="0" w:line="259"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Loss Proceeds</w:t>
      </w:r>
      <w:r>
        <w:rPr>
          <w:rFonts w:ascii="Arial" w:cs="Arial" w:eastAsia="Arial" w:hAnsi="Arial"/>
          <w:sz w:val="15"/>
          <w:szCs w:val="15"/>
          <w:color w:val="auto"/>
        </w:rPr>
        <w:t>" means the aggregate cash proceeds received by Wynn Las Vegas, any Restricted Entity or any of their respective Restricted Subsidiaries in respect of any Event of Loss, including, without limitation, insurance proceeds from condemnation awards or damages awarded by any judgment, net of:</w:t>
      </w:r>
    </w:p>
    <w:p>
      <w:pPr>
        <w:spacing w:after="0" w:line="130" w:lineRule="exact"/>
        <w:rPr>
          <w:sz w:val="20"/>
          <w:szCs w:val="20"/>
          <w:color w:val="auto"/>
        </w:rPr>
      </w:pPr>
    </w:p>
    <w:p>
      <w:pPr>
        <w:ind w:left="540" w:right="42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56"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Agreements as to the relative ranking of security interests, and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taxes or Tax Distributions paid or payable as a result of the receipt of such cash proceeds.</w:t>
      </w:r>
    </w:p>
    <w:p>
      <w:pPr>
        <w:spacing w:after="0" w:line="225" w:lineRule="exact"/>
        <w:rPr>
          <w:sz w:val="20"/>
          <w:szCs w:val="20"/>
          <w:color w:val="auto"/>
        </w:rPr>
      </w:pPr>
    </w:p>
    <w:p>
      <w:pPr>
        <w:jc w:val="both"/>
        <w:ind w:right="2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New Equity Proceeds</w:t>
      </w:r>
      <w:r>
        <w:rPr>
          <w:rFonts w:ascii="Arial" w:cs="Arial" w:eastAsia="Arial" w:hAnsi="Arial"/>
          <w:sz w:val="15"/>
          <w:szCs w:val="15"/>
          <w:color w:val="auto"/>
        </w:rPr>
        <w:t>" means the aggregate net cash proceeds received by Wynn Las Vegas from any Person other than Wynn Capital, any Restricted Entity or any Restricted Subsidiary of Wynn Las Vegas or any Restricted Entity, directly or indirectly, as a contribution to its common equity capital excluding:</w:t>
      </w:r>
    </w:p>
    <w:p>
      <w:pPr>
        <w:spacing w:after="0" w:line="130" w:lineRule="exact"/>
        <w:rPr>
          <w:sz w:val="20"/>
          <w:szCs w:val="20"/>
          <w:color w:val="auto"/>
        </w:rPr>
      </w:pPr>
    </w:p>
    <w:p>
      <w:pPr>
        <w:ind w:left="540" w:right="4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capital contribution made on the Closing Date to Wynn Las Vegas in respect of the Completion Guarantee Capital Contribution or the Liquidity Reserve Capital Contribution;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Steve Wynn Capital Contribution; and</w:t>
      </w:r>
    </w:p>
    <w:p>
      <w:pPr>
        <w:spacing w:after="0" w:line="25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capital contribution from a Qualified Equity Offering to the extent those proceeds are used to redeem the notes in compliance with the provisions described under the caption "—Optional Redemption."</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Wynn Las Vegas, any Restricted Entity, or any of their respective Restricted Subsidiaries in respect of any Asset Sale (including, without limitation, any cash received upon the sale or other disposition of any non-cash consideration received in any Asset Sale), net of:</w:t>
      </w:r>
    </w:p>
    <w:p>
      <w:pPr>
        <w:spacing w:after="0" w:line="208" w:lineRule="exact"/>
        <w:rPr>
          <w:sz w:val="20"/>
          <w:szCs w:val="20"/>
          <w:color w:val="auto"/>
        </w:rPr>
      </w:pPr>
    </w:p>
    <w:p>
      <w:pPr>
        <w:ind w:left="540" w:right="140" w:hanging="532"/>
        <w:spacing w:after="0" w:line="370" w:lineRule="auto"/>
        <w:tabs>
          <w:tab w:leader="none" w:pos="5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w:t>
      </w:r>
    </w:p>
    <w:p>
      <w:pPr>
        <w:sectPr>
          <w:pgSz w:w="11900" w:h="16838" w:orient="portrait"/>
          <w:cols w:equalWidth="0" w:num="1">
            <w:col w:w="11420"/>
          </w:cols>
          <w:pgMar w:left="240" w:top="131" w:right="239" w:bottom="0" w:gutter="0" w:footer="0" w:header="0"/>
        </w:sectPr>
      </w:pPr>
    </w:p>
    <w:bookmarkStart w:id="121" w:name="page122"/>
    <w:bookmarkEnd w:id="121"/>
    <w:p>
      <w:pPr>
        <w:ind w:left="540"/>
        <w:spacing w:after="0"/>
        <w:rPr>
          <w:sz w:val="20"/>
          <w:szCs w:val="20"/>
          <w:color w:val="auto"/>
        </w:rPr>
      </w:pPr>
      <w:r>
        <w:rPr>
          <w:rFonts w:ascii="Arial" w:cs="Arial" w:eastAsia="Arial" w:hAnsi="Arial"/>
          <w:sz w:val="18"/>
          <w:szCs w:val="18"/>
          <w:color w:val="auto"/>
        </w:rPr>
        <w:t>taking into account any available tax credits or deductions and any tax sharing arrangements,</w:t>
      </w:r>
    </w:p>
    <w:p>
      <w:pPr>
        <w:spacing w:after="0" w:line="239" w:lineRule="exact"/>
        <w:rPr>
          <w:sz w:val="20"/>
          <w:szCs w:val="20"/>
          <w:color w:val="auto"/>
        </w:rPr>
      </w:pPr>
    </w:p>
    <w:p>
      <w:pPr>
        <w:ind w:left="540" w:right="140" w:hanging="532"/>
        <w:spacing w:after="0" w:line="298"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PUC</w:t>
      </w:r>
      <w:r>
        <w:rPr>
          <w:rFonts w:ascii="Arial" w:cs="Arial" w:eastAsia="Arial" w:hAnsi="Arial"/>
          <w:sz w:val="18"/>
          <w:szCs w:val="18"/>
          <w:color w:val="auto"/>
        </w:rPr>
        <w:t>" means the Public Utilities Commission of Nevada.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239" w:lineRule="exact"/>
        <w:rPr>
          <w:sz w:val="20"/>
          <w:szCs w:val="20"/>
          <w:color w:val="auto"/>
        </w:rPr>
      </w:pPr>
    </w:p>
    <w:p>
      <w:pPr>
        <w:ind w:left="540" w:hanging="532"/>
        <w:spacing w:after="0"/>
        <w:tabs>
          <w:tab w:leader="none" w:pos="5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assets that are not necessary to the development, construction and operation of the Project in accordance with the Plans and Specifications,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assets, the absence of which would not result in the Completion Date occurring after the Outside Completion Deadline.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52" w:lineRule="exact"/>
        <w:rPr>
          <w:sz w:val="20"/>
          <w:szCs w:val="20"/>
          <w:color w:val="auto"/>
        </w:rPr>
      </w:pPr>
    </w:p>
    <w:p>
      <w:pPr>
        <w:ind w:left="540" w:right="40" w:hanging="532"/>
        <w:spacing w:after="0" w:line="259"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to which neither Issuer, no Restricted Entity or any Restricted Subsidiary of Wynn Las Vegas or any Restricted Entity (a) provides credit support of any kind (including any undertaking, agreement or instrument that would constitute Indebtedness), (b) is directly or indirectly liable as a guarantor or otherwise, or (c) constitutes the lender;</w:t>
      </w:r>
    </w:p>
    <w:p>
      <w:pPr>
        <w:spacing w:after="0" w:line="207"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of Wynn Las Vegas) would permit upon notice, lapse of time or both any holder of any other Indebtedness of either Issuer, any Restricted Entity or any Restricted Subsidiary of Wynn Las Vegas or any Restricted Entity to declare a default on such other Indebtedness or cause the payment thereof to be accelerated or payable prior to its stated maturity; and</w:t>
      </w:r>
    </w:p>
    <w:p>
      <w:pPr>
        <w:spacing w:after="0" w:line="210"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either Issuer, any Restricted Entity or any Restricted Subsidiary of Wynn Las Vegas or any Restricted Entity.</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 Building Lease</w:t>
      </w:r>
      <w:r>
        <w:rPr>
          <w:rFonts w:ascii="Arial" w:cs="Arial" w:eastAsia="Arial" w:hAnsi="Arial"/>
          <w:sz w:val="16"/>
          <w:szCs w:val="16"/>
          <w:color w:val="auto"/>
        </w:rPr>
        <w:t>" means the Lease, dated as of the date of the indenture, between Valvino Lamore, as lessor, and Wynn Las Vegas, as lessee, with respect to the lease of space in the building existing, on the date of the indenture, on the Phase II Land, as amended, modified or otherwise supplemented from time to time in accordance with the covenant captioned "—Amendments to Certain Agreements."</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Opening Date</w:t>
      </w:r>
      <w:r>
        <w:rPr>
          <w:rFonts w:ascii="Arial" w:cs="Arial" w:eastAsia="Arial" w:hAnsi="Arial"/>
          <w:sz w:val="18"/>
          <w:szCs w:val="18"/>
          <w:color w:val="auto"/>
        </w:rPr>
        <w:t>" means the date on which all or any portion of the Project is open for business, and the opening conditions set forth in the Disbursement Agreement have been satisfied.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Outside Completion Deadline</w:t>
      </w:r>
      <w:r>
        <w:rPr>
          <w:rFonts w:ascii="Arial" w:cs="Arial" w:eastAsia="Arial" w:hAnsi="Arial"/>
          <w:sz w:val="16"/>
          <w:szCs w:val="16"/>
          <w:color w:val="auto"/>
        </w:rPr>
        <w:t>" means September 30, 2005, as that date may be extended from time to time pursuant to the Disbursement Agreement.</w:t>
      </w:r>
    </w:p>
    <w:p>
      <w:pPr>
        <w:spacing w:after="0" w:line="24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Wynn Resorts of the notes. The Parent Guarantee will not be considered a "Guarantee" unless the context otherwise requires.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Wynn Resorts in its capacity as a guarantor of the notes. The Parent Guarantor will not be considered a "Guarantor" unless the context otherwise requires.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Security Agreement</w:t>
      </w:r>
      <w:r>
        <w:rPr>
          <w:rFonts w:ascii="Arial" w:cs="Arial" w:eastAsia="Arial" w:hAnsi="Arial"/>
          <w:sz w:val="18"/>
          <w:szCs w:val="18"/>
          <w:color w:val="auto"/>
        </w:rPr>
        <w:t>" means a security agreement entered into by Wynn Resorts, in the event that it is required to provide a security interest by the provisions of the covenant under the caption "—Restrictions on Specified Activities of Wynn Resorts."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Parking Facility Lease</w:t>
      </w:r>
      <w:r>
        <w:rPr>
          <w:rFonts w:ascii="Arial" w:cs="Arial" w:eastAsia="Arial" w:hAnsi="Arial"/>
          <w:sz w:val="16"/>
          <w:szCs w:val="16"/>
          <w:color w:val="auto"/>
        </w:rPr>
        <w:t>" means the Parking Facility Lease, dated as of the date of the indenture, between Valvino Lamore, as lessor, and Wynn Las Vegas, as lessee, with respect to the lease of land on which the parking lot structure for use by Wynn Las Vegas' employees will be located, as amended, modified or otherwise supplemented from time to time in accordance with the covenant captioned "—Amendments to Certain Agreements."</w:t>
      </w:r>
    </w:p>
    <w:p>
      <w:pPr>
        <w:spacing w:after="0" w:line="16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federal or state income tax purposes or (2) an entity treated as a partnership or a disregarded entity for federal or state income tax purposes.</w:t>
      </w:r>
    </w:p>
    <w:p>
      <w:pPr>
        <w:sectPr>
          <w:pgSz w:w="11900" w:h="16838" w:orient="portrait"/>
          <w:cols w:equalWidth="0" w:num="1">
            <w:col w:w="11420"/>
          </w:cols>
          <w:pgMar w:left="240" w:top="131" w:right="239" w:bottom="0" w:gutter="0" w:footer="0" w:header="0"/>
        </w:sectPr>
      </w:pPr>
    </w:p>
    <w:bookmarkStart w:id="122" w:name="page123"/>
    <w:bookmarkEnd w:id="12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99"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207"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any Restricted Entity or any of their respective Restricted Subsidiaries becoming a subchapter "C" corporation under the Code, so long as, in connection with such transaction:</w:t>
      </w:r>
    </w:p>
    <w:p>
      <w:pPr>
        <w:spacing w:after="0" w:line="199" w:lineRule="exact"/>
        <w:rPr>
          <w:sz w:val="20"/>
          <w:szCs w:val="20"/>
          <w:color w:val="auto"/>
        </w:rPr>
      </w:pPr>
    </w:p>
    <w:p>
      <w:pPr>
        <w:jc w:val="both"/>
        <w:ind w:left="540" w:right="160" w:hanging="532"/>
        <w:spacing w:after="0" w:line="306" w:lineRule="auto"/>
        <w:tabs>
          <w:tab w:leader="none" w:pos="5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74"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24"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complies with the covenant entitled "—Additional Collateral; Formation or Acquisition of Restricted Subsidiaries, Designation of Unrestricted Subsidiaries as Restricted Subsidiaries or Permitted C-Corp. Conversion";</w:t>
      </w:r>
    </w:p>
    <w:p>
      <w:pPr>
        <w:spacing w:after="0" w:line="15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8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99" w:lineRule="exact"/>
        <w:rPr>
          <w:rFonts w:ascii="Arial" w:cs="Arial" w:eastAsia="Arial" w:hAnsi="Arial"/>
          <w:sz w:val="18"/>
          <w:szCs w:val="18"/>
          <w:color w:val="auto"/>
        </w:rPr>
      </w:pPr>
    </w:p>
    <w:p>
      <w:pPr>
        <w:ind w:left="540" w:right="60" w:hanging="532"/>
        <w:spacing w:after="0" w:line="335" w:lineRule="auto"/>
        <w:tabs>
          <w:tab w:leader="none" w:pos="5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Wynn Las Vegas shall have delivered to the trustee an opinion of counsel of national repute in the United States reasonably acceptable to the trustee confirming that neither Issuer, nor any Restricted Entity nor any Restricted Subsidiary of Wynn Las Vegas or any Restricted Entity, nor any Guarantor nor any of the holders will recognize income, gain or loss for U.S. federal or state income tax purposes as a result of such Permitted C-Corp. Conversion; and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Investment (excluding any Investment by a Person that is a Guarantor in a Person, other than Wynn Las Vegas, that is not a Guarantor):</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any entity in Wynn Las Vegas or in a Wholly Owned Subsidiary of Wynn Las Vegas;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an Investment that includes any or all of the Golf Course Land, unless such Golf Course Land is then a Released Asset,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in (ii) any Restricted Entity or any Restricted Subsidiary of a Restricted Entity that, in each case, is a Guarantor,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any Wynn Group Entity in any Restricted Entity,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so long as (i) the entity in which any such Investment is made is engaged in a Permitted Business, and (ii) such Investment is evidenced by capital stock or intercompany notes that are pledged to the trustee as Primary Note Collateral;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0" w:gutter="0" w:footer="0" w:header="0"/>
        </w:sectPr>
      </w:pPr>
    </w:p>
    <w:bookmarkStart w:id="123" w:name="page124"/>
    <w:bookmarkEnd w:id="123"/>
    <w:p>
      <w:pPr>
        <w:ind w:left="532"/>
        <w:spacing w:after="0"/>
        <w:rPr>
          <w:sz w:val="20"/>
          <w:szCs w:val="20"/>
          <w:color w:val="auto"/>
        </w:rPr>
      </w:pPr>
      <w:r>
        <w:rPr>
          <w:rFonts w:ascii="Arial" w:cs="Arial" w:eastAsia="Arial" w:hAnsi="Arial"/>
          <w:sz w:val="18"/>
          <w:szCs w:val="18"/>
          <w:color w:val="auto"/>
        </w:rPr>
        <w:t>any Investment in Cash Equivalents;</w:t>
      </w:r>
    </w:p>
    <w:p>
      <w:pPr>
        <w:spacing w:after="0" w:line="239" w:lineRule="exact"/>
        <w:rPr>
          <w:sz w:val="20"/>
          <w:szCs w:val="20"/>
          <w:color w:val="auto"/>
        </w:rPr>
      </w:pPr>
    </w:p>
    <w:p>
      <w:pPr>
        <w:ind w:left="532" w:right="500" w:hanging="532"/>
        <w:spacing w:after="0" w:line="370" w:lineRule="auto"/>
        <w:tabs>
          <w:tab w:leader="none" w:pos="532"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pacing w:after="0" w:line="359" w:lineRule="exact"/>
        <w:rPr>
          <w:rFonts w:ascii="Arial" w:cs="Arial" w:eastAsia="Arial" w:hAnsi="Arial"/>
          <w:sz w:val="15"/>
          <w:szCs w:val="15"/>
          <w:color w:val="auto"/>
        </w:rPr>
      </w:pPr>
    </w:p>
    <w:p>
      <w:pPr>
        <w:ind w:left="1072" w:hanging="532"/>
        <w:spacing w:after="0"/>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238" w:lineRule="exact"/>
        <w:rPr>
          <w:rFonts w:ascii="Arial" w:cs="Arial" w:eastAsia="Arial" w:hAnsi="Arial"/>
          <w:sz w:val="18"/>
          <w:szCs w:val="18"/>
          <w:color w:val="auto"/>
        </w:rPr>
      </w:pPr>
    </w:p>
    <w:p>
      <w:pPr>
        <w:jc w:val="both"/>
        <w:ind w:left="1072" w:right="300" w:hanging="532"/>
        <w:spacing w:after="0" w:line="259" w:lineRule="auto"/>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captioned "—Merger,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32" w:right="60" w:hanging="532"/>
        <w:spacing w:after="0" w:line="268" w:lineRule="auto"/>
        <w:tabs>
          <w:tab w:leader="none" w:pos="53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an Event of Loss of the type contemplated by clause (3) of the definition of "Event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right="280"/>
        <w:spacing w:after="0" w:line="268" w:lineRule="auto"/>
        <w:rPr>
          <w:sz w:val="20"/>
          <w:szCs w:val="20"/>
          <w:color w:val="auto"/>
        </w:rPr>
      </w:pPr>
      <w:r>
        <w:rPr>
          <w:rFonts w:ascii="Arial" w:cs="Arial" w:eastAsia="Arial" w:hAnsi="Arial"/>
          <w:sz w:val="18"/>
          <w:szCs w:val="18"/>
          <w:color w:val="auto"/>
        </w:rPr>
        <w:t>of Loss" that was made pursuant to and in compliance with the covenant described above under the caption "—Repurchase at the Option of Holders— Asset Sales" or "—Events of Loss";</w:t>
      </w:r>
    </w:p>
    <w:p>
      <w:pPr>
        <w:spacing w:after="0" w:line="213" w:lineRule="exact"/>
        <w:rPr>
          <w:sz w:val="20"/>
          <w:szCs w:val="20"/>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acquisition of assets acquired solely with Net New Equity Proceeds;</w:t>
      </w:r>
    </w:p>
    <w:p>
      <w:pPr>
        <w:spacing w:after="0" w:line="238" w:lineRule="exact"/>
        <w:rPr>
          <w:rFonts w:ascii="Arial" w:cs="Arial" w:eastAsia="Arial" w:hAnsi="Arial"/>
          <w:sz w:val="18"/>
          <w:szCs w:val="18"/>
          <w:color w:val="auto"/>
        </w:rPr>
      </w:pPr>
    </w:p>
    <w:p>
      <w:pPr>
        <w:ind w:left="532" w:right="60" w:hanging="532"/>
        <w:spacing w:after="0" w:line="259"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52"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Water Rights Transfer; and</w:t>
      </w:r>
    </w:p>
    <w:p>
      <w:pPr>
        <w:spacing w:after="0" w:line="238" w:lineRule="exact"/>
        <w:rPr>
          <w:rFonts w:ascii="Arial" w:cs="Arial" w:eastAsia="Arial" w:hAnsi="Arial"/>
          <w:sz w:val="18"/>
          <w:szCs w:val="18"/>
          <w:color w:val="auto"/>
        </w:rPr>
      </w:pPr>
    </w:p>
    <w:p>
      <w:pPr>
        <w:ind w:left="532" w:right="140" w:hanging="532"/>
        <w:spacing w:after="0" w:line="268"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of Wynn Las Vegas, any Restricted Entity or Restricted Subsidiary, outstanding on the date of the indenture, and any Permitted Refinancing Indebtedness thereof.</w:t>
      </w:r>
    </w:p>
    <w:p>
      <w:pPr>
        <w:spacing w:after="0" w:line="186"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52" w:lineRule="exact"/>
        <w:rPr>
          <w:sz w:val="20"/>
          <w:szCs w:val="20"/>
          <w:color w:val="auto"/>
        </w:rPr>
      </w:pPr>
    </w:p>
    <w:p>
      <w:pPr>
        <w:ind w:left="532" w:hanging="532"/>
        <w:spacing w:after="0" w:line="256"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into or consolidated with Wynn Las Vegas, any Restricted Entity or any of their respective Restricted Subsidiaries, so long as such Liens were in existence prior to the contemplation of such merger or consolidation and do not extend to any assets other than those of the Person merged into or consolidated with Wynn Las Vegas, any Restricted Entity or any of their respective Restricted Subsidiaries;</w:t>
      </w:r>
    </w:p>
    <w:p>
      <w:pPr>
        <w:spacing w:after="0" w:line="210"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in favor of Wynn Las Vegas, any Restricted Entity or any of their respective Restricted Subsidiaries (other than Liens granted by Wynn Las Vegas, any Restricted Entity or any of their respective Restricted Subsidiaries), so long as if any such Liens are on any or all of the Collateral, such Liens are either: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hanging="532"/>
        <w:spacing w:after="0"/>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collaterally assigned to the trustee, or</w:t>
      </w:r>
    </w:p>
    <w:p>
      <w:pPr>
        <w:spacing w:after="0" w:line="252" w:lineRule="exact"/>
        <w:rPr>
          <w:rFonts w:ascii="Arial" w:cs="Arial" w:eastAsia="Arial" w:hAnsi="Arial"/>
          <w:sz w:val="18"/>
          <w:szCs w:val="18"/>
          <w:color w:val="auto"/>
        </w:rPr>
      </w:pPr>
    </w:p>
    <w:p>
      <w:pPr>
        <w:ind w:left="1072" w:right="20" w:hanging="532"/>
        <w:spacing w:after="0" w:line="259" w:lineRule="auto"/>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 representative of the lenders under the Credit Agreement pursuant to the Project Lenders Intercreditor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32" w:right="200" w:hanging="532"/>
        <w:spacing w:after="0" w:line="259"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any Restricted Entity or any of their respective Restricted Subsidiaries (other than materials, supplies or FF&amp;E acquired in connection with developing, constructing, expanding or equipping of the Project), so long as such Liens were in existence prior to the contemplation of such acquisition;</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660" w:hanging="532"/>
        <w:spacing w:after="0" w:line="268" w:lineRule="auto"/>
        <w:tabs>
          <w:tab w:leader="none" w:pos="53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199" w:lineRule="exact"/>
        <w:rPr>
          <w:rFonts w:ascii="Arial" w:cs="Arial" w:eastAsia="Arial" w:hAnsi="Arial"/>
          <w:sz w:val="18"/>
          <w:szCs w:val="18"/>
          <w:color w:val="auto"/>
        </w:rPr>
      </w:pPr>
    </w:p>
    <w:p>
      <w:pPr>
        <w:jc w:val="both"/>
        <w:ind w:left="532" w:right="40" w:hanging="532"/>
        <w:spacing w:after="0" w:line="335" w:lineRule="auto"/>
        <w:tabs>
          <w:tab w:leader="none" w:pos="532" w:val="left"/>
        </w:tabs>
        <w:numPr>
          <w:ilvl w:val="0"/>
          <w:numId w:val="272"/>
        </w:numPr>
        <w:rPr>
          <w:rFonts w:ascii="Arial" w:cs="Arial" w:eastAsia="Arial" w:hAnsi="Arial"/>
          <w:sz w:val="15"/>
          <w:szCs w:val="15"/>
          <w:color w:val="auto"/>
        </w:rPr>
      </w:pPr>
      <w:r>
        <w:rPr>
          <w:rFonts w:ascii="Arial" w:cs="Arial" w:eastAsia="Arial" w:hAnsi="Arial"/>
          <w:sz w:val="15"/>
          <w:szCs w:val="15"/>
          <w:color w:val="auto"/>
        </w:rPr>
        <w:t>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w:t>
      </w:r>
    </w:p>
    <w:p>
      <w:pPr>
        <w:sectPr>
          <w:pgSz w:w="11900" w:h="16838" w:orient="portrait"/>
          <w:cols w:equalWidth="0" w:num="1">
            <w:col w:w="11392"/>
          </w:cols>
          <w:pgMar w:left="248" w:top="131" w:right="259" w:bottom="0" w:gutter="0" w:footer="0" w:header="0"/>
        </w:sectPr>
      </w:pPr>
    </w:p>
    <w:bookmarkStart w:id="124" w:name="page125"/>
    <w:bookmarkEnd w:id="124"/>
    <w:p>
      <w:pPr>
        <w:ind w:left="540"/>
        <w:spacing w:after="0"/>
        <w:rPr>
          <w:sz w:val="20"/>
          <w:szCs w:val="20"/>
          <w:color w:val="auto"/>
        </w:rPr>
      </w:pPr>
      <w:r>
        <w:rPr>
          <w:rFonts w:ascii="Arial" w:cs="Arial" w:eastAsia="Arial" w:hAnsi="Arial"/>
          <w:sz w:val="18"/>
          <w:szCs w:val="18"/>
          <w:color w:val="auto"/>
        </w:rPr>
        <w:t>made therefor;</w:t>
      </w:r>
    </w:p>
    <w:p>
      <w:pPr>
        <w:spacing w:after="0" w:line="239" w:lineRule="exact"/>
        <w:rPr>
          <w:sz w:val="20"/>
          <w:szCs w:val="20"/>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prior to Final Completion, any Liens permitted under the Disbursement Agreement;</w:t>
      </w:r>
    </w:p>
    <w:p>
      <w:pPr>
        <w:spacing w:after="0" w:line="252" w:lineRule="exact"/>
        <w:rPr>
          <w:rFonts w:ascii="Arial" w:cs="Arial" w:eastAsia="Arial" w:hAnsi="Arial"/>
          <w:sz w:val="18"/>
          <w:szCs w:val="18"/>
          <w:color w:val="auto"/>
        </w:rPr>
      </w:pPr>
    </w:p>
    <w:p>
      <w:pPr>
        <w:ind w:left="540" w:right="30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Indebtedness and other Obligations under the Credit Agreement that were permitted by the terms of the indenture to be incurred;</w:t>
      </w:r>
    </w:p>
    <w:p>
      <w:pPr>
        <w:spacing w:after="0" w:line="212" w:lineRule="exact"/>
        <w:rPr>
          <w:rFonts w:ascii="Arial" w:cs="Arial" w:eastAsia="Arial" w:hAnsi="Arial"/>
          <w:sz w:val="18"/>
          <w:szCs w:val="18"/>
          <w:color w:val="auto"/>
        </w:rPr>
      </w:pPr>
    </w:p>
    <w:p>
      <w:pPr>
        <w:ind w:left="540" w:right="340" w:hanging="532"/>
        <w:spacing w:after="0" w:line="256"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FF&amp;E or other property or assets to secure Indebtedness permitted by clause (7) of the second paragraph of the covenant described under the caption "—Certain Covenants—Incurrence of Indebtedness and Issuance of Preferred Equity," so long as 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10"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207" w:lineRule="exact"/>
        <w:rPr>
          <w:rFonts w:ascii="Arial" w:cs="Arial" w:eastAsia="Arial" w:hAnsi="Arial"/>
          <w:sz w:val="18"/>
          <w:szCs w:val="18"/>
          <w:color w:val="auto"/>
        </w:rPr>
      </w:pPr>
    </w:p>
    <w:p>
      <w:pPr>
        <w:ind w:left="540" w:right="32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any Restricted Entity or any of their respective Restricted Subsidiaries incurred in the ordinary course of business;</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Liens on Equity Interests in, and assets of, Unrestricted Subsidiaries of Wynn Las Vegas that secure Non-Recourse Debt of Unrestricted Subsidiaries;</w:t>
      </w:r>
    </w:p>
    <w:p>
      <w:pPr>
        <w:spacing w:after="0" w:line="261" w:lineRule="exact"/>
        <w:rPr>
          <w:rFonts w:ascii="Arial" w:cs="Arial" w:eastAsia="Arial" w:hAnsi="Arial"/>
          <w:sz w:val="16"/>
          <w:szCs w:val="16"/>
          <w:color w:val="auto"/>
        </w:rPr>
      </w:pPr>
    </w:p>
    <w:p>
      <w:pPr>
        <w:ind w:left="540" w:right="80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assets or property of Wynn Las Vegas, any Restricted Entity or any of their respective Restricted Subsidiaries arising by reason of any attachment or judgment not constituting an Event of Default under the indenture, so long as: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252" w:lineRule="exact"/>
        <w:rPr>
          <w:rFonts w:ascii="Arial" w:cs="Arial" w:eastAsia="Arial" w:hAnsi="Arial"/>
          <w:sz w:val="18"/>
          <w:szCs w:val="18"/>
          <w:color w:val="auto"/>
        </w:rPr>
      </w:pPr>
    </w:p>
    <w:p>
      <w:pPr>
        <w:ind w:left="5580" w:right="280" w:hanging="5032"/>
        <w:spacing w:after="0" w:line="519" w:lineRule="auto"/>
        <w:tabs>
          <w:tab w:leader="none" w:pos="108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are adequately bonded or adequate reserves have been established on the books of the applicable Person in accordance with GAAP; 219</w:t>
      </w:r>
    </w:p>
    <w:p>
      <w:pPr>
        <w:spacing w:after="0" w:line="225" w:lineRule="exact"/>
        <w:rPr>
          <w:rFonts w:ascii="Arial" w:cs="Arial" w:eastAsia="Arial" w:hAnsi="Arial"/>
          <w:sz w:val="18"/>
          <w:szCs w:val="18"/>
          <w:color w:val="auto"/>
        </w:rPr>
      </w:pPr>
    </w:p>
    <w:p>
      <w:pPr>
        <w:ind w:left="540" w:right="140" w:hanging="532"/>
        <w:spacing w:after="0" w:line="256"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any Restricted Entity or any of their respective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neither Issuer nor any Restricted Entity nor any of their respective Restricted Subsidiaries is liable for the payment of any principal of, or interest, premiums or fees on, such financing,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jc w:val="both"/>
        <w:ind w:left="540" w:hanging="532"/>
        <w:spacing w:after="0" w:line="335" w:lineRule="auto"/>
        <w:tabs>
          <w:tab w:leader="none" w:pos="5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Uniform Commercial Code financing statements filed for precautionary purposes in connection with any true lease of property leased by Wynn Las Vegas, any Restricted Entity or any of their respective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69" w:lineRule="exact"/>
        <w:rPr>
          <w:rFonts w:ascii="Arial" w:cs="Arial" w:eastAsia="Arial" w:hAnsi="Arial"/>
          <w:sz w:val="15"/>
          <w:szCs w:val="15"/>
          <w:color w:val="auto"/>
        </w:rPr>
      </w:pPr>
    </w:p>
    <w:p>
      <w:pPr>
        <w:ind w:left="540" w:right="58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under the caption "—Certain Covenants— Incurrence of Indebtedness and Issuance of Preferred Equity," so long as: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Indebtedness being refinanced by such Permitted Refinancing Indebtedness was secured, and</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-4688840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 w:right="239" w:bottom="0" w:gutter="0" w:footer="0" w:header="0"/>
        </w:sectPr>
      </w:pPr>
    </w:p>
    <w:bookmarkStart w:id="125" w:name="page126"/>
    <w:bookmarkEnd w:id="125"/>
    <w:p>
      <w:pPr>
        <w:spacing w:after="0" w:line="67"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Liens created or expressly contemplated by the Affiliate Agreements, in each case as in effect on the date of the indenture, so long as such Liens do not secure Indebtedness;</w:t>
      </w:r>
    </w:p>
    <w:p>
      <w:pPr>
        <w:spacing w:after="0" w:line="199" w:lineRule="exact"/>
        <w:rPr>
          <w:sz w:val="20"/>
          <w:szCs w:val="20"/>
          <w:color w:val="auto"/>
        </w:rPr>
      </w:pPr>
    </w:p>
    <w:p>
      <w:pPr>
        <w:ind w:left="540" w:right="180" w:hanging="532"/>
        <w:spacing w:after="0" w:line="268"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212" w:lineRule="exact"/>
        <w:rPr>
          <w:rFonts w:ascii="Arial" w:cs="Arial" w:eastAsia="Arial" w:hAnsi="Arial"/>
          <w:sz w:val="18"/>
          <w:szCs w:val="18"/>
          <w:color w:val="auto"/>
        </w:rPr>
      </w:pPr>
    </w:p>
    <w:p>
      <w:pPr>
        <w:ind w:left="540" w:right="320" w:hanging="532"/>
        <w:spacing w:after="0" w:line="259"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07"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any Restricted Entity or any of their respective Restricted Subsidiaries securing reimbursement obligations under performance bonds, guaranties, trade letters of credit, bankers' acceptances or similar instruments permitted under clause (14) of the second paragraph of the covenant captioned "—Incurrence of Indebtedness and Issuance of Preferred Equity," granted by Wynn Las Vegas,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Restricted Entity or any of their respective Restricted Subsidiaries in favor of the issuers of such performance bonds, guaranties, trade letters of credit or bankers' acceptances, so long as:</w:t>
      </w:r>
    </w:p>
    <w:p>
      <w:pPr>
        <w:spacing w:after="0" w:line="199" w:lineRule="exact"/>
        <w:rPr>
          <w:sz w:val="20"/>
          <w:szCs w:val="20"/>
          <w:color w:val="auto"/>
        </w:rPr>
      </w:pPr>
    </w:p>
    <w:p>
      <w:pPr>
        <w:ind w:left="1080" w:hanging="532"/>
        <w:spacing w:after="0"/>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not specified in clauses (1) through (23) above and not otherwise permitted by the covenant described under the caption "—Certain Covenants— Liens," so long as the aggregate outstanding principal amount of the obligations secured by all such Liens in the aggregate does not exceed $1.0 million at any one time (collectively for all assets and property subject to such Liens).</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any Restricted Entity or any of their respective Restricted Subsidiaries issued in exchange for, or the net proceeds of which are used to extend, refinance, renew, replace, amend and restate, restate, defease or refund other Indebtedness of any Person (other than intercompany Indebtedness), so long as:</w:t>
      </w:r>
    </w:p>
    <w:p>
      <w:pPr>
        <w:spacing w:after="0" w:line="221" w:lineRule="exact"/>
        <w:rPr>
          <w:sz w:val="20"/>
          <w:szCs w:val="20"/>
          <w:color w:val="auto"/>
        </w:rPr>
      </w:pPr>
    </w:p>
    <w:p>
      <w:pPr>
        <w:ind w:left="540" w:right="100" w:hanging="532"/>
        <w:spacing w:after="0" w:line="255"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210" w:lineRule="exact"/>
        <w:rPr>
          <w:rFonts w:ascii="Arial" w:cs="Arial" w:eastAsia="Arial" w:hAnsi="Arial"/>
          <w:sz w:val="18"/>
          <w:szCs w:val="18"/>
          <w:color w:val="auto"/>
        </w:rPr>
      </w:pPr>
    </w:p>
    <w:p>
      <w:pPr>
        <w:ind w:left="540" w:right="20" w:hanging="532"/>
        <w:spacing w:after="0" w:line="370" w:lineRule="auto"/>
        <w:tabs>
          <w:tab w:leader="none" w:pos="5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9" w:lineRule="exact"/>
        <w:rPr>
          <w:rFonts w:ascii="Arial" w:cs="Arial" w:eastAsia="Arial" w:hAnsi="Arial"/>
          <w:sz w:val="15"/>
          <w:szCs w:val="15"/>
          <w:color w:val="auto"/>
        </w:rPr>
      </w:pPr>
    </w:p>
    <w:p>
      <w:pPr>
        <w:ind w:left="540" w:hanging="532"/>
        <w:spacing w:after="0" w:line="256"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24" w:lineRule="exact"/>
        <w:rPr>
          <w:rFonts w:ascii="Arial" w:cs="Arial" w:eastAsia="Arial" w:hAnsi="Arial"/>
          <w:sz w:val="18"/>
          <w:szCs w:val="18"/>
          <w:color w:val="auto"/>
        </w:rPr>
      </w:pPr>
    </w:p>
    <w:p>
      <w:pPr>
        <w:jc w:val="center"/>
        <w:ind w:left="5580" w:right="140" w:hanging="5572"/>
        <w:spacing w:after="0" w:line="519" w:lineRule="auto"/>
        <w:tabs>
          <w:tab w:leader="none" w:pos="5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Indebtedness is incurred by the Person that is the obligor on the Indebtedness being extended, refinanced, renewed, replaced, defeased or refunded.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xml:space="preserve"> means:</w:t>
      </w:r>
    </w:p>
    <w:p>
      <w:pPr>
        <w:spacing w:after="0" w:line="239" w:lineRule="exact"/>
        <w:rPr>
          <w:sz w:val="20"/>
          <w:szCs w:val="20"/>
          <w:color w:val="auto"/>
        </w:rPr>
      </w:pPr>
    </w:p>
    <w:p>
      <w:pPr>
        <w:ind w:left="540" w:right="200" w:hanging="532"/>
        <w:spacing w:after="0" w:line="332" w:lineRule="auto"/>
        <w:tabs>
          <w:tab w:leader="none" w:pos="5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quaranteed by, the United States government or issued by any agency thereof and backed by the full faith and credit of the United States, in each case maturing within 18 months from the date of acquisition;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means the approximately 20-acre portion of the Project Site designated as the Phase II Land in the Collateral Documents, together with all improvements thereon and all rights appurtenant thereto.</w:t>
      </w:r>
    </w:p>
    <w:p>
      <w:pPr>
        <w:sectPr>
          <w:pgSz w:w="11900" w:h="16906" w:orient="portrait"/>
          <w:cols w:equalWidth="0" w:num="1">
            <w:col w:w="11380"/>
          </w:cols>
          <w:pgMar w:left="240" w:top="131" w:right="279" w:bottom="0" w:gutter="0" w:footer="0" w:header="0"/>
        </w:sectPr>
      </w:pPr>
    </w:p>
    <w:bookmarkStart w:id="126" w:name="page127"/>
    <w:bookmarkEnd w:id="126"/>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Liability</w:t>
      </w:r>
      <w:r>
        <w:rPr>
          <w:rFonts w:ascii="Arial" w:cs="Arial" w:eastAsia="Arial" w:hAnsi="Arial"/>
          <w:sz w:val="16"/>
          <w:szCs w:val="16"/>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any Restricted Entity or any of their respective Restricted Subsidiaries that (i) are, or were previously, deductible by such Person and (ii) have not previously reduced Taxable Income), and (b) the Presumed Tax Rate.</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Rate</w:t>
      </w:r>
      <w:r>
        <w:rPr>
          <w:rFonts w:ascii="Arial" w:cs="Arial" w:eastAsia="Arial" w:hAnsi="Arial"/>
          <w:sz w:val="18"/>
          <w:szCs w:val="18"/>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any Restricted Entity or any of their respective Restricted Subsidiaries that is a Pass Through Entity). In determining the Presumed Tax Rate, the character of the items of income and gain comprising Taxable Income (</w:t>
      </w:r>
      <w:r>
        <w:rPr>
          <w:rFonts w:ascii="Arial" w:cs="Arial" w:eastAsia="Arial" w:hAnsi="Arial"/>
          <w:sz w:val="18"/>
          <w:szCs w:val="18"/>
          <w:i w:val="1"/>
          <w:iCs w:val="1"/>
          <w:color w:val="auto"/>
        </w:rPr>
        <w:t>e.g.</w:t>
      </w:r>
      <w:r>
        <w:rPr>
          <w:rFonts w:ascii="Arial" w:cs="Arial" w:eastAsia="Arial" w:hAnsi="Arial"/>
          <w:sz w:val="18"/>
          <w:szCs w:val="18"/>
          <w:color w:val="auto"/>
        </w:rPr>
        <w:t xml:space="preserve"> ordinary income or long term capital gain) shall be taken into account.</w:t>
      </w:r>
    </w:p>
    <w:p>
      <w:pPr>
        <w:spacing w:after="0" w:line="19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other than the FF&amp;E Collateral, together with the proceeds and products thereof (including, without limitation, the proceeds of Asset Sales).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means the Le Rêve Casino Resort, a large scale luxury hotel and destination casino resort, with related parking structure and golf course facilities to be developed 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Project Site, all as more particularly described in the applicable exhibit to the Disbursement Agreement.</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w:t>
      </w:r>
      <w:r>
        <w:rPr>
          <w:rFonts w:ascii="Arial" w:cs="Arial" w:eastAsia="Arial" w:hAnsi="Arial"/>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Parking Facility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Driving Range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Office Building Lease,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Shuttle Easement Agreement,</w:t>
      </w:r>
    </w:p>
    <w:p>
      <w:pPr>
        <w:spacing w:after="0" w:line="22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Related Indebtedness</w:t>
      </w:r>
      <w:r>
        <w:rPr>
          <w:rFonts w:ascii="Arial" w:cs="Arial" w:eastAsia="Arial" w:hAnsi="Arial"/>
          <w:sz w:val="18"/>
          <w:szCs w:val="18"/>
          <w:color w:val="auto"/>
        </w:rPr>
        <w:t>" means Indebtedness for borrowed money incurred by Wynn Resorts, the proceeds of which are contributed, directly or indirectly, as common equity capital to Wynn Las Vegas and its Restricted Subsidiaries, so long as neither Issuer, no Restricted Entity nor any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212-acre site upon which the Project will be located, together with all easements, licenses and other rights running for the benefit of Wynn Las Vegas, any Restricted Entity or any of their respective Restricted Subsidiaries and/or appurtenant thereto, and all as more particularly described in the exhibit captioned "Project Site" in the indenture.</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(other than Disqualified Stock) of Wynn Resorts which results in gross proceeds to Wynn Resorts of at least $50.0 million, to the extent that such gross receipts are contributed as a cash common equity contribution to Wynn Las Vegas.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Intercompany Agreement</w:t>
      </w:r>
      <w:r>
        <w:rPr>
          <w:rFonts w:ascii="Arial" w:cs="Arial" w:eastAsia="Arial" w:hAnsi="Arial"/>
          <w:sz w:val="16"/>
          <w:szCs w:val="16"/>
          <w:color w:val="auto"/>
        </w:rPr>
        <w:t>" means any agreement entered into by or among one or more of the Restricted Entities, on the one hand, and one or more of Wynn Resorts or any of its Subsidiaries, on the other hand, for the provision of goods, rights and/or services to be used in Permitted Businesses related to or in connection with and, in any event, for the benefit of, the Project, so long as the Affiliate Transactions effected under such Qualified Intercompany Agreement satisfy the requirements of the covenant captioned "—Transactions with Affiliates."</w:t>
      </w:r>
    </w:p>
    <w:p>
      <w:pPr>
        <w:sectPr>
          <w:pgSz w:w="11900" w:h="16898" w:orient="portrait"/>
          <w:cols w:equalWidth="0" w:num="1">
            <w:col w:w="11400"/>
          </w:cols>
          <w:pgMar w:left="240" w:top="131" w:right="259" w:bottom="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the Principal; or</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 Any such item of Collateral shall cease to be a Released Asset in the event, and to the extent, that Wynn Las Vegas, any Restricted Entity or any of their respective Restricted Subsidiaries is required to grant a security interest therein in favor of the trustee to secure the notes or a guarantee of the notes pursuant to the covenants captioned "—Release of Golf Course Land and Phase II Land—Release of Portions of the Golf Course Land" and "—Release of Golf Course Land and Phase II Land— Release of the Phase II Land."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w:t>
      </w:r>
      <w:r>
        <w:rPr>
          <w:rFonts w:ascii="Arial" w:cs="Arial" w:eastAsia="Arial" w:hAnsi="Arial"/>
          <w:sz w:val="18"/>
          <w:szCs w:val="18"/>
          <w:color w:val="auto"/>
        </w:rPr>
        <w:t>" means the corporate aircraft to be acquired with Replacement Aircraft Indebtedness.</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 Indebtedness</w:t>
      </w:r>
      <w:r>
        <w:rPr>
          <w:rFonts w:ascii="Arial" w:cs="Arial" w:eastAsia="Arial" w:hAnsi="Arial"/>
          <w:sz w:val="18"/>
          <w:szCs w:val="18"/>
          <w:color w:val="auto"/>
        </w:rPr>
        <w:t>" means Indebtedness represented by Capital Lease Obligations, mortgage financings or purchase money obligations incurred by Wynn Resorts or a direct Wholly Owned Subsidiary (which may be a trust) of Wynn Resorts (other than Wynn Capital, Wynn Las Vegas, any Restricted Entity or any of their respective Restricted Subsidiaries) for the purpose of financing all or part of the purchase price of a Replacement Aircraft, so long as:</w:t>
      </w:r>
    </w:p>
    <w:p>
      <w:pPr>
        <w:spacing w:after="0" w:line="211" w:lineRule="exact"/>
        <w:rPr>
          <w:sz w:val="20"/>
          <w:szCs w:val="20"/>
          <w:color w:val="auto"/>
        </w:rPr>
      </w:pPr>
    </w:p>
    <w:p>
      <w:pPr>
        <w:ind w:left="540" w:right="220" w:hanging="532"/>
        <w:spacing w:after="0" w:line="370" w:lineRule="auto"/>
        <w:tabs>
          <w:tab w:leader="none" w:pos="5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the principal amount of such Indebtedness does not exceed the cost (including sales and excise taxes, installation and delivery charges and other direct costs of, and other direct expenses paid or charged in connection with, such purchase) of the Replacement Aircraft purchased with the proceeds thereof,</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aggregate principal amount of such Indebtedness does not exceed $55.0 million at any time outstanding,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Issuer, no Restricted Entity nor any of their respective Restricted Subsidiaries: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840" w:hanging="532"/>
        <w:spacing w:after="0" w:line="268" w:lineRule="auto"/>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Entity</w:t>
      </w:r>
      <w:r>
        <w:rPr>
          <w:rFonts w:ascii="Arial" w:cs="Arial" w:eastAsia="Arial" w:hAnsi="Arial"/>
          <w:sz w:val="18"/>
          <w:szCs w:val="18"/>
          <w:color w:val="auto"/>
        </w:rPr>
        <w:t>" means any of Desert Inn Water Company, LLC, Valvino Lamore, Wynn Design, Wynn Resorts Holdings, Las Vegas Jet, LLC, World Travel, LLC and Palo, LLC.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(1) as to Wynn Las Vegas, any Subsidiary of Wynn Las Vegas that is not an Unrestricted Subsidiary, or (2) as to any Restricted Entity, any Subsidiary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a Restricted Entity, other than (a) any other Restricted Entity, (b) the Issuers or (c) any Subsidiary of either Issuer.</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among Wynn Resorts Holdings, Valvino Lamore and Wynn Las Vegas,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Valvino Lamore,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Wynn Resorts Holdings,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Desert Inn Water Company, or</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Restricted Entity if it (a) contributes at least 10% of the Restricted Entities' total consolidated income from continuing operations before income taxes, extraordinary items, or (b) owns at least 10% of the Restricted Entities' total assets on a consolidated basis.</w:t>
      </w:r>
    </w:p>
    <w:p>
      <w:pPr>
        <w:sectPr>
          <w:pgSz w:w="11900" w:h="16838" w:orient="portrait"/>
          <w:cols w:equalWidth="0" w:num="1">
            <w:col w:w="11420"/>
          </w:cols>
          <w:pgMar w:left="240" w:top="131" w:right="239" w:bottom="0" w:gutter="0" w:footer="0" w:header="0"/>
        </w:sectPr>
      </w:pPr>
    </w:p>
    <w:bookmarkStart w:id="128" w:name="page129"/>
    <w:bookmarkEnd w:id="128"/>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259"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Restricted Subsidiary of Wynn Las Vegas, such Subsidiary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 and</w:t>
      </w:r>
    </w:p>
    <w:p>
      <w:pPr>
        <w:spacing w:after="0" w:line="221"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Restricted Subsidiary of a Restricted Entity, such Subsidiary if it (a) contributes at least 10% of the Restricted Entities' and their Restricted Subsidiaries' total consolidated income from continuing operations before income taxes, extraordinary items, or (b) owns at least 10% of the Restricted Entities' and their Restricted Subsidiaries' total assets on a consolidated basis.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means, when used with respect to any Person, as of any date of determination:</w:t>
      </w:r>
    </w:p>
    <w:p>
      <w:pPr>
        <w:spacing w:after="0" w:line="239" w:lineRule="exact"/>
        <w:rPr>
          <w:sz w:val="20"/>
          <w:szCs w:val="20"/>
          <w:color w:val="auto"/>
        </w:rPr>
      </w:pPr>
    </w:p>
    <w:p>
      <w:pPr>
        <w:ind w:left="540" w:right="420" w:hanging="532"/>
        <w:spacing w:after="0" w:line="259"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amount of the "present fair saleable value" of the assets of such Person will,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does not reasonably expect that such person may be unable to pay the liability of such Person on its debts as such debts become absolute and matured,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will not have, as of such date, an unreasonably small amount of capital with which to conduct its business,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will be able to pay its undisputed debts generally as they mature,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is not insolvent within the meaning of any applicable requirements of law.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for purposes of this definition, (a) "debt" means liability on a "claim," and (b) "claim" means any (i) right to payment, whether or not such a right is reduced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540" w:right="100" w:hanging="532"/>
        <w:spacing w:after="0" w:line="335" w:lineRule="auto"/>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5" w:lineRule="exact"/>
        <w:rPr>
          <w:rFonts w:ascii="Arial" w:cs="Arial" w:eastAsia="Arial" w:hAnsi="Arial"/>
          <w:sz w:val="15"/>
          <w:szCs w:val="15"/>
          <w:color w:val="auto"/>
        </w:rPr>
      </w:pPr>
    </w:p>
    <w:p>
      <w:pPr>
        <w:ind w:left="540" w:right="180" w:hanging="532"/>
        <w:spacing w:after="0" w:line="268"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pacing w:after="0" w:line="186"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 Amount</w:t>
      </w:r>
      <w:r>
        <w:rPr>
          <w:rFonts w:ascii="Arial" w:cs="Arial" w:eastAsia="Arial" w:hAnsi="Arial"/>
          <w:sz w:val="15"/>
          <w:szCs w:val="15"/>
          <w:color w:val="auto"/>
        </w:rPr>
        <w:t>" means, with respect to any period, (1) in the case of any direct or indirect member of any of Wynn Las Vegas, the Completion Guarantor, any Restricted Entity or any of their respective Restricted Subsidiaries that is a Pass Through Entity, the Presumed Tax Liability of such direct or indirect member, and (2) with respect to any of Wynn Las Vegas, the Completion Guarantor, the Restricted Entities or any of their respective Restricted Subsidiaries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5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Distribution</w:t>
      </w:r>
      <w:r>
        <w:rPr>
          <w:rFonts w:ascii="Arial" w:cs="Arial" w:eastAsia="Arial" w:hAnsi="Arial"/>
          <w:sz w:val="18"/>
          <w:szCs w:val="18"/>
          <w:color w:val="auto"/>
        </w:rPr>
        <w:t>" means a distribution in respect of taxes pursuant to clause (5) of the second paragraph of the covenant described above under the caption "Certain Covenants—Restricted Payments."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the date of the indenture,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 as amended, modified or otherwise supplemented from time to time in accordance with the covenant captioned "—Amendments to Certain Agreements."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Taxable Income</w:t>
      </w:r>
      <w:r>
        <w:rPr>
          <w:rFonts w:ascii="Arial" w:cs="Arial" w:eastAsia="Arial" w:hAnsi="Arial"/>
          <w:sz w:val="15"/>
          <w:szCs w:val="15"/>
          <w:color w:val="auto"/>
        </w:rPr>
        <w:t>" means, with respect to any Person for any period, the taxable income or loss of such Person for such period for federal income tax purposes as a result of such Persons equity ownership of Wynn Las Vegas, the Completion Guarantor, any Restricted Entity or any of their respective Restrictive</w:t>
      </w:r>
    </w:p>
    <w:p>
      <w:pPr>
        <w:sectPr>
          <w:pgSz w:w="11900" w:h="16908" w:orient="portrait"/>
          <w:cols w:equalWidth="0" w:num="1">
            <w:col w:w="11420"/>
          </w:cols>
          <w:pgMar w:left="240" w:top="131" w:right="239" w:bottom="0" w:gutter="0" w:footer="0" w:header="0"/>
        </w:sectPr>
      </w:pPr>
    </w:p>
    <w:bookmarkStart w:id="129" w:name="page130"/>
    <w:bookmarkEnd w:id="129"/>
    <w:p>
      <w:pPr>
        <w:ind w:right="360"/>
        <w:spacing w:after="0" w:line="268" w:lineRule="auto"/>
        <w:rPr>
          <w:sz w:val="20"/>
          <w:szCs w:val="20"/>
          <w:color w:val="auto"/>
        </w:rPr>
      </w:pPr>
      <w:r>
        <w:rPr>
          <w:rFonts w:ascii="Arial" w:cs="Arial" w:eastAsia="Arial" w:hAnsi="Arial"/>
          <w:sz w:val="18"/>
          <w:szCs w:val="18"/>
          <w:color w:val="auto"/>
        </w:rPr>
        <w:t>Subsidiaries that are Pass Through Entities for such period, so long as all items of income, gain, loss or deduction required to be stated separately pursuant to Section 703(a)(1) of the Code are included in taxable income or loss.</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(1) Desert Inn Improvement Co., (2) Wynn Completion Guarantor, LLC and (3) any Subsidiary of Wynn Las Vegas, other than Wynn Capital that is designated by the board of directors of Wynn Las Vegas as an Unrestricted Subsidiary pursuant to a resolution of the board of directors (and any Subsidiary of each such Unrestricted Subsidiary), but only to the extent that such Subsidiary of Wynn Las Vegas:</w:t>
      </w:r>
    </w:p>
    <w:p>
      <w:pPr>
        <w:spacing w:after="0" w:line="174" w:lineRule="exact"/>
        <w:rPr>
          <w:sz w:val="20"/>
          <w:szCs w:val="20"/>
          <w:color w:val="auto"/>
        </w:rPr>
      </w:pPr>
    </w:p>
    <w:p>
      <w:pPr>
        <w:ind w:left="540" w:hanging="532"/>
        <w:spacing w:after="0"/>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540" w:right="40" w:hanging="532"/>
        <w:spacing w:after="0" w:line="254"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either Issuer, any Restricted Entity, any Restricted Subsidiary of Wynn Las Vegas or any Restricted Entity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211"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Entity, nor any Restricted Subsidiary of Wynn Las Vegas or any Restricted Entity,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207"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Entity, any Restricted Subsidiary of Wynn Las Vegas or any Restricted Entity, or any Guarantor; and</w:t>
      </w:r>
    </w:p>
    <w:p>
      <w:pPr>
        <w:spacing w:after="0" w:line="21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Entity, any Restricted Subsidiary of Wynn Las Vegas or any Restricted Entity, or any Guarantor and has at least one executive officer that is not a director or executive officer of either Issuer, any Restricted Entity, any Restricted Subsidiary of Wynn Las Vegas or any Restricted Entity, or any Guarantor.</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Desert Inn Improvement Co. or any Unrestricted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Subsidiary of Wynn Las Vegas to be a Restricted Entity or a Restricted Subsidiary, as the case may be. Such designation shall be deemed to be an incurrence of Indebtedness by a Restricted Entity or a Restricted Subsidiary of Wynn Las Vegas, as the case may be, of any outstanding Indebtedness of such Unrestricted Subsidiary and such designation shall only be permitted if (1) such Indebtedness is permitted under the covenant described under the caption "Certain Covenants —Incurrence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 Transfer</w:t>
      </w:r>
      <w:r>
        <w:rPr>
          <w:rFonts w:ascii="Arial" w:cs="Arial" w:eastAsia="Arial" w:hAnsi="Arial"/>
          <w:sz w:val="18"/>
          <w:szCs w:val="18"/>
          <w:color w:val="auto"/>
        </w:rPr>
        <w:t>" means the transfer of the Valvino Water Permits by Valvino Lamore to Wynn Las Vegas at no cost, in accordance with all requirements of law and pursuant to all necessary consents of Governmental Authorities (including, if applicable, the Nevada PUC and the State of Nevada, Division of Water Resources), so long as:</w:t>
      </w:r>
    </w:p>
    <w:p>
      <w:pPr>
        <w:spacing w:after="0" w:line="208" w:lineRule="exact"/>
        <w:rPr>
          <w:sz w:val="20"/>
          <w:szCs w:val="20"/>
          <w:color w:val="auto"/>
        </w:rPr>
      </w:pPr>
    </w:p>
    <w:p>
      <w:pPr>
        <w:ind w:left="540" w:right="140" w:hanging="532"/>
        <w:spacing w:after="0" w:line="268"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designated place of use for water available for draw under the Valvino Water Permits shall include the real property upon which the water features of the Le Reve casino are located,</w:t>
      </w:r>
    </w:p>
    <w:p>
      <w:pPr>
        <w:spacing w:after="0" w:line="199"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either (i) no Points of Diversion with respect to the Water Permits and the wells associated with the Water Permits are located on the Phase II Land or (ii) Valvino Lamore shall have transferred at no cost:</w:t>
      </w:r>
    </w:p>
    <w:p>
      <w:pPr>
        <w:spacing w:after="0" w:line="200" w:lineRule="exact"/>
        <w:rPr>
          <w:sz w:val="20"/>
          <w:szCs w:val="20"/>
          <w:color w:val="auto"/>
        </w:rPr>
      </w:pPr>
    </w:p>
    <w:p>
      <w:pPr>
        <w:spacing w:after="0" w:line="229" w:lineRule="exact"/>
        <w:rPr>
          <w:sz w:val="20"/>
          <w:szCs w:val="20"/>
          <w:color w:val="auto"/>
        </w:rPr>
      </w:pPr>
    </w:p>
    <w:p>
      <w:pPr>
        <w:ind w:left="1080" w:right="240" w:hanging="532"/>
        <w:spacing w:after="0" w:line="306" w:lineRule="auto"/>
        <w:tabs>
          <w:tab w:leader="none" w:pos="10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the Valvino Water Permits and DIIC Casino Water Permit and the wells associated therewith located on the Phase II Land, such easements to Wynn Las Vegas as are necessary for Wynn Las Vegas to access such Points of Diversion, own and operate such wells and transport the water drawn therefrom to the water features of the Le Reve casino, and</w:t>
      </w:r>
    </w:p>
    <w:p>
      <w:pPr>
        <w:spacing w:after="0" w:line="174" w:lineRule="exact"/>
        <w:rPr>
          <w:rFonts w:ascii="Arial" w:cs="Arial" w:eastAsia="Arial" w:hAnsi="Arial"/>
          <w:sz w:val="16"/>
          <w:szCs w:val="16"/>
          <w:color w:val="auto"/>
        </w:rPr>
      </w:pPr>
    </w:p>
    <w:p>
      <w:pPr>
        <w:ind w:left="1080" w:right="20" w:hanging="532"/>
        <w:spacing w:after="0" w:line="256" w:lineRule="auto"/>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the case of Points of Diversion with respect to all other DIIC Water Permits and the wells associated therewith located on the Phase II Land, such easements to Wynn Las Vegas and Wynn Resorts Holdings as are necessary for Wynn Las Vegas and Wynn Resorts Holdings to access such Points of Diversion, own and operate such wells and transport the water drawn at such Points of Diversion and from such wells to the Golf Course Land,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Wynn Las Vegas and Wynn Resorts Holdings, as the case may be, shall have taken all actions required pursuant to the covenant captioned "—Additional Collateral; Acquisition of Assets or Property" with respect to any assets or property acquired pursuant to clause (2)(ii) of this definition.</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Permits</w:t>
      </w:r>
      <w:r>
        <w:rPr>
          <w:rFonts w:ascii="Arial" w:cs="Arial" w:eastAsia="Arial" w:hAnsi="Arial"/>
          <w:sz w:val="18"/>
          <w:szCs w:val="18"/>
          <w:color w:val="auto"/>
        </w:rPr>
        <w:t>" means, collectively, the permits identified as of the date of the indenture Permit No. 60164 (Cert. 15447) and Permit No. 60165 (Cert. 15448), in each case as shown in the records of the State of Nevada, Division of Water Resources, in Carson City, Nevada (and any successor or replacement permits thereto).</w:t>
      </w:r>
    </w:p>
    <w:p>
      <w:pPr>
        <w:sectPr>
          <w:pgSz w:w="11900" w:h="16838" w:orient="portrait"/>
          <w:cols w:equalWidth="0" w:num="1">
            <w:col w:w="11400"/>
          </w:cols>
          <w:pgMar w:left="240" w:top="131" w:right="259" w:bottom="0" w:gutter="0" w:footer="0" w:header="0"/>
        </w:sectPr>
      </w:pPr>
    </w:p>
    <w:bookmarkStart w:id="130" w:name="page131"/>
    <w:bookmarkEnd w:id="13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Companies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Desert Inn Water Company, LLC, a Nevada limited liability company,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Permits</w:t>
      </w:r>
      <w:r>
        <w:rPr>
          <w:rFonts w:ascii="Arial" w:cs="Arial" w:eastAsia="Arial" w:hAnsi="Arial"/>
          <w:sz w:val="18"/>
          <w:szCs w:val="18"/>
          <w:color w:val="auto"/>
        </w:rPr>
        <w:t>" means, collectively, the DIIC Water Permits and the Valvino Water Permits.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or appurtenant to property owned or leased by such Person, and (2) with respect to any property, any water stock, permits or entitlements and any other water rights related to or appurtenant to such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 Transfer</w:t>
      </w:r>
      <w:r>
        <w:rPr>
          <w:rFonts w:ascii="Arial" w:cs="Arial" w:eastAsia="Arial" w:hAnsi="Arial"/>
          <w:sz w:val="18"/>
          <w:szCs w:val="18"/>
          <w:color w:val="auto"/>
        </w:rPr>
        <w:t>" means collectively, (1) the Valvino Water Permit Transfer and (2) the DIIC Water Transfer.</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Production Agreement</w:t>
      </w:r>
      <w:r>
        <w:rPr>
          <w:rFonts w:ascii="Arial" w:cs="Arial" w:eastAsia="Arial" w:hAnsi="Arial"/>
          <w:sz w:val="18"/>
          <w:szCs w:val="18"/>
          <w:color w:val="auto"/>
        </w:rPr>
        <w:t>" means the Agreement, dated January 25, 2001, between Wynn Resorts Holdings and Calitri Services and Licensing Limited Liability Company, as amended, modified or otherwise supplemented from time to time in accordance with the covenant captioned "— Amendments to Certain Agreements."</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Supply Agreement</w:t>
      </w:r>
      <w:r>
        <w:rPr>
          <w:rFonts w:ascii="Arial" w:cs="Arial" w:eastAsia="Arial" w:hAnsi="Arial"/>
          <w:sz w:val="16"/>
          <w:szCs w:val="16"/>
          <w:color w:val="auto"/>
        </w:rPr>
        <w:t>" means the Water Supply Agreement, dated as of the date of indenture, between Desert Inn Improvement Co. and Wynn Las</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Vegas, as amended, modified or otherwise supplemented from time to time in accordance with the covenant captioned "—Amendments to Certain Agreements."</w:t>
      </w:r>
    </w:p>
    <w:p>
      <w:pPr>
        <w:spacing w:after="0" w:line="253"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Utility Land</w:t>
      </w:r>
      <w:r>
        <w:rPr>
          <w:rFonts w:ascii="Arial" w:cs="Arial" w:eastAsia="Arial" w:hAnsi="Arial"/>
          <w:sz w:val="18"/>
          <w:szCs w:val="18"/>
          <w:color w:val="auto"/>
        </w:rPr>
        <w:t>" means the approximately 0.17 acre tract of land located on the Golf Course Land owned by Desert Inn Improvement Co., as more particularly described in an exhibit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39" w:lineRule="exact"/>
        <w:rPr>
          <w:sz w:val="20"/>
          <w:szCs w:val="20"/>
          <w:color w:val="auto"/>
        </w:rPr>
      </w:pPr>
    </w:p>
    <w:p>
      <w:pPr>
        <w:ind w:left="540" w:right="160" w:hanging="532"/>
        <w:spacing w:after="0" w:line="259" w:lineRule="auto"/>
        <w:tabs>
          <w:tab w:leader="none" w:pos="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Wynn Design Agreement, dated as of October 4, 2002, between Wynn Las Vegas and Wynn Design, as amended, modified or otherwise supplemented from time to time in accordance with the covenant captioned "—Amendments to Certain Agreements."</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Employment Agreement</w:t>
      </w:r>
      <w:r>
        <w:rPr>
          <w:rFonts w:ascii="Arial" w:cs="Arial" w:eastAsia="Arial" w:hAnsi="Arial"/>
          <w:sz w:val="16"/>
          <w:szCs w:val="16"/>
          <w:color w:val="auto"/>
        </w:rPr>
        <w:t>" means the Employment Agreement, dated as of October 4, 2002, between Wynn Resorts and Stephen A. Wynn, as amended, modified or otherwise supplemented from time to time in accordance with the covenant caption "—Amendments to Certain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Group Entities</w:t>
      </w:r>
      <w:r>
        <w:rPr>
          <w:rFonts w:ascii="Arial" w:cs="Arial" w:eastAsia="Arial" w:hAnsi="Arial"/>
          <w:sz w:val="18"/>
          <w:szCs w:val="18"/>
          <w:color w:val="auto"/>
        </w:rPr>
        <w:t>" means (1) Palo, LLC, (2) Wynn Design, and (3) each of their respective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Put Agreement"</w:t>
      </w:r>
      <w:r>
        <w:rPr>
          <w:rFonts w:ascii="Arial" w:cs="Arial" w:eastAsia="Arial" w:hAnsi="Arial"/>
          <w:sz w:val="18"/>
          <w:szCs w:val="18"/>
          <w:color w:val="auto"/>
        </w:rPr>
        <w:t xml:space="preserve"> means the Agreement, dated as of June 13, 2002, among Stephen A. Wynn and Wynn Resorts, relating to the Buy-Sell Agreement, as amended, modified or otherwise supplemented from time to time in accordance with the Wynn Resort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Resorts Holdings</w:t>
      </w:r>
      <w:r>
        <w:rPr>
          <w:rFonts w:ascii="Arial" w:cs="Arial" w:eastAsia="Arial" w:hAnsi="Arial"/>
          <w:sz w:val="16"/>
          <w:szCs w:val="16"/>
          <w:color w:val="auto"/>
        </w:rPr>
        <w:t>" means Wynn Resorts Holdings, LLC, a Nevada limited liability company (formerly known as Wynn Resorts, LLC).</w:t>
      </w:r>
    </w:p>
    <w:p>
      <w:pPr>
        <w:sectPr>
          <w:pgSz w:w="11900" w:h="16838" w:orient="portrait"/>
          <w:cols w:equalWidth="0" w:num="1">
            <w:col w:w="11400"/>
          </w:cols>
          <w:pgMar w:left="240" w:top="131" w:right="259" w:bottom="452"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52" w:gutter="0" w:footer="0" w:header="0"/>
          <w:type w:val="continuous"/>
        </w:sectPr>
      </w:pPr>
    </w:p>
    <w:bookmarkStart w:id="131" w:name="page132"/>
    <w:bookmarkEnd w:id="131"/>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OTHER INDEBTEDNESS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165" w:lineRule="exact"/>
        <w:rPr>
          <w:sz w:val="20"/>
          <w:szCs w:val="20"/>
          <w:color w:val="auto"/>
        </w:rPr>
      </w:pPr>
    </w:p>
    <w:p>
      <w:pPr>
        <w:jc w:val="both"/>
        <w:ind w:left="1080" w:right="340" w:hanging="532"/>
        <w:spacing w:after="0" w:line="306" w:lineRule="auto"/>
        <w:tabs>
          <w:tab w:leader="none" w:pos="10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87"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When borrowings outstanding under our revolving credit facility equal or exceed $200 million, lead arrangers holding a majority of the commitments of the lead arrangers will have the right to convert $100 to $400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to use a total of $718.5 million of the proceeds of the credit facilities to finance development and construction of Le Rêve and to meet our pre-opening expenses and debt service obligations with an additional anticipated $28.5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40" w:hanging="532"/>
        <w:spacing w:after="0" w:line="259"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before Le Rêve opens, borrowings will bear interest, at Wynn Las Vegas' election, at either (i) the base rate plus a margin still to be determined for both revolving loans and term loans or (ii) the reserve adjusted Eurodollar Rate plus 4.00% per annum for revolving loans or the reserve adjusted Eurodollar Rate plus 5.50% per annum for term loans;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our leverage ratio.</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our revolving credit facility.</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308" w:lineRule="auto"/>
        <w:rPr>
          <w:sz w:val="20"/>
          <w:szCs w:val="20"/>
          <w:color w:val="auto"/>
        </w:rPr>
      </w:pPr>
      <w:r>
        <w:rPr>
          <w:rFonts w:ascii="Arial" w:cs="Arial" w:eastAsia="Arial" w:hAnsi="Arial"/>
          <w:sz w:val="15"/>
          <w:szCs w:val="15"/>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After completion and opening of Le Rêve, any amounts remaining in this account will be released to Wynn Resorts.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Under the credit facilities, subsidiaries and certain affiliates of Valvino will be considered restricted entities and will guarantee the obligations of Wynn Las Vegas under the credit facilities, and Wynn Resorts will guarantee the obligations of Wynn Las Vegas under the credit facilities, but will not be subject to the restrictive covenants. In the event that Wynn Resorts grants specified liens to secure other indebtedness or guarantees, then Wynn Resorts will also be required to</w:t>
      </w:r>
    </w:p>
    <w:p>
      <w:pPr>
        <w:sectPr>
          <w:pgSz w:w="11900" w:h="16923" w:orient="portrait"/>
          <w:cols w:equalWidth="0" w:num="1">
            <w:col w:w="11400"/>
          </w:cols>
          <w:pgMar w:left="240" w:top="341" w:right="259" w:bottom="0" w:gutter="0" w:footer="0" w:header="0"/>
        </w:sectPr>
      </w:pPr>
    </w:p>
    <w:bookmarkStart w:id="132" w:name="page133"/>
    <w:bookmarkEnd w:id="132"/>
    <w:p>
      <w:pPr>
        <w:ind w:right="280"/>
        <w:spacing w:after="0" w:line="306" w:lineRule="auto"/>
        <w:rPr>
          <w:sz w:val="20"/>
          <w:szCs w:val="20"/>
          <w:color w:val="auto"/>
        </w:rPr>
      </w:pPr>
      <w:r>
        <w:rPr>
          <w:rFonts w:ascii="Arial" w:cs="Arial" w:eastAsia="Arial" w:hAnsi="Arial"/>
          <w:sz w:val="16"/>
          <w:szCs w:val="16"/>
          <w:color w:val="auto"/>
        </w:rPr>
        <w:t>secure its guarantee of the credit facilities and the second mortgage notes. The obligations of each guarantor under its guarantee will be limited as necessary to reduce the risk that the guarantee would be treated as a fraudulent conveyance under applicable law. Each guarantee (except the unsecured Wynn Resorts guarantee) of the obligations under the credit facilities will be a senior secured obligation of each guarantor, secured by a security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interest in certain of the guarantors' existing and future assets,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issuers and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the issuers and the restricted entities (but not Wynn Resorts as a guarantor)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19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Wynn Resorts grants specified liens to secure other guarantees or indebtedness, then Wynn Resorts will be required to grant liens of equal priority on the same assets to secure the credit facilities.</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negative pledges;</w:t>
      </w:r>
    </w:p>
    <w:p>
      <w:pPr>
        <w:sectPr>
          <w:pgSz w:w="11900" w:h="16838" w:orient="portrait"/>
          <w:cols w:equalWidth="0" w:num="1">
            <w:col w:w="11420"/>
          </w:cols>
          <w:pgMar w:left="240" w:top="131" w:right="239" w:bottom="13" w:gutter="0" w:footer="0" w:header="0"/>
        </w:sectPr>
      </w:pPr>
    </w:p>
    <w:bookmarkStart w:id="133" w:name="page134"/>
    <w:bookmarkEnd w:id="133"/>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75" w:lineRule="exact"/>
        <w:rPr>
          <w:sz w:val="20"/>
          <w:szCs w:val="20"/>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issuers and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The FF&amp;E facility will be guaranteed by the same guarantors as the credit facilities, on a senior unsecured basis.</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jc w:val="both"/>
        <w:ind w:firstLine="348"/>
        <w:spacing w:after="0" w:line="318" w:lineRule="auto"/>
        <w:rPr>
          <w:sz w:val="20"/>
          <w:szCs w:val="20"/>
          <w:color w:val="auto"/>
        </w:rPr>
      </w:pPr>
      <w:r>
        <w:rPr>
          <w:rFonts w:ascii="Arial" w:cs="Arial" w:eastAsia="Arial" w:hAnsi="Arial"/>
          <w:sz w:val="15"/>
          <w:szCs w:val="15"/>
          <w:color w:val="auto"/>
        </w:rPr>
        <w:t>The project lenders intercreditor agreement will be entered into between the agent under our credit facilities and the trustee on behalf of the second mortgage note holders. The project lenders intercreditor agreement confirms that the liens granted to second mortgage note holders with respect to our assets and the assets pledged by the guarantors of the credit facilities and the second mortgage notes, other than the proceeds of this offering, are junior to liens on such assets granted to the lenders under the credit facilities. The project lenders intercreditor agreement also provides the lenders under our credit facilities with certain rights to make decisions regarding us, the guarantors and the pledged assets without the consent of the second mortgage note holders, and the agreement further materially limits</w:t>
      </w:r>
    </w:p>
    <w:p>
      <w:pPr>
        <w:sectPr>
          <w:pgSz w:w="11900" w:h="16838" w:orient="portrait"/>
          <w:cols w:equalWidth="0" w:num="1">
            <w:col w:w="11400"/>
          </w:cols>
          <w:pgMar w:left="240" w:top="145" w:right="259" w:bottom="0" w:gutter="0" w:footer="0" w:header="0"/>
        </w:sectPr>
      </w:pPr>
    </w:p>
    <w:bookmarkStart w:id="134" w:name="page135"/>
    <w:bookmarkEnd w:id="134"/>
    <w:p>
      <w:pPr>
        <w:ind w:right="440"/>
        <w:spacing w:after="0" w:line="268" w:lineRule="auto"/>
        <w:rPr>
          <w:sz w:val="20"/>
          <w:szCs w:val="20"/>
          <w:color w:val="auto"/>
        </w:rPr>
      </w:pPr>
      <w:r>
        <w:rPr>
          <w:rFonts w:ascii="Arial" w:cs="Arial" w:eastAsia="Arial" w:hAnsi="Arial"/>
          <w:sz w:val="18"/>
          <w:szCs w:val="18"/>
          <w:color w:val="auto"/>
        </w:rPr>
        <w:t>the rights of the second mortgage note holders to object to these decisions or to pursue remedies against us, the guarantors or the pledged assets. You should review the project lenders intercreditor agreement for a complete statement of its terms and conditions.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"Permanent" Standstill With Respect to Second Mortgage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provides that:</w:t>
      </w:r>
    </w:p>
    <w:p>
      <w:pPr>
        <w:spacing w:after="0" w:line="239" w:lineRule="exact"/>
        <w:rPr>
          <w:sz w:val="20"/>
          <w:szCs w:val="20"/>
          <w:color w:val="auto"/>
        </w:rPr>
      </w:pPr>
    </w:p>
    <w:p>
      <w:pPr>
        <w:ind w:left="1080" w:right="100" w:hanging="532"/>
        <w:spacing w:after="0" w:line="256"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there is a payment default or an acceleration with respect to the credit facilities then the agent under the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24"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at any time that there is any outstanding indebtedness under our credit facilities, 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shall have the right upon a default:</w:t>
      </w:r>
    </w:p>
    <w:p>
      <w:pPr>
        <w:spacing w:after="0" w:line="239" w:lineRule="exact"/>
        <w:rPr>
          <w:sz w:val="20"/>
          <w:szCs w:val="20"/>
          <w:color w:val="auto"/>
        </w:rPr>
      </w:pPr>
    </w:p>
    <w:p>
      <w:pPr>
        <w:ind w:left="108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apply funds, if any, then on deposit in the secured account holding the proceeds of the second mortgage notes to pay up to two interest payments on the second mortgage notes when due;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the second mortgage notes (so long as the actions are not adverse to the lenders under the credit facilities);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credit facilities (provided that the second mortgage note holders shall not be required in such circumstances to pay any prepayment charges payable under the terms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accelerate the indebtedness under the second mortgage notes;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Enforcement of Security Documents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 evidencing the liens in favor of the lenders under the credit facilities. Such enforcement actions may include:</w:t>
      </w:r>
    </w:p>
    <w:p>
      <w:pPr>
        <w:spacing w:after="0" w:line="221" w:lineRule="exact"/>
        <w:rPr>
          <w:sz w:val="20"/>
          <w:szCs w:val="20"/>
          <w:color w:val="auto"/>
        </w:rPr>
      </w:pPr>
    </w:p>
    <w:p>
      <w:pPr>
        <w:ind w:left="1080" w:hanging="532"/>
        <w:spacing w:after="0"/>
        <w:tabs>
          <w:tab w:leader="none" w:pos="10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enforcement of the FF&amp;E intercreditor agreement on behalf of the lenders under the credit facilities and the second mortgage note 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exercise of rights of setoff;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delivery of notices, claims and demands relating to the collateral, including instructions to depositary institutions holding pledged accounts to suspend further disbursements from such accounts.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213" w:lineRule="exact"/>
        <w:rPr>
          <w:sz w:val="20"/>
          <w:szCs w:val="20"/>
          <w:color w:val="auto"/>
        </w:rPr>
      </w:pPr>
    </w:p>
    <w:p>
      <w:pPr>
        <w:ind w:left="1080" w:right="240" w:hanging="532"/>
        <w:spacing w:after="0" w:line="256"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until such time as there is a payment default or an acceleration with respect to the indebtedness under the credit facilities, the agent shall not instruct any depositary institutions holding pledged accounts to suspend disbursements for expenses reasonably necessary or appropriate for the conduct of the business of Wynn Las Vegas or Wynn Capital, or for payment of debt service on permitted secured debt (including the second mortgage notes and the FF&amp;E facility), and</w:t>
      </w:r>
    </w:p>
    <w:p>
      <w:pPr>
        <w:spacing w:after="0" w:line="210"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at any time when the outstanding indebtedness under the credit facilities is less than $100,000,000 and unless otherwise agreed by the trustee, the agent under our credit facilities shall not complete a foreclosure sale with respect to the pledged collateral on account of a particular default until at least 180 days after the trustee has received written notice of the default; provided that this limitation shall not limit foreclosure of liens granted by any of the guarantors with respect to the credit facilities to the extent that such liens encumber equity interests in Wynn Las Vegas, Wynn Capital or any of their affiliates, or the foreclosure of other assets that are not related in a material respect to the operation of the business at the project.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Further Authority of the Agent under our Credit Facilities to Effect Waivers and Amendments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project lenders intercreditor agreement provides that from and after the first funding under the credit facilities, the agent under our credit facilities shall have the right to waive defaults and effect amendments under the disbursement agreement and the security documents without being required to obtain the consent of the trustee or the holders of the second mortgage notes. Any such waivers or amendments shall be effective with respect to the second mortgage notes. Notwithstanding the foregoing, except with respect to the Phase II land and the golf course parcel and related collateral, any such waiver or amendment approved by the lenders under the credit facilities shall not release liens on the collateral or modify any provisions of the second mortgage notes indenture without the consent of the trustee. The agent under our credit facilities is further authorized to effect certain amendments regarding the scope of the project without the consent of the trustee, the holders of the second mortgage notes or the FF&amp;E lenders. See "Disbursement Agreement."</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1420"/>
          </w:cols>
          <w:pgMar w:left="240" w:top="131" w:right="239" w:bottom="0" w:gutter="0" w:footer="0" w:header="0"/>
          <w:type w:val="continuous"/>
        </w:sectPr>
      </w:pPr>
    </w:p>
    <w:bookmarkStart w:id="135" w:name="page136"/>
    <w:bookmarkEnd w:id="13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in any bankruptcy of Wynn Las Vegas, Wynn Capital or any of the guarantors, the trustee and the second mortgage note holders shall not:</w:t>
      </w:r>
    </w:p>
    <w:p>
      <w:pPr>
        <w:spacing w:after="0" w:line="199" w:lineRule="exact"/>
        <w:rPr>
          <w:sz w:val="20"/>
          <w:szCs w:val="20"/>
          <w:color w:val="auto"/>
        </w:rPr>
      </w:pPr>
    </w:p>
    <w:p>
      <w:pPr>
        <w:ind w:left="108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(and the lenders correspondingly shall agree not to take any action challenging the liens in favor of the second mortgage note holders);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any motion of the agent under our credit facilities for relief from the automatic stay or any injunction against foreclosure or enforcement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at any foreclosure sale;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our credit facilities, so long as such use of cash collateral calls for:</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2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or Wynn Capital, or for the preservation of the collateral;</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the second mortgage notes;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bankruptcy administrative expenses;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holding two-thirds of the outstanding amount of loans under the credit facilities have voted to accept such plan.</w:t>
      </w:r>
    </w:p>
    <w:p>
      <w:pPr>
        <w:spacing w:after="0" w:line="18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foregoing provisions shall not restrict the trustee and the second mortgage note holders from voting unsecured claims based upon the indebtedness owed on the second mortgage notes, or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as a basis for opposing relief sought in the bankruptcy that has been approved by the agent under our credit facilities.)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Waivers by Second Mortgage Note Holders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project lenders intercreditor agreement, the second mortgage note holders waive certain rights generally afforded junior creditors relative to senior creditors under applicable law, including each of the following:</w:t>
      </w:r>
    </w:p>
    <w:p>
      <w:pPr>
        <w:spacing w:after="0" w:line="199" w:lineRule="exact"/>
        <w:rPr>
          <w:sz w:val="20"/>
          <w:szCs w:val="20"/>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right to challenge the liens of the lenders under the credit facilities based upon any of the following:</w:t>
      </w:r>
    </w:p>
    <w:p>
      <w:pPr>
        <w:spacing w:after="0" w:line="225" w:lineRule="exact"/>
        <w:rPr>
          <w:rFonts w:ascii="Arial" w:cs="Arial" w:eastAsia="Arial" w:hAnsi="Arial"/>
          <w:sz w:val="18"/>
          <w:szCs w:val="18"/>
          <w:color w:val="auto"/>
        </w:rPr>
      </w:pPr>
    </w:p>
    <w:p>
      <w:pPr>
        <w:ind w:left="1080" w:right="20" w:firstLine="360"/>
        <w:spacing w:after="0" w:line="259" w:lineRule="auto"/>
        <w:tabs>
          <w:tab w:leader="none" w:pos="172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(even if conditions to such advances have not been satisfied, so long as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our credit facilities;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firstLine="360"/>
        <w:spacing w:after="0" w:line="259" w:lineRule="auto"/>
        <w:tabs>
          <w:tab w:leader="none" w:pos="17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 increase or reduction in the available credit under the credit facilities or the amounts payable on debt outstanding thereunder (provided that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credit facilities.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our credit facilities other than gross negligence or willful misconduct, to the maximum extent permitted by law.</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second mortgage note holders further waive any claim that the agent under our credit facilities has any duty, to keep the trustee or the second mortgage note holders informed as to circumstances bearing upon the risk of non payment of the credit facilities or the second mortgage notes.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the intercreditor arrangements described above also shall apply to any replacement debt arising as a consequence of refinancing of the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w:t>
      </w:r>
    </w:p>
    <w:p>
      <w:pPr>
        <w:sectPr>
          <w:pgSz w:w="11900" w:h="16867" w:orient="portrait"/>
          <w:cols w:equalWidth="0" w:num="1">
            <w:col w:w="11400"/>
          </w:cols>
          <w:pgMar w:left="240" w:top="374" w:right="259" w:bottom="0" w:gutter="0" w:footer="0" w:header="0"/>
        </w:sectPr>
      </w:pPr>
    </w:p>
    <w:bookmarkStart w:id="136" w:name="page137"/>
    <w:bookmarkEnd w:id="136"/>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following summary of the material provisions of the FF&amp;E intercreditor agreement is not meant to be complete and you should review the FF&amp;E intercreditor agreement for a complete statement of its terms and conditions, including the definitions of terms used below. The FF&amp;E intercreditor agreement focuses in particular on the exercise of remedies in respect of the furniture, fixtures and equipment financed under the FF&amp;E facility, referred to as the FF&amp;E collateral, and includes the following material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Lien Priorities.</w:t>
      </w:r>
    </w:p>
    <w:p>
      <w:pPr>
        <w:spacing w:after="0" w:line="225"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30" w:lineRule="exact"/>
        <w:rPr>
          <w:sz w:val="20"/>
          <w:szCs w:val="20"/>
          <w:color w:val="auto"/>
        </w:rPr>
      </w:pPr>
    </w:p>
    <w:p>
      <w:pPr>
        <w:ind w:left="1080" w:hanging="532"/>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FF&amp;E lenders will have a senior, first priority security interest in the FF&amp;E collateral, including the aircraft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a second priority security interest in the FF&amp;E collateral excluding the aircraft collateral;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second mortgage note holders will have a third priority security interest in the FF&amp;E collateral excluding the aircraft collateral;</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lenders under the credit facilities and the second mortgage note holders shall have first and second priority liens, respectively, upon all other assets pledged by us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restricted entities except that the second mortgage note holders shall have a first priority security interest in the proceeds of this offering.</w:t>
      </w:r>
    </w:p>
    <w:p>
      <w:pPr>
        <w:spacing w:after="0" w:line="275" w:lineRule="exact"/>
        <w:rPr>
          <w:sz w:val="20"/>
          <w:szCs w:val="20"/>
          <w:color w:val="auto"/>
        </w:rPr>
      </w:pPr>
    </w:p>
    <w:p>
      <w:pPr>
        <w:ind w:left="360" w:right="1180" w:firstLine="188"/>
        <w:spacing w:after="0" w:line="501" w:lineRule="auto"/>
        <w:tabs>
          <w:tab w:leader="none" w:pos="108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FF&amp;E lenders shall not have a lien upon any of our assets or the assets of the restricted entities other than the FF&amp;E collateral. In addition, each party has agreed not to challenge the other's liens.</w:t>
      </w:r>
    </w:p>
    <w:p>
      <w:pPr>
        <w:spacing w:after="0"/>
        <w:rPr>
          <w:sz w:val="20"/>
          <w:szCs w:val="20"/>
          <w:color w:val="auto"/>
        </w:rPr>
      </w:pPr>
      <w:r>
        <w:rPr>
          <w:rFonts w:ascii="Arial" w:cs="Arial" w:eastAsia="Arial" w:hAnsi="Arial"/>
          <w:sz w:val="18"/>
          <w:szCs w:val="18"/>
          <w:i w:val="1"/>
          <w:iCs w:val="1"/>
          <w:color w:val="auto"/>
        </w:rPr>
        <w:t>Standstill Period.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after completion of Le Rêve, in each case, so long as all interest, fees, indemnities and expenses of the FF&amp;E lenders have been paid current.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 Vegas, Wynn Capital and the FF&amp;E collateral if a bankruptcy proceeding has been initiated by or against against Wynn Las Vegas, Wynn Capital or the guarantors or if the lenders under our credit facilities or the second mortgage note holders have commenced exercising remedies against us or the guarantors.</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Subject to certain exceptions,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Debt Allocable to FF&amp;E Collateral and Release of FF&amp;E Lenders Lien on FF&amp;E Collateral.</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Relating to Junior Liens on FF&amp;E Collateral.</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FF&amp;E intercreditor agreement includes the following provisions which apply to the liens of the lenders under the credit facilities and the second mortgage note holders on the FF&amp;E collateral:</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Until and unless the indebtedness under the FF&amp;E facility (other than the portion thereof allocable to the aircraft collateral) is paid in full as described under the subheading "Payoff of Debt Allocable to FF&amp;E Collateral and Release of FF&amp;E Lenders Lien on FF&amp;E Collateral"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8"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ectPr>
          <w:pgSz w:w="11900" w:h="16843" w:orient="portrait"/>
          <w:cols w:equalWidth="0" w:num="1">
            <w:col w:w="11420"/>
          </w:cols>
          <w:pgMar w:left="240" w:top="131" w:right="239" w:bottom="0" w:gutter="0" w:footer="0" w:header="0"/>
        </w:sectPr>
      </w:pPr>
    </w:p>
    <w:bookmarkStart w:id="137" w:name="page138"/>
    <w:bookmarkEnd w:id="137"/>
    <w:p>
      <w:pPr>
        <w:ind w:left="1080" w:hanging="532"/>
        <w:spacing w:after="0"/>
        <w:tabs>
          <w:tab w:leader="none" w:pos="10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enforce remedies with respect to the FF&amp;E collateral if the default occurs when there is no outstanding indebtedness under the FF&amp;E facility;</w:t>
      </w:r>
    </w:p>
    <w:p>
      <w:pPr>
        <w:spacing w:after="0" w:line="275"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pay off the outstanding FF&amp;E indebtedness as provided under the subheading Payoff of Debt Allocable to FF&amp;E Collateral and Release of FF&amp;E Lenders Lien on FF&amp;E Collateral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accelerate the indebtedness under the credit facilities or second mortgage notes, as the case may be;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credit facilities or second mortgage notes, as the case may be.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99" w:lineRule="exact"/>
        <w:rPr>
          <w:sz w:val="20"/>
          <w:szCs w:val="20"/>
          <w:color w:val="auto"/>
        </w:rPr>
      </w:pPr>
    </w:p>
    <w:p>
      <w:pPr>
        <w:ind w:left="1080" w:right="4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opposing or otherwise contesting any motion of the FF&amp;E lenders for relief from the automatic stay or any injunction against foreclosure or enforcement of any liens of the FF&amp;E lenders; or</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opposing or otherwise contesting any exercise by the FF&amp;E lenders of the right to credit bid any portion of the FF&amp;E facility debt at any sale in foreclosure of any of the liens of the FF&amp;E lenders.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the FF&amp;E intercreditor agreement, each of the bank agent and the trustee waive each of the following with respect to their junior liens on the FF&amp;E collateral:</w:t>
      </w:r>
    </w:p>
    <w:p>
      <w:pPr>
        <w:spacing w:after="0" w:line="199" w:lineRule="exact"/>
        <w:rPr>
          <w:sz w:val="20"/>
          <w:szCs w:val="20"/>
          <w:color w:val="auto"/>
        </w:rPr>
      </w:pPr>
    </w:p>
    <w:p>
      <w:pPr>
        <w:ind w:left="1080" w:hanging="532"/>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change in the manner, place or terms of any payment under the FF&amp;E facility, or an extension of the date on which any such payment is due, to the extent such changes are permitted;</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 increase in the available credit under the FF&amp;E facility or the reduction of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any exercise of rights or remedies by the FF&amp;E lenders under any FF&amp;E security documents.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 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with Foreclosure Purchaser.</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w:t>
      </w:r>
    </w:p>
    <w:p>
      <w:pPr>
        <w:sectPr>
          <w:pgSz w:w="11900" w:h="16838" w:orient="portrait"/>
          <w:cols w:equalWidth="0" w:num="1">
            <w:col w:w="11360"/>
          </w:cols>
          <w:pgMar w:left="240" w:top="145" w:right="299" w:bottom="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4763"/>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360"/>
          </w:cols>
          <w:pgMar w:left="240" w:top="145" w:right="299" w:bottom="0" w:gutter="0" w:footer="0" w:header="0"/>
          <w:type w:val="continuous"/>
        </w:sectPr>
      </w:pPr>
    </w:p>
    <w:bookmarkStart w:id="138" w:name="page139"/>
    <w:bookmarkEnd w:id="13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ind w:right="120"/>
        <w:spacing w:after="0" w:line="298" w:lineRule="auto"/>
        <w:rPr>
          <w:sz w:val="20"/>
          <w:szCs w:val="20"/>
          <w:color w:val="auto"/>
        </w:rPr>
      </w:pPr>
      <w:r>
        <w:rPr>
          <w:rFonts w:ascii="Arial" w:cs="Arial" w:eastAsia="Arial" w:hAnsi="Arial"/>
          <w:sz w:val="16"/>
          <w:szCs w:val="16"/>
          <w:color w:val="auto"/>
        </w:rPr>
        <w:t>proceeding and the expiration of certain specified time periods, pending such removal by 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 FF&amp;E intercreditor agreement provides that such actions are not intended to prevent the lenders under our credit facilities or the second mortgage note holders from foreclosing on their collateral, other than the FF&amp;E collateral.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Bank Facility and FF&amp;E Facility.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Except for refinancings of our credit facilities or the FF&amp;E facility, each of the credit facilities and the FF&amp;E facility shall require all prepayments by us under either such facility, other than prepayments from proceeds of the collateral, to be accompanied by a pro rata prepayment of the other facility and, in the case of the FF&amp;E facility, between the debt allocable to the airplane collateral and the debt allocable to the other FF&amp;E collateral (in each case, based on the outstanding principal amount of each such facility). Notwithstanding the foregoing, any prepayments of the revolving credit facility which are not accompanied by a corresponding reduction in the commitment under such facility shall be permitted without a corresponding prepayment of the FF&amp;E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we are not permitted to use the proceeds for rebuilding (whether before or after completion), then the FF&amp;E intercreditor agreement will require that the proceeds be allocated between the FF&amp;E collateral and the other collateral securing the credit facilities and the second mortgage notes as follows:</w:t>
      </w:r>
    </w:p>
    <w:p>
      <w:pPr>
        <w:spacing w:after="0" w:line="153" w:lineRule="exact"/>
        <w:rPr>
          <w:sz w:val="20"/>
          <w:szCs w:val="20"/>
          <w:color w:val="auto"/>
        </w:rPr>
      </w:pPr>
    </w:p>
    <w:p>
      <w:pPr>
        <w:ind w:left="1080" w:right="540" w:hanging="532"/>
        <w:spacing w:after="0" w:line="259"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amounts so allocated shall be applied to reduce the indebtedness secured by such collateral, in order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Remove FF&amp;E Collateral.</w:t>
      </w:r>
    </w:p>
    <w:p>
      <w:pPr>
        <w:spacing w:after="0" w:line="22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66" w:lineRule="exact"/>
        <w:rPr>
          <w:sz w:val="20"/>
          <w:szCs w:val="20"/>
          <w:color w:val="auto"/>
        </w:rPr>
      </w:pPr>
    </w:p>
    <w:p>
      <w:pPr>
        <w:ind w:left="5580" w:right="2660" w:hanging="5032"/>
        <w:spacing w:after="0" w:line="519" w:lineRule="auto"/>
        <w:tabs>
          <w:tab w:leader="none" w:pos="108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enter the project's real property, inspect and/or remove the FF&amp;E collateral and all records relating thereto; 243</w:t>
      </w:r>
    </w:p>
    <w:p>
      <w:pPr>
        <w:spacing w:after="0" w:line="22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limited right to store the FF&amp;E collateral on site under certain circumstances and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-710565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 agent or the trustee shall have any responsibility to advise any of the others (or the members of the others' lending groups) of such information or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agent, and Deutsche Bank Trust Company Americas, as the disbursement agent. This summary is qualified in its entirety by reference to the contract itself.</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w:t>
      </w:r>
    </w:p>
    <w:p>
      <w:pPr>
        <w:sectPr>
          <w:pgSz w:w="11900" w:h="16921" w:orient="portrait"/>
          <w:cols w:equalWidth="0" w:num="1">
            <w:col w:w="11420"/>
          </w:cols>
          <w:pgMar w:left="240" w:top="712" w:right="239" w:bottom="0" w:gutter="0" w:footer="0" w:header="0"/>
        </w:sectPr>
      </w:pPr>
    </w:p>
    <w:bookmarkStart w:id="139" w:name="page140"/>
    <w:bookmarkEnd w:id="139"/>
    <w:p>
      <w:pPr>
        <w:spacing w:after="0" w:line="294" w:lineRule="auto"/>
        <w:rPr>
          <w:sz w:val="20"/>
          <w:szCs w:val="20"/>
          <w:color w:val="auto"/>
        </w:rPr>
      </w:pPr>
      <w:r>
        <w:rPr>
          <w:rFonts w:ascii="Arial" w:cs="Arial" w:eastAsia="Arial" w:hAnsi="Arial"/>
          <w:sz w:val="16"/>
          <w:szCs w:val="16"/>
          <w:color w:val="auto"/>
        </w:rPr>
        <w:t>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 offering of common stock, and our other available funds, to commence construction of Le Rêve. Pursuant to the disbursement agreement, as a condition to borrowing under the credit facilities or the FF&amp;E facility or receiving disbursements from the secured accounts, we will be required to submit evidence acceptable to the construction consultant that the construction of Le Rêve has been completed to that point in accordance with our plans and specifications, on budget and on schedule.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Order</w:t>
      </w:r>
    </w:p>
    <w:p>
      <w:pPr>
        <w:spacing w:after="0" w:line="225" w:lineRule="exact"/>
        <w:rPr>
          <w:sz w:val="20"/>
          <w:szCs w:val="20"/>
          <w:color w:val="auto"/>
        </w:rPr>
      </w:pPr>
    </w:p>
    <w:p>
      <w:pPr>
        <w:ind w:right="940" w:firstLine="348"/>
        <w:spacing w:after="0" w:line="332" w:lineRule="auto"/>
        <w:rPr>
          <w:sz w:val="20"/>
          <w:szCs w:val="20"/>
          <w:color w:val="auto"/>
        </w:rPr>
      </w:pPr>
      <w:r>
        <w:rPr>
          <w:rFonts w:ascii="Arial" w:cs="Arial" w:eastAsia="Arial" w:hAnsi="Arial"/>
          <w:sz w:val="16"/>
          <w:szCs w:val="16"/>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53" w:lineRule="exact"/>
        <w:rPr>
          <w:sz w:val="20"/>
          <w:szCs w:val="20"/>
          <w:color w:val="auto"/>
        </w:rPr>
      </w:pPr>
    </w:p>
    <w:p>
      <w:pPr>
        <w:ind w:left="1080" w:hanging="532"/>
        <w:spacing w:after="0"/>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first, by using a substantial portion of the cash equity contribution made to Wynn Las Vegas by Wynn Resorts, until exhaustion thereof;</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second, by using the proceeds from the issuance of the second mortgage notes other than amounts sufficient to pay interest on the notes on the two ensuing payment dates, until exhaustion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60" w:hanging="532"/>
        <w:spacing w:after="0" w:line="268"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third, by using the proceeds of the credit facilities and the FF&amp;E facility, and with respect to interest due on the notes, by using any remaining proceeds from the issuance of the second mortgage notes.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selected by the lenders under our FF&amp;E facility, 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approved by the FF&amp;E lenders,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pacing w:after="0" w:line="178"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Immediately prior to completion of the project, the agent under our FF&amp;E facility shall obtain an appraisal of the fair market value of the FF&amp;E collateral (excluding the aircraft)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(excluding the aircraft)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 (excluding the aircraft).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Accounts</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accounts will include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Company's Funds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shall be deposited into the company's funds account, among other things:</w:t>
      </w:r>
    </w:p>
    <w:p>
      <w:pPr>
        <w:spacing w:after="0" w:line="239" w:lineRule="exact"/>
        <w:rPr>
          <w:sz w:val="20"/>
          <w:szCs w:val="20"/>
          <w:color w:val="auto"/>
        </w:rPr>
      </w:pPr>
    </w:p>
    <w:p>
      <w:pPr>
        <w:ind w:left="5580" w:right="2500" w:hanging="5032"/>
        <w:spacing w:after="0" w:line="519" w:lineRule="auto"/>
        <w:tabs>
          <w:tab w:leader="none" w:pos="108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all cash equity contributions required to be made to Wynn Las Vegas from the equity offering of Wynn Resorts, 246</w:t>
      </w:r>
    </w:p>
    <w:p>
      <w:pPr>
        <w:spacing w:after="0" w:line="23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funds transferred from the operating account, the completion guarantee deposit account and the liquidity reserve account pursuant to the terms of the disbursement agreement,</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all amounts received by Wynn Las Vegas, Wynn Design &amp; Development or Wynn Capital prior to the final completion date in respect of liquidated or other damages under the project documents and the insurance policies, amounts paid to Wynn Las Vegas under the Austi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-911225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0" w:name="page141"/>
    <w:bookmarkEnd w:id="140"/>
    <w:p>
      <w:pPr>
        <w:ind w:left="1080"/>
        <w:spacing w:after="0"/>
        <w:rPr>
          <w:sz w:val="20"/>
          <w:szCs w:val="20"/>
          <w:color w:val="auto"/>
        </w:rPr>
      </w:pPr>
      <w:r>
        <w:rPr>
          <w:rFonts w:ascii="Arial" w:cs="Arial" w:eastAsia="Arial" w:hAnsi="Arial"/>
          <w:sz w:val="18"/>
          <w:szCs w:val="18"/>
          <w:color w:val="auto"/>
        </w:rPr>
        <w:t>guaranty and any payment and performance bond;</w:t>
      </w:r>
    </w:p>
    <w:p>
      <w:pPr>
        <w:spacing w:after="0" w:line="239" w:lineRule="exact"/>
        <w:rPr>
          <w:sz w:val="20"/>
          <w:szCs w:val="20"/>
          <w:color w:val="auto"/>
        </w:rPr>
      </w:pPr>
    </w:p>
    <w:p>
      <w:pPr>
        <w:ind w:left="1080" w:right="60" w:hanging="532"/>
        <w:spacing w:after="0" w:line="256"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loss proceeds received by Wynn Las Vegas, Wynn Capital, Wynn Design &amp; Development,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24"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other funds or amounts received by Wynn Las Vegas, Wynn Capital or Wynn Design &amp; Development and not otherwise provided for in the disbursement agreement, in each case, prior to termination of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380" w:hanging="532"/>
        <w:spacing w:after="0" w:line="268" w:lineRule="auto"/>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applied to prepayment of the obligations as set forth in the disbursement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 Proceeds Account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Disbursement Account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 account. Subject to certain exceptions, amounts on deposit in the disbursement account shall be applied to pay project costs and/or transferred by the disbursement agent to the cash management account or the interest payment account.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Management Account</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the closing date, an agreed upon amount shall be deposited into the cash management account. Subject to certain exceptions, Wynn Las Vegas, Wynn Capital and Wynn Design &amp; Development shall be permitted from time to time to draw checks on and otherwise withdraw amounts on deposit in the cash management account to pay costs set forth in the budget that are then due and payable. Wynn Las Vegas, Wynn Capital and Wynn Design &amp; Development shall be permitted from time to time to 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Wynn Design &amp; Development and the disbursement agent (in consultation with the construction consultant).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Payment Account</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Account</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There shall be deposited in the operating account all revenues received by Wynn Las Vegas, Wynn Capital or Wynn Design &amp; Development as a consequence of sales of goods or rendering of services in the ordinary course of business prior to the completion date. In addition, there shall be deposited in the operating account funds transferred from the company's funds account to pay operating costs prior to the completion date (excluding certain cash held on site in connection with ordinary casino operations). Subject to the disbursement agent's rights upon the occurrence of an event of default, Wynn Las Vegas, Wynn Capital and Wynn Design &amp; Development shall be permitted from time to time to draw checks on and otherwise withdraw amounts on deposit in the operating account to pay due and payable operating costs. Until the opening date, if the amounts on deposit in the operating account exceed a specified amount, such excess shall be withdrawn and deposited in the company's funds account (provided that pre-opening deposits made by customers shall not be counted for purposes of determining whether this threshold has been exceeded). The foregoing limit on amounts on deposit in the operating account shall be increased upon opening to an amount mutually agreed upon by Wynn Capital, Wynn Las Vegas, Wynn Design &amp; Development and the disbursement agent.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1420"/>
          </w:cols>
          <w:pgMar w:left="240" w:top="131" w:right="239" w:bottom="0" w:gutter="0" w:footer="0" w:header="0"/>
          <w:type w:val="continuous"/>
        </w:sectPr>
      </w:pPr>
    </w:p>
    <w:bookmarkStart w:id="141" w:name="page142"/>
    <w:bookmarkEnd w:id="14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After completion and opening of Le Rêve, any amounts remaining in this account will be released to Wynn Resorts.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 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Once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Conditions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From the initial funding of the second mortgage notes and until final completion has been achieved, we will be required to satisfy conditions precedent before we are permitted to receive funds from the disbursement accounts. These conditions will include, among others:</w:t>
      </w:r>
    </w:p>
    <w:p>
      <w:pPr>
        <w:spacing w:after="0" w:line="153" w:lineRule="exact"/>
        <w:rPr>
          <w:sz w:val="20"/>
          <w:szCs w:val="20"/>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800" w:hanging="532"/>
        <w:spacing w:after="0" w:line="268"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the use of funds in accordance with the budgeted amounts, as adjusted from time to time in accordance with the disbursement agreement,</w:t>
      </w:r>
    </w:p>
    <w:p>
      <w:pPr>
        <w:spacing w:after="0" w:line="261"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199"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our receipt of the governmental approvals then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74" w:right="239" w:bottom="0" w:gutter="0" w:footer="0" w:header="0"/>
        </w:sectPr>
      </w:pPr>
    </w:p>
    <w:bookmarkStart w:id="142" w:name="page143"/>
    <w:bookmarkEnd w:id="142"/>
    <w:p>
      <w:pPr>
        <w:ind w:left="1080" w:right="180"/>
        <w:spacing w:after="0" w:line="332" w:lineRule="auto"/>
        <w:rPr>
          <w:sz w:val="20"/>
          <w:szCs w:val="20"/>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Reve project in the event that one of our major stockholders is unable to qualify for such license; and</w:t>
      </w:r>
    </w:p>
    <w:p>
      <w:pPr>
        <w:spacing w:after="0" w:line="153" w:lineRule="exact"/>
        <w:rPr>
          <w:sz w:val="20"/>
          <w:szCs w:val="20"/>
          <w:color w:val="auto"/>
        </w:rPr>
      </w:pPr>
    </w:p>
    <w:p>
      <w:pPr>
        <w:ind w:left="1080" w:right="160" w:hanging="532"/>
        <w:spacing w:after="0" w:line="332" w:lineRule="auto"/>
        <w:tabs>
          <w:tab w:leader="none" w:pos="10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From the initial funding of the second mortgage notes through exhaustion of the amounts on deposit in the second mortgage notes proceeds account, other than the portion thereof reserved to pay interest on the notes on the two ensuing payment dates,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other than the portion thereof reserved to pay interest on the notes on the two ensuing payment dates, the bank agent (acting under the credit facilities agreement) shall be entitled to waive the conditions precedent to advances under the disbursement agreement with respect to advances under the credit facilities and from the company's funds account without the trustee's or the FF&amp;E agent's consent. The FF&amp;E agent (acting under the FF&amp;E facility agreement) shall at all times be entitled to waive the conditions precedent to advances 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with respect to advances under the FF&amp;E facility without the bank agent's or the trustee's consent.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to Construction Budget and Schedule</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52" w:lineRule="exact"/>
        <w:rPr>
          <w:sz w:val="20"/>
          <w:szCs w:val="20"/>
          <w:color w:val="auto"/>
        </w:rPr>
      </w:pPr>
    </w:p>
    <w:p>
      <w:pPr>
        <w:ind w:left="1080" w:hanging="532"/>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have the ability to extend the completion date for a limited period beyond September 30, 2005 due to force majeure events.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52" w:lineRule="exact"/>
        <w:rPr>
          <w:sz w:val="20"/>
          <w:szCs w:val="20"/>
          <w:color w:val="auto"/>
        </w:rPr>
      </w:pPr>
    </w:p>
    <w:p>
      <w:pPr>
        <w:ind w:left="1080" w:right="52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repay all indebtedness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maintain our existence and engage only in the business permitted by the disbursement agreement;</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permit the mortgage note trustee to inspect the project and to examine our books and records;</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cause to be deposited into the company's funds account all additional required equity as and when required;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cause certain unincorporated materials to be stored and identified in accordance with specific requirements;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43" w:name="page144"/>
    <w:bookmarkEnd w:id="143"/>
    <w:p>
      <w:pPr>
        <w:spacing w:after="0" w:line="67"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to cause Marnell Corrao to cause its subcontractors working under a subcontract with a value more than $25.0 million to provide a payment and performance bond to secure its obligations under its subcontract;</w:t>
      </w:r>
    </w:p>
    <w:p>
      <w:pPr>
        <w:spacing w:after="0" w:line="199" w:lineRule="exact"/>
        <w:rPr>
          <w:sz w:val="20"/>
          <w:szCs w:val="20"/>
          <w:color w:val="auto"/>
        </w:rPr>
      </w:pPr>
    </w:p>
    <w:p>
      <w:pPr>
        <w:ind w:left="1080" w:right="140" w:hanging="532"/>
        <w:spacing w:after="0" w:line="268" w:lineRule="auto"/>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maintain and preserve the liens of the security documents and the priority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disbursement agreement will also require us and the restricted entities to comply with negative covenants. These covenants will limit, among other things, our and the restricted entities' ability to:</w:t>
      </w:r>
    </w:p>
    <w:p>
      <w:pPr>
        <w:spacing w:after="0" w:line="199" w:lineRule="exact"/>
        <w:rPr>
          <w:sz w:val="20"/>
          <w:szCs w:val="20"/>
          <w:color w:val="auto"/>
        </w:rPr>
      </w:pPr>
    </w:p>
    <w:p>
      <w:pPr>
        <w:ind w:left="1080" w:right="20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waive or terminate any material right under the Marnell Corrao construction contract, the construction contract guarantee, other material project documents or any required governmental approval;</w:t>
      </w:r>
    </w:p>
    <w:p>
      <w:pPr>
        <w:spacing w:after="0" w:line="212"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is not permitted by a project document;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hanging="532"/>
        <w:spacing w:after="0"/>
        <w:tabs>
          <w:tab w:leader="none" w:pos="10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From and after the first funding under the credit facilities, the bank agent, without the consent of the trustee or the lenders under our FF&amp;E facility, shall have the right to agree with Wynn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Las Vegas, Wynn Capital and Wynn Design &amp; Development to reduce the scope of the project, so long as after giving effect to the amendment:</w:t>
      </w:r>
    </w:p>
    <w:p>
      <w:pPr>
        <w:spacing w:after="0" w:line="239" w:lineRule="exact"/>
        <w:rPr>
          <w:sz w:val="20"/>
          <w:szCs w:val="20"/>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scope will continue to satisfy certain minimum project standards set forth in the indenture and the FF&amp;E facility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project will remain capable of being completed at or before the scheduled completion date in effect at such time;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remaining funds (net of the reserved portions of the completion guarantee and liquidity reserve and a required contingency amount) are sufficient to complete the project on or before the outside completion deadline;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other default or event of default exists under the disbursement agreement.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Exercise of Remedies on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provide that each of the following constitutes an "event of default" thereunder:</w:t>
      </w:r>
    </w:p>
    <w:p>
      <w:pPr>
        <w:spacing w:after="0" w:line="239"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credit facilities, the FF&amp;E facility or the indenture;</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failure, from time to time from and after the initial funding of the second mortgage notes, of remaining funds (net of the reserved portions of the completion guarantee and liquidity reserve, and a required contingency amount) to be sufficient to complete the project on or before the outside completion deadline, if such failure has not been remedied within 30 days;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Development's failure, for 60 consecutive days, to submit an advance request for disbursement of funds which is approved;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failure of any representation or warranty made by us in any operative agreement to have been correct when made or deemed made in any material respect;</w:t>
      </w:r>
    </w:p>
    <w:p>
      <w:pPr>
        <w:sectPr>
          <w:pgSz w:w="11900" w:h="16906" w:orient="portrait"/>
          <w:cols w:equalWidth="0" w:num="1">
            <w:col w:w="11400"/>
          </w:cols>
          <w:pgMar w:left="240" w:top="131" w:right="259" w:bottom="0" w:gutter="0" w:footer="0" w:header="0"/>
        </w:sectPr>
      </w:pPr>
    </w:p>
    <w:bookmarkStart w:id="144" w:name="page145"/>
    <w:bookmarkEnd w:id="144"/>
    <w:p>
      <w:pPr>
        <w:spacing w:after="0" w:line="127" w:lineRule="exact"/>
        <w:rPr>
          <w:sz w:val="20"/>
          <w:szCs w:val="20"/>
          <w:color w:val="auto"/>
        </w:rPr>
      </w:pPr>
    </w:p>
    <w:p>
      <w:pPr>
        <w:ind w:left="10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Wynn Las Vegas, Wynn Capital or Wynn Design &amp; Development in its compliance with any affirmative or negative covenant contained in the disbursement agreement, subject to certain cure periods not to exceed 30 days;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us or any other party thereto of any construction contract with a contract value in excess of $5.0 million, subject to certain cure and substitution rights by Wynn Las Vegas, Wynn Capital or Wynn Design &amp; Development;</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us or any other party thereto of any material project document (other than the construction contracts) the effect of which reasonably could be expected to have a material adverse effect, subject to certain cure and substitution rights by Wynn Las Vegas, Wynn Capital and Wynn Design &amp; Development;</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72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Marnell Corrao construction contract, the Austi construction contract guaranty or certain other material project documents shall have terminated or otherwise become invalid or illegal;</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of the other material project documents shall have terminated or otherwise become invalid or illegal, subject to certain cure and substitution rights by Wynn Las Vegas, Wynn Capital and Wynn Design &amp; Development;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Wynn Las Vegas ceasing to own the Le Rêve site, the improvements thereon or certain easements, subject to certain permitted exceptions;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Wynn Resorts ceasing to own the golf course parcel, the improvements thereon or certain easements, subject to certain permitted exceptions;</w:t>
      </w:r>
    </w:p>
    <w:p>
      <w:pPr>
        <w:spacing w:after="0" w:line="261" w:lineRule="exact"/>
        <w:rPr>
          <w:rFonts w:ascii="Arial" w:cs="Arial" w:eastAsia="Arial" w:hAnsi="Arial"/>
          <w:sz w:val="16"/>
          <w:szCs w:val="16"/>
          <w:color w:val="auto"/>
        </w:rPr>
      </w:pPr>
    </w:p>
    <w:p>
      <w:pPr>
        <w:ind w:left="1080" w:right="8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Valvino ceasing to own the 20-acre parcel next to Le Rêve, the improvements thereon or certain easements, subject to certain permitted exceptions;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issuers and the restricted entities ceasing to own the water rights in connection with the Le Rêve site, the improvements thereon or certain easements;</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 abandoning the project or otherwise ceasing to pursue the operations of the project in accordance with standard industry practice or selling or disposing of its interest therein;</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any other governmental approvals necessary for the ownership, construction, maintenance, financing or operation of the project being modified, revoked or cancelled and the effect of such modification, revocation or cancellation is reasonably likely to have a material adverse effect;</w:t>
      </w:r>
    </w:p>
    <w:p>
      <w:pPr>
        <w:spacing w:after="0" w:line="129" w:lineRule="exact"/>
        <w:rPr>
          <w:rFonts w:ascii="Arial" w:cs="Arial" w:eastAsia="Arial" w:hAnsi="Arial"/>
          <w:sz w:val="15"/>
          <w:szCs w:val="15"/>
          <w:color w:val="auto"/>
        </w:rPr>
      </w:pPr>
    </w:p>
    <w:p>
      <w:pPr>
        <w:ind w:left="1080" w:right="52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construction consultant shall reasonably determine that the completion date is likely to occur no earlier than 75 days after the scheduled completion date, as in effect from time to time;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failure to achieve the completion date on or before the scheduled completion date, as in effect from time to time.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occurrence of an event of default under the disbursement agreement, our lenders will be permitted to exercise remedies, including one or more of the following:</w:t>
      </w:r>
    </w:p>
    <w:p>
      <w:pPr>
        <w:spacing w:after="0" w:line="199" w:lineRule="exact"/>
        <w:rPr>
          <w:sz w:val="20"/>
          <w:szCs w:val="20"/>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portions of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terminate after final completion occurs, all work has been completed and all contractors have been paid.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Those consequences will differ depending on whether the investor is a U.S. Holder or a Non-U.S. Holder.</w:t>
      </w:r>
    </w:p>
    <w:p>
      <w:pPr>
        <w:spacing w:after="0" w:line="194"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w:t>
      </w:r>
    </w:p>
    <w:p>
      <w:pPr>
        <w:sectPr>
          <w:pgSz w:w="11900" w:h="16966" w:orient="portrait"/>
          <w:cols w:equalWidth="0" w:num="1">
            <w:col w:w="11400"/>
          </w:cols>
          <w:pgMar w:left="240" w:top="361" w:right="259" w:bottom="0" w:gutter="0" w:footer="0" w:header="0"/>
        </w:sectPr>
      </w:pPr>
    </w:p>
    <w:bookmarkStart w:id="145" w:name="page146"/>
    <w:bookmarkEnd w:id="145"/>
    <w:p>
      <w:pPr>
        <w:ind w:right="80"/>
        <w:spacing w:after="0" w:line="298" w:lineRule="auto"/>
        <w:rPr>
          <w:sz w:val="20"/>
          <w:szCs w:val="20"/>
          <w:color w:val="auto"/>
        </w:rPr>
      </w:pPr>
      <w:r>
        <w:rPr>
          <w:rFonts w:ascii="Arial" w:cs="Arial" w:eastAsia="Arial" w:hAnsi="Arial"/>
          <w:sz w:val="16"/>
          <w:szCs w:val="16"/>
          <w:color w:val="auto"/>
        </w:rPr>
        <w:t>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"Non-U.S. Holder" is a beneficial owner of a second mortgage note that is not a U.S. Holder.</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a partnership (including for this purpose any entity treated as a partnership for United States federal income tax purposes) is a beneficial owner of the second mortgage notes, the treatment of a partner in the partnership will generally depend upon the status of the partner and upon the activities of the partnership. 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summary assumes that investors hold second mortgage notes as "capital assets" under the Code and does not discuss special situations, such as those of</w:t>
      </w:r>
    </w:p>
    <w:p>
      <w:pPr>
        <w:spacing w:after="0" w:line="50" w:lineRule="exact"/>
        <w:rPr>
          <w:sz w:val="20"/>
          <w:szCs w:val="20"/>
          <w:color w:val="auto"/>
        </w:rPr>
      </w:pPr>
    </w:p>
    <w:p>
      <w:pPr>
        <w:ind w:right="20" w:firstLine="8"/>
        <w:spacing w:after="0" w:line="287" w:lineRule="auto"/>
        <w:tabs>
          <w:tab w:leader="none" w:pos="24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States federal income tax; (2) certain former citizens or former long-term residents of the United States, or (3) persons holding second mortgage notes as part of a hedging or conversion transaction, a straddle, a constructive sale or synthetic securities transaction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6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Payments of Stated Interest on the Second Mortgage Notes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Stated interest on the second mortgage notes will be taxable to a U.S. Holder as ordinary income from domestic sources at the time it is paid or accrued in accordance with the U.S. Holder's regular method of accounting for tax purposes. In addition, a U.S. Holder will be taxed annually on original issue discount as described below.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Original Issue Discount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second mortgage notes were issued with original issue discount because their issue price was substantially less than their stated principal amount at maturity. In addition to stated interest, each U.S. Holder is required to include in income in each year, in advance of receipt of the corresponding cash payments, original issue discount income as described below.</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amount of original issue discount with respect to a second mortgage note is equal to the excess of its "stated redemption price at maturity" over its "issue price." The issue price is the price at which a substantial amount of the second mortgage notes were initially sold to the public for money (excluding any sales to a bond house, broker or similar person or organization acting in the capacity of an underwriter, placement agent or wholesaler). The stated redemption price at maturity of a second mortgage note is the total of all payments to be made on the second mortgage note, other than stated interest payments.</w:t>
      </w:r>
    </w:p>
    <w:p>
      <w:pPr>
        <w:spacing w:after="0" w:line="16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U.S. Holder of a second mortgage note is required to include in gross income for United States federal income tax purposes an amount equal to the sum of the "daily portions," determined on a constant yield basis, of the original issue discount for all days during the taxable year on which the holder holds the second mortgage note, less the daily portion of acquisition premium, if any (see "United States Federal Income Taxation of U.S. Holders—Amortizable Bond Premium; Acquisition Premium"). The "daily portion" is determined by allocating to each day during the taxable year in which the holder holds the second mortgage notes a pro rata portion of the original issue discount attributable to the "accrual period" in which such day is included. Accrual periods with respect to a second mortgage note may vary in length over the term of the second mortgage note provided that no accrual period is longer than one year and each scheduled payment of interest or principal occurs on either the first or final day of an accrual period. The amount of original issue discount attributable to each accrual period is equal to the product of:</w:t>
      </w:r>
    </w:p>
    <w:p>
      <w:pPr>
        <w:spacing w:after="0" w:line="172" w:lineRule="exact"/>
        <w:rPr>
          <w:sz w:val="20"/>
          <w:szCs w:val="20"/>
          <w:color w:val="auto"/>
        </w:rPr>
      </w:pPr>
    </w:p>
    <w:p>
      <w:pPr>
        <w:ind w:left="660" w:hanging="301"/>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"adjusted issue price" at the beginning of such accrual period and</w:t>
      </w:r>
    </w:p>
    <w:p>
      <w:pPr>
        <w:spacing w:after="0" w:line="225" w:lineRule="exact"/>
        <w:rPr>
          <w:rFonts w:ascii="Arial" w:cs="Arial" w:eastAsia="Arial" w:hAnsi="Arial"/>
          <w:sz w:val="18"/>
          <w:szCs w:val="18"/>
          <w:color w:val="auto"/>
        </w:rPr>
      </w:pPr>
    </w:p>
    <w:p>
      <w:pPr>
        <w:ind w:left="360" w:right="1720" w:hanging="1"/>
        <w:spacing w:after="0" w:line="501" w:lineRule="auto"/>
        <w:tabs>
          <w:tab w:leader="none" w:pos="6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"yield to maturity" of the instrument stated in a manner appropriately taking into account the length of the accrual period and less (3) the amount of any qualified stated interest allocable to such accrual period.</w:t>
      </w:r>
    </w:p>
    <w:p>
      <w:pPr>
        <w:ind w:right="240" w:firstLine="348"/>
        <w:spacing w:after="0" w:line="254" w:lineRule="auto"/>
        <w:rPr>
          <w:sz w:val="20"/>
          <w:szCs w:val="20"/>
          <w:color w:val="auto"/>
        </w:rPr>
      </w:pPr>
      <w:r>
        <w:rPr>
          <w:rFonts w:ascii="Arial" w:cs="Arial" w:eastAsia="Arial" w:hAnsi="Arial"/>
          <w:sz w:val="18"/>
          <w:szCs w:val="18"/>
          <w:color w:val="auto"/>
        </w:rPr>
        <w:t>The "yield to maturity" is the discount rate that, when used in computing the present value of all payments to be made on the Notes, produces an amount equal to the issue price of the second mortgage notes. The "adjusted issue price" of a second mortgage note at the beginning of an accrual period is generally defined as the issue price plus the aggregate amount of original issue discount that accrued in all prior accrual periods, less any cash payments made on the second mortgage note on or before the first day of the accrual period (other than payments of stated interest). Accordingly, a U.S. Holder of a second mortgage note is required to include original issue discount in gross income for United States federal tax purposes in advance of the receipt of cash attributable to such income. The amount of</w:t>
      </w:r>
    </w:p>
    <w:p>
      <w:pPr>
        <w:sectPr>
          <w:pgSz w:w="11900" w:h="16838" w:orient="portrait"/>
          <w:cols w:equalWidth="0" w:num="1">
            <w:col w:w="11420"/>
          </w:cols>
          <w:pgMar w:left="240" w:top="131" w:right="239" w:bottom="466"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66" w:gutter="0" w:footer="0" w:header="0"/>
          <w:type w:val="continuous"/>
        </w:sectPr>
      </w:pPr>
    </w:p>
    <w:bookmarkStart w:id="146" w:name="page147"/>
    <w:bookmarkEnd w:id="146"/>
    <w:p>
      <w:pPr>
        <w:ind w:right="220"/>
        <w:spacing w:after="0" w:line="335" w:lineRule="auto"/>
        <w:rPr>
          <w:sz w:val="20"/>
          <w:szCs w:val="20"/>
          <w:color w:val="auto"/>
        </w:rPr>
      </w:pPr>
      <w:r>
        <w:rPr>
          <w:rFonts w:ascii="Arial" w:cs="Arial" w:eastAsia="Arial" w:hAnsi="Arial"/>
          <w:sz w:val="15"/>
          <w:szCs w:val="15"/>
          <w:color w:val="auto"/>
        </w:rPr>
        <w:t>original issue discount allocable to an initial short accrual period may be computed using any reasonable method if all other accrual periods, other than a final short accrual period, are of equal length. The amount of original issue discount allocable to the final accrual period at maturity of a second mortgage note is the difference between the amount payable at the maturity of the second mortgage note and its adjusted issue price as of the beginning of the final accrual period.</w:t>
      </w:r>
    </w:p>
    <w:p>
      <w:pPr>
        <w:spacing w:after="0" w:line="14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Payments on the second mortgage notes (other than stated interest payments) are not separately included in a U.S. Holder's income, but rather are treated first as payments of accrued original issue discount to the extent of such accrued original issue discount and the excess as payments of principal.</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Optional Redemption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intend to take the reporting position,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reporting position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reporting position is not, however, binding on the Internal Revenue Service, referred to as the IRS, and if the IRS were to successfully challenge this position, a U.S. Holder might be required to accrue a greater amount of original issue discount under the second mortgage notes.</w:t>
      </w:r>
    </w:p>
    <w:p>
      <w:pPr>
        <w:spacing w:after="0" w:line="18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may redeem up to 35% of the second mortgage notes prior to November 1, 2005 and may redeem the second mortgage notes, in whole or in part, at any time on or after November 1, 2006, at redemption prices specified elsewhere herein plus accrued and unpaid stated interest. The date of any such redemption is referred to as the optional call date. The Treasury Regulations contain 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may wish to consult their own tax advisors regarding the treatment of such contingencies.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Second Mortgage Notes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 received in exchange therefor and (2) the holder's adjusted tax basis in such second mortgage note. Amounts attributable to accrued but unpaid interest on the second mortgage notes will be treated as ordinary interest income. A holder's adjusted tax basis in a second mortgage note is equal to the purchase price paid by such holder increased by the amount of any original issue discount and market discount previously included in income by such holder with respect to such second mortgage note or decreased by the amount of any amortizable bond premium applied to reduce interest on such second mortgage note and decreased by any payments received thereon (other than payments of stated interest).</w:t>
      </w:r>
    </w:p>
    <w:p>
      <w:pPr>
        <w:spacing w:after="0" w:line="20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Discount</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 xml:space="preserve">A U.S. Holder receives a "market discount" if he/she purchases a second mortgage note on issuance for an amount below the issue price (i.e. the price at which a substantial amount of notes were sold to persons other than bond houses, brokers or similar persons, or organizations acting in the capacity of underwriter, placement agent, or wholesaler), or, in the case of a subsequent purchase for an amount below the adjusted issue price on the date of purchase (as determined in accordance with the original issue discount rules described above). Under the market discount rules, subject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 U.S. Holder is required to treat any 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 Any market discount is considered to accrue ratably during the period from the date of acquisition to the maturity date of the second mortgage note, unless the U.S. holder elects to accrue such discount on a constant interest rate method.</w:t>
      </w:r>
    </w:p>
    <w:p>
      <w:pPr>
        <w:spacing w:after="0" w:line="18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Alternatively, a taxpayer may elect to include the interest income in income currently either ratably or under the constant interest rate method. If this election is made, the holder's basis in the second mortgage note will be increased to reflect the amount of income recognized and the rules described above regarding 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Amortizable Bond Premium; Acquisition Premium</w:t>
      </w:r>
    </w:p>
    <w:p>
      <w:pPr>
        <w:sectPr>
          <w:pgSz w:w="11900" w:h="16838" w:orient="portrait"/>
          <w:cols w:equalWidth="0" w:num="1">
            <w:col w:w="11420"/>
          </w:cols>
          <w:pgMar w:left="240" w:top="131" w:right="239" w:bottom="0" w:gutter="0" w:footer="0" w:header="0"/>
          <w:type w:val="continuous"/>
        </w:sectPr>
      </w:pPr>
    </w:p>
    <w:bookmarkStart w:id="147" w:name="page148"/>
    <w:bookmarkEnd w:id="147"/>
    <w:p>
      <w:pPr>
        <w:ind w:right="20" w:firstLine="341"/>
        <w:spacing w:after="0" w:line="287" w:lineRule="auto"/>
        <w:rPr>
          <w:sz w:val="20"/>
          <w:szCs w:val="20"/>
          <w:color w:val="auto"/>
        </w:rPr>
      </w:pPr>
      <w:r>
        <w:rPr>
          <w:rFonts w:ascii="Arial" w:cs="Arial" w:eastAsia="Arial" w:hAnsi="Arial"/>
          <w:sz w:val="16"/>
          <w:szCs w:val="16"/>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 as applied to each accrual period of the second mortgage note and allocated ratably to each day within an accrual period. As described under "Effect of Optional Redemption," the notes are subject to various call provisions. As discussed, we intend to take the reporting position that the likelihood of a redemption because of a change of control or gaming license issues is remote and should be disregarded in determining the amount of amortizable bond premium. Accordingly, a U.S. Holder would calculate the amortizable bond premium based on the amount payable on the stated maturity date unless use of an optional call date (and price) results in smaller amortizable bond premium. The amount amortized in any year will be treated as a reduction of the U.S. Holder's interest income, including original issue discount income, from the second mortgage note and a reduction in such U.S. Holder's tax basis in the second mortgage note. The election to amortize premium, once made, applies to all debt obligations held or subsequently acquired by the electing U.S. Holder on or after the first day of the first taxable year to which the election applies and may not be revoked without the consent of the IRS.</w:t>
      </w:r>
    </w:p>
    <w:p>
      <w:pPr>
        <w:spacing w:after="0" w:line="17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U.S. Holder that purchased a second mortgage note for an amount that is greater than its adjusted issue price on the date of purchase, as determined in accordance with the original issue discount rules, above, but less than or equal to the sum of all amounts payable other than qualified stated interest on the second mortgage note after the purchase date (the "remaining redemption amount") is considered to have purchased such second mortgage note at an "acquisition premium." A holder of a second mortgage note that is purchased at an acquisition premium may reduce the amount of the original issue discount otherwise includible in income with respect to the second mortgage note by the product of such amount and "acquisition premium fraction." The acquisition premium fraction is that fraction the numerator of which is the excess of the holder's adjusted tax basis in the second mortgage note immediately after its acquisition over the adjusted issue price of the second mortgage note and the denominator of which is the excess of the remaining redemption amount over the adjusted issue price of the second mortgage note. Alternatively, a holder of a second mortgage note that is purchased at an acquisition premium may elect to compute the original issue discount accrual on the second mortgage note by treating the purchase as a purchase of the second mortgage note at original issuance, treating the purchase price as the issue price, and applying the original issue discount rules thereto using a constant yield method.</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January 1, 2011. Certain U.S. Holders, including all corporations, are not subject to backup withholding and information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Pursuant to the "portfolio interest exception," the payment to a Non-U.S. Holder of interest on the second mortgage note is not subject to United States federal withholding tax, including the amount of any payment that is attributable to original issue discount that accrued while such non-U.S. Holder held the second mortgage notes, provided that (i) the Non-U.S. Holder (A) does not actually or constructively own 10% or more of the combined voting power of all classes of our stock entitled to vote and (B) is neither a controlled foreign corporation that is related to us within the meaning of the Code, nor a bank that received the second mortgage notes on an extension of credit made pursuant to a loan agreement entered into in the ordinary course of its trade or business; and (ii) either (A) the beneficial owner of the second mortgage notes certifies to us or to our paying agent, under penalties of perjury, that it is not a U.S. Holder and provides its name and address on Internal Revenue Service Form W-8BEN (or a suitable substitute form) or (B) 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that has furnished it with a copy thereof).</w:t>
      </w:r>
    </w:p>
    <w:p>
      <w:pPr>
        <w:spacing w:after="0" w:line="178"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If a Non-U.S. Holder cannot satisfy the requirements of the portfolio interest exception described above, payments of interest, including the amount of any payment that is attributable to original issue discount that accrued while such non-U.S. Holder held the second mortgage notes, made to such Non-U.S. Holder will be subject to a 30% withholding tax, unless the beneficial owner of the second mortgage note provides us or our paying agent, as the case may be, with a properly executed (i) Form W-8BEN (or a suitable substitute form) claiming an exemption from or reduction in the rate of withholding pursuant to a tax treaty or</w:t>
      </w:r>
    </w:p>
    <w:p>
      <w:pPr>
        <w:spacing w:after="0" w:line="3" w:lineRule="exact"/>
        <w:rPr>
          <w:sz w:val="20"/>
          <w:szCs w:val="20"/>
          <w:color w:val="auto"/>
        </w:rPr>
      </w:pPr>
    </w:p>
    <w:p>
      <w:pPr>
        <w:ind w:right="360" w:firstLine="8"/>
        <w:spacing w:after="0" w:line="261" w:lineRule="auto"/>
        <w:tabs>
          <w:tab w:leader="none" w:pos="25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 United States permanent establishment, such Non-U.S. Holder, will be subject to United States federal income tax on such interest, including original issue discount.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Notes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Non-U.S. Holder generally will not be subject to United States federal income tax on gain realized on a sale, exchange, redemption, retirement or other taxable disposition of a</w:t>
      </w:r>
    </w:p>
    <w:p>
      <w:pPr>
        <w:sectPr>
          <w:pgSz w:w="11900" w:h="16838" w:orient="portrait"/>
          <w:cols w:equalWidth="0" w:num="1">
            <w:col w:w="11400"/>
          </w:cols>
          <w:pgMar w:left="240" w:top="131" w:right="259" w:bottom="38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85" w:gutter="0" w:footer="0" w:header="0"/>
          <w:type w:val="continuous"/>
        </w:sectPr>
      </w:pPr>
    </w:p>
    <w:bookmarkStart w:id="148" w:name="page149"/>
    <w:bookmarkEnd w:id="148"/>
    <w:p>
      <w:pPr>
        <w:spacing w:after="0" w:line="7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second mortgage note unless (1) the gain is effectively connected with the conduct of a trade or business in the United States by the Non-U.S. Holder, and, where an income tax treaty applies, attributable to a United States permanent establishment or (2) in the case of a Non-U.S. Holder who is an individual, such holder is present in the United States for 183 days or more in the taxable year of disposition and certain other conditions are met.</w:t>
      </w:r>
    </w:p>
    <w:p>
      <w:pPr>
        <w:spacing w:after="0" w:line="161" w:lineRule="exact"/>
        <w:rPr>
          <w:sz w:val="20"/>
          <w:szCs w:val="20"/>
          <w:color w:val="auto"/>
        </w:rPr>
      </w:pPr>
    </w:p>
    <w:p>
      <w:pPr>
        <w:jc w:val="both"/>
        <w:ind w:right="220" w:firstLine="351"/>
        <w:spacing w:after="0" w:line="323" w:lineRule="auto"/>
        <w:rPr>
          <w:sz w:val="20"/>
          <w:szCs w:val="20"/>
          <w:color w:val="auto"/>
        </w:rPr>
      </w:pPr>
      <w:r>
        <w:rPr>
          <w:rFonts w:ascii="Arial" w:cs="Arial" w:eastAsia="Arial" w:hAnsi="Arial"/>
          <w:sz w:val="15"/>
          <w:szCs w:val="15"/>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in "—United States Federal Income Taxation of Non-U.S. Holders—Payment of Interest," or (b) they are excluded under an applicable treaty. The United States federal estate tax generally has been repealed for decedents dying in 2010. Unless extended by new legislation, however, the repeal expires and the United States federal estate tax is reinstated beginning January 1, 2011.</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Arial" w:cs="Arial" w:eastAsia="Arial" w:hAnsi="Arial"/>
          <w:sz w:val="18"/>
          <w:szCs w:val="18"/>
          <w:b w:val="1"/>
          <w:bCs w:val="1"/>
          <w:color w:val="auto"/>
        </w:rPr>
        <w:t>"</w:t>
      </w:r>
      <w:r>
        <w:rPr>
          <w:rFonts w:ascii="Arial" w:cs="Arial" w:eastAsia="Arial" w:hAnsi="Arial"/>
          <w:sz w:val="18"/>
          <w:szCs w:val="18"/>
          <w:color w:val="auto"/>
        </w:rPr>
        <w:t>United States Federal Income Tax Considerations—United States Federal Income Taxation of Non-U.S. Holders—Payments of Interest."</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payment of proceeds from the disposition of a second mortgage note effected by or through a United States office of a broker is also subject to both backup withholding and information reporting unless a Non-U.S. Holder provides the payor with such Non-U.S. 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records that the holder is a Non-U.S. Holder and certain other conditions are met, or the exemption is otherwise established.</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62"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195"/>
              <w:spacing w:after="0"/>
              <w:rPr>
                <w:sz w:val="20"/>
                <w:szCs w:val="20"/>
                <w:color w:val="auto"/>
              </w:rPr>
            </w:pPr>
            <w:r>
              <w:rPr>
                <w:rFonts w:ascii="Arial" w:cs="Arial" w:eastAsia="Arial" w:hAnsi="Arial"/>
                <w:sz w:val="14"/>
                <w:szCs w:val="14"/>
                <w:b w:val="1"/>
                <w:bCs w:val="1"/>
                <w:color w:val="auto"/>
                <w:w w:val="87"/>
              </w:rPr>
              <w:t>Gross Proceeds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1"/>
        </w:trPr>
        <w:tc>
          <w:tcPr>
            <w:tcW w:w="50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1"/>
        </w:trPr>
        <w:tc>
          <w:tcPr>
            <w:tcW w:w="5040" w:type="dxa"/>
            <w:vAlign w:val="bottom"/>
            <w:gridSpan w:val="2"/>
          </w:tcPr>
          <w:p>
            <w:pPr>
              <w:spacing w:after="0"/>
              <w:rPr>
                <w:sz w:val="20"/>
                <w:szCs w:val="20"/>
                <w:color w:val="auto"/>
              </w:rPr>
            </w:pPr>
            <w:r>
              <w:rPr>
                <w:rFonts w:ascii="Arial" w:cs="Arial" w:eastAsia="Arial" w:hAnsi="Arial"/>
                <w:sz w:val="18"/>
                <w:szCs w:val="18"/>
                <w:color w:val="auto"/>
              </w:rPr>
              <w:t>Dresdner Kleinwort Wasserstein — Grantchester,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Fleet Securities, Inc.</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w:t>
            </w:r>
          </w:p>
        </w:tc>
        <w:tc>
          <w:tcPr>
            <w:tcW w:w="0" w:type="dxa"/>
            <w:vAlign w:val="bottom"/>
          </w:tcPr>
          <w:p>
            <w:pPr>
              <w:spacing w:after="0"/>
              <w:rPr>
                <w:sz w:val="1"/>
                <w:szCs w:val="1"/>
                <w:color w:val="auto"/>
              </w:rPr>
            </w:pPr>
          </w:p>
        </w:tc>
      </w:tr>
      <w:tr>
        <w:trPr>
          <w:trHeight w:val="430"/>
        </w:trPr>
        <w:tc>
          <w:tcPr>
            <w:tcW w:w="504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33,833,410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-1588770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-1588770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-1588770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-1588770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131" w:right="239" w:bottom="0" w:gutter="0" w:footer="0" w:header="0"/>
        </w:sectPr>
      </w:pPr>
    </w:p>
    <w:bookmarkStart w:id="149" w:name="page150"/>
    <w:bookmarkEnd w:id="149"/>
    <w:tbl>
      <w:tblPr>
        <w:tblLayout w:type="fixed"/>
        <w:tblInd w:w="2120" w:type="dxa"/>
        <w:tblCellMar>
          <w:top w:w="0" w:type="dxa"/>
          <w:left w:w="0" w:type="dxa"/>
          <w:bottom w:w="0" w:type="dxa"/>
          <w:right w:w="0" w:type="dxa"/>
        </w:tblCellMar>
      </w:tblPr>
      <w:tr>
        <w:trPr>
          <w:trHeight w:val="43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SG Cowen Securities Corporation</w:t>
            </w:r>
          </w:p>
        </w:tc>
        <w:tc>
          <w:tcPr>
            <w:tcW w:w="1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w:t>
            </w:r>
          </w:p>
        </w:tc>
      </w:tr>
      <w:tr>
        <w:trPr>
          <w:trHeight w:val="430"/>
        </w:trPr>
        <w:tc>
          <w:tcPr>
            <w:tcW w:w="382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3,383,342</w:t>
            </w:r>
          </w:p>
        </w:tc>
      </w:tr>
      <w:tr>
        <w:trPr>
          <w:trHeight w:val="120"/>
        </w:trPr>
        <w:tc>
          <w:tcPr>
            <w:tcW w:w="3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r>
        <w:trPr>
          <w:trHeight w:val="105"/>
        </w:trPr>
        <w:tc>
          <w:tcPr>
            <w:tcW w:w="3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432"/>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338,334,100</w:t>
            </w:r>
          </w:p>
        </w:tc>
      </w:tr>
      <w:tr>
        <w:trPr>
          <w:trHeight w:val="105"/>
        </w:trPr>
        <w:tc>
          <w:tcPr>
            <w:tcW w:w="3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61"/>
        </w:trPr>
        <w:tc>
          <w:tcPr>
            <w:tcW w:w="3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-460375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-460375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9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remaining $5,000,000 of gross proceeds of the second mortgage notes that are not being purchased by the underwriters pursuant to the underwriting agreement are being offered by Wynn Las Vegas and Wynn Las Vegas Capital Corp. directly to Stephen A. Wynn, Chairman of the Board, Chief Executive Officer and a principal stockholder of Wynn Resorts, Limited and Aruze USA, a principal stockholder of Wynn Resorts, Limited at the price being offered to the public. The underwriters will not receive any underwriting discounts or commissions on any second mortgage notes purchased by such purchasers. The consummation of the purchase by the underwriters under the underwriting agreement and by such purchasers are conditioned on concurrent closings of all such purchases.</w:t>
      </w:r>
    </w:p>
    <w:p>
      <w:pPr>
        <w:spacing w:after="0" w:line="198"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3.00% of the gross proceeds of the second mortgage notes. After the initial public offering, representatives of the underwriters may change the offering price and other selling terms.</w:t>
      </w:r>
    </w:p>
    <w:p>
      <w:pPr>
        <w:spacing w:after="0" w:line="14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 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 mortgage notes does not develop, the market price and liquidity of the second mortgage notes may be adversely affected.</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the second mortgage notes made by the underwriters in the open market prior to the completion of the offering.</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7"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Deutsche Bank Securities Inc., Bear, Stearns &amp; Co. Inc. and Banc of America Securities LLC will act as joint book-running managers, and an affiliate of Dresdner Kleinwort Wasserstein - Grantchester, Inc. will act as co-lead managing underwriter for the initial public offering of Wynn Resorts, which is expected to close concurrently with this offering, and will</w:t>
      </w:r>
    </w:p>
    <w:p>
      <w:pPr>
        <w:sectPr>
          <w:pgSz w:w="11900" w:h="16838" w:orient="portrait"/>
          <w:cols w:equalWidth="0" w:num="1">
            <w:col w:w="11400"/>
          </w:cols>
          <w:pgMar w:left="240" w:top="140" w:right="25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type w:val="continuous"/>
        </w:sectPr>
      </w:pPr>
    </w:p>
    <w:bookmarkStart w:id="150" w:name="page151"/>
    <w:bookmarkEnd w:id="150"/>
    <w:p>
      <w:pPr>
        <w:ind w:right="60"/>
        <w:spacing w:after="0" w:line="268" w:lineRule="auto"/>
        <w:rPr>
          <w:sz w:val="20"/>
          <w:szCs w:val="20"/>
          <w:color w:val="auto"/>
        </w:rPr>
      </w:pPr>
      <w:r>
        <w:rPr>
          <w:rFonts w:ascii="Arial" w:cs="Arial" w:eastAsia="Arial" w:hAnsi="Arial"/>
          <w:sz w:val="18"/>
          <w:szCs w:val="18"/>
          <w:color w:val="auto"/>
        </w:rPr>
        <w:t>receive certain fees for their services. Jefferies &amp; Company, Inc. and SG Cowen Securities Corporation will also act as underwriters in connection with the initial public offering of Wynn Resorts and will receive certain fees for their services.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Dresdner Bank AG, New York branch, an affiliate of Dresdner Kleinwort Wasserstein — Grantchester, Inc., will act as arranger and joint documentation agent and as a lender under the credit facilities and will receive certain fees for its services.</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Affiliates of Fleet Securities, Inc. and Scotia Capital (USA) Inc. will act as lenders under the credit facilities and will receive certain fees for their services. See "Description of Other Indebtedness—Credit Facilities."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act as a lender under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Other Indebtedness—FF&amp;E Facility."</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information contained in this prospectus does not constitute an offer or an invitation to make an offer for the acquisition of notes by Austrian investors nor are such notes available to Austrian investors with the following exemption. The notes are exclusively offered to a limited number of institutional investors and are therefore not subject to the public offering requirements of the Austrian Capital Markets Act (Section 3, paragraph 1, subparagraph 11). Institutional investors are persons whose ordinary business activities include the acquisition of the respective notes for the purpose of their business and who are interested in the notes not with the purpose of offering such notes to third parties in Austria. Such notes are not offered and will not be made available to any other persons in Austria.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This prospectus has not been prepared in the context of a public offering of securities in France within the meaning of Article L.411-1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Regulations No. 98-01 and 98-08 of the</w:t>
      </w:r>
      <w:r>
        <w:rPr>
          <w:rFonts w:ascii="Arial" w:cs="Arial" w:eastAsia="Arial" w:hAnsi="Arial"/>
          <w:sz w:val="18"/>
          <w:szCs w:val="18"/>
          <w:i w:val="1"/>
          <w:iCs w:val="1"/>
          <w:color w:val="auto"/>
        </w:rPr>
        <w:t xml:space="preserve"> Commission des opérations de bourse </w:t>
      </w:r>
      <w:r>
        <w:rPr>
          <w:rFonts w:ascii="Arial" w:cs="Arial" w:eastAsia="Arial" w:hAnsi="Arial"/>
          <w:sz w:val="18"/>
          <w:szCs w:val="18"/>
          <w:color w:val="auto"/>
        </w:rPr>
        <w:t>("COB") and has therefore not been submitted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COB for prior approval. It is made available only to qualified investors and/or to a limited circle of investors (as defined in Article L.411-2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in the Decree No. 98-880 dated 1 October 1998), on the condition that it shall not be passed on to any person nor reproduced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whole or in part) and that applicants act for their own account in accordance with the terms set out by the said Decree and undertake not to retransfer, directly or indirectly, the notes in France, other than in compliance with applicable laws and regulations (Articles L.411-1, L.411-2, L.412-1 and L.621-8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20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public offer of securities for sale in Germany is subject to certain restrictions, namely the restrictions provided in the German Securities Selling Prospectus Act (</w:t>
      </w:r>
      <w:r>
        <w:rPr>
          <w:rFonts w:ascii="Arial" w:cs="Arial" w:eastAsia="Arial" w:hAnsi="Arial"/>
          <w:sz w:val="16"/>
          <w:szCs w:val="16"/>
          <w:i w:val="1"/>
          <w:iCs w:val="1"/>
          <w:color w:val="auto"/>
        </w:rPr>
        <w:t>Wertpapier-Verkaufsprospektgesetz</w:t>
      </w:r>
      <w:r>
        <w:rPr>
          <w:rFonts w:ascii="Arial" w:cs="Arial" w:eastAsia="Arial" w:hAnsi="Arial"/>
          <w:sz w:val="16"/>
          <w:szCs w:val="16"/>
          <w:color w:val="auto"/>
        </w:rPr>
        <w:t>). The offer of the notes does not constitute a public offer of securities for sale in Germany. This prospectus has not been approved by the German Federal Supervisory Authority for Financial Services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or any other competent German authority under the relevant laws. This prospectus may not be publicly distributed in Germany and may not be used in connection with any resale of the notes. The notes may not be resold in Germany by way of a public offer. The underwriters, any other purchaser of the notes and the persons into whose possession this prospectus comes acknowledge these restrictions.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No public offering of the notes is permitted in the Hellenic Republic without the issuance and publication of a prospectus approved by the Capital Market Committee and the Athens Stock Exchange and consequently no advertisement of any kind, notifications, statements or other actions are permitted to be taken in the Hellenic Republic with a view to attracting the public in Greece to acquire any of the notes. All provisions of codified law 2190/1920, law 876/1979 and presidential decree 52/1992 must be complied with in respect of anything done in relation to the public offering of the notes in, from or otherwise involving the Hellenic Republic. In accordance with Article 4 of presidential decree 52/1992, the above approval procedure is not required if the notes are to be offered in the Hellenic Republic only to a restricted number of investors and/or persons engaged professionally in the investment business (such as insurance companies, credit institutions, social security funds and other persons who qualify as institutional investors within the meaning of Resolution No. 9/201/10.10.2000 of the Capital Markets Commission). The notes have not been and will not be offered or sold to persons in Greece other than to insurance companies, credit institutions, social security funds and other persons who qualify as "institutional investors" within the meaning of Resolution no. 9/201/10.10.2000 of the Capital Market Commission and any other relevant regulation. No action has been taken or will be taken by the underwriters that would, or is intended to, permit a "public offer" of the notes in the Hellenic Republic as the meaning of "public offer" results from article 4 of Presidential Decree 52/1992, (re: determination of the requirements for the drawing up, scrutiny and distribution of the prospectus to be published when transferable securities are offered to the public in accordance with Directive 89/298/EC) and the above noted Resolution. Each underwriter further represents and agrees that it will comply with all applicable laws and regulations, and make or obtain all necessary filings, consents or approvals in Greece in connection with the sale of the notes in Greece, as provided by Greek legislation.</w:t>
      </w:r>
    </w:p>
    <w:p>
      <w:pPr>
        <w:sectPr>
          <w:pgSz w:w="11900" w:h="16838" w:orient="portrait"/>
          <w:cols w:equalWidth="0" w:num="1">
            <w:col w:w="11380"/>
          </w:cols>
          <w:pgMar w:left="240" w:top="590" w:right="279" w:bottom="0" w:gutter="0" w:footer="0" w:header="0"/>
        </w:sectPr>
      </w:pPr>
    </w:p>
    <w:bookmarkStart w:id="151" w:name="page152"/>
    <w:bookmarkEnd w:id="151"/>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does not constitute an offer or invitation to you or to the public to purchase or subscribe for any notes in the Republic of Ireland.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offering of the notes has not been registered pursuant to the Italian securities legislation and, accordingly, the underwriters have represented and agreed that they have not offered or sold, and will not offer or sell, any notes in Italy a solicitation to the public, and that sales of the notes in Italy shall be effected in accordance with all Italian securities, tax, exchange control and other applicable laws and regulations.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underwriters have represented that they will not offer, sell or deliver any notes or distribute copies of the prospectus or any other document relating to the notes in Italy except:</w:t>
      </w:r>
    </w:p>
    <w:p>
      <w:pPr>
        <w:spacing w:after="0" w:line="186" w:lineRule="exact"/>
        <w:rPr>
          <w:sz w:val="20"/>
          <w:szCs w:val="20"/>
          <w:color w:val="auto"/>
        </w:rPr>
      </w:pPr>
    </w:p>
    <w:p>
      <w:pPr>
        <w:ind w:firstLine="359"/>
        <w:spacing w:after="0" w:line="255" w:lineRule="auto"/>
        <w:tabs>
          <w:tab w:leader="none" w:pos="63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"professional investors", as defined in Article 31.2 of CONSOB Regulation No. 11522 of 1 July 1998, as amended ("Regulation No. 11522"), pursuant to Article 30.2 and 100 of Legislative Decree No. 58/1998 of 24 February 1998 ("Decree No. 58/1998"), or in any other circumstances where an express exemption from compliance with the solicitation restrictions provided by Decree No. 58/1998 or CONSOB Regulation No. 11971 of 14 May 1999, as amended, applies, provided however, that any such offer, sale or delivery of notes or distribution of copies of the prospectus or any other document relating to the notes in Italy must be:</w:t>
      </w:r>
    </w:p>
    <w:p>
      <w:pPr>
        <w:spacing w:after="0" w:line="196" w:lineRule="exact"/>
        <w:rPr>
          <w:rFonts w:ascii="Arial" w:cs="Arial" w:eastAsia="Arial" w:hAnsi="Arial"/>
          <w:sz w:val="18"/>
          <w:szCs w:val="18"/>
          <w:color w:val="auto"/>
        </w:rPr>
      </w:pPr>
    </w:p>
    <w:p>
      <w:pPr>
        <w:ind w:left="540" w:right="140" w:firstLine="359"/>
        <w:spacing w:after="0" w:line="332" w:lineRule="auto"/>
        <w:tabs>
          <w:tab w:leader="none" w:pos="123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made by investment firms, banks or financial intermediaries permitted to conduct such activities in Italy in accordance with Legislative Decree No. 385 of 1 September 1993 ("Decree No. 385/1993"), Decree No. 58/1998, Regulation No. 11522 and any other applicable laws and regulations;</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19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in compliance with Article 129 of Decree No. 385/1993 and the implementing instructions of the Bank of Italy, pursuant to which the issue, trading or placement of securities in Italy is subject to prior notification to the Bank of Italy, unless an exemption, depending, inter alia, on the amount of the issue and the characteristics of the securities, applies; and</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in compliance with any other applicable notification requirement or limitation which may be imposed by CONSOB or the Bank of Italy; or</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Italian residents who submit unsolicited offers to the Sole Bookrunner to purchase the notes.</w:t>
      </w:r>
    </w:p>
    <w:p>
      <w:pPr>
        <w:spacing w:after="0" w:line="225" w:lineRule="exact"/>
        <w:rPr>
          <w:sz w:val="20"/>
          <w:szCs w:val="20"/>
          <w:color w:val="auto"/>
        </w:rPr>
      </w:pPr>
    </w:p>
    <w:p>
      <w:pPr>
        <w:jc w:val="both"/>
        <w:ind w:right="40" w:firstLine="348"/>
        <w:spacing w:after="0" w:line="323" w:lineRule="auto"/>
        <w:rPr>
          <w:sz w:val="20"/>
          <w:szCs w:val="20"/>
          <w:color w:val="auto"/>
        </w:rPr>
      </w:pPr>
      <w:r>
        <w:rPr>
          <w:rFonts w:ascii="Arial" w:cs="Arial" w:eastAsia="Arial" w:hAnsi="Arial"/>
          <w:sz w:val="15"/>
          <w:szCs w:val="15"/>
          <w:color w:val="auto"/>
        </w:rPr>
        <w:t>The notes may not and will not be offered or sold to any individual or legal entity in The Netherlands other than to individuals or legal entities who or which trade in securities in the conduct of their profession or trade within the meaning of section 2 of the exemption regulation pursuant to the Dutch Securities Market Supervision Act (</w:t>
      </w:r>
      <w:r>
        <w:rPr>
          <w:rFonts w:ascii="Arial" w:cs="Arial" w:eastAsia="Arial" w:hAnsi="Arial"/>
          <w:sz w:val="15"/>
          <w:szCs w:val="15"/>
          <w:i w:val="1"/>
          <w:iCs w:val="1"/>
          <w:color w:val="auto"/>
        </w:rPr>
        <w:t>Vrijstellingregeling Wet toezicht effectenverker</w:t>
      </w:r>
      <w:r>
        <w:rPr>
          <w:rFonts w:ascii="Arial" w:cs="Arial" w:eastAsia="Arial" w:hAnsi="Arial"/>
          <w:sz w:val="15"/>
          <w:szCs w:val="15"/>
          <w:color w:val="auto"/>
        </w:rPr>
        <w:t xml:space="preserve"> 1995), which includes banks, securities intermediaries (including dealers and brokers), insurance companies, pension funds, other institutional investors and commercial enterprises which, as an ancillary activity, regularly invest or trade in securities.</w:t>
      </w:r>
    </w:p>
    <w:p>
      <w:pPr>
        <w:spacing w:after="0" w:line="152" w:lineRule="exact"/>
        <w:rPr>
          <w:sz w:val="20"/>
          <w:szCs w:val="20"/>
          <w:color w:val="auto"/>
        </w:rPr>
      </w:pPr>
    </w:p>
    <w:p>
      <w:pPr>
        <w:ind w:right="16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the public or any member of the public in Singapore other than (i) to an institutional investor or other person specified in Section 274 of the Securities and Futures Act 2001 of Singapore (the "SFA"),</w:t>
      </w:r>
    </w:p>
    <w:p>
      <w:pPr>
        <w:spacing w:after="0" w:line="3" w:lineRule="exact"/>
        <w:rPr>
          <w:sz w:val="20"/>
          <w:szCs w:val="20"/>
          <w:color w:val="auto"/>
        </w:rPr>
      </w:pPr>
    </w:p>
    <w:p>
      <w:pPr>
        <w:ind w:right="380" w:firstLine="8"/>
        <w:spacing w:after="0" w:line="261" w:lineRule="auto"/>
        <w:tabs>
          <w:tab w:leader="none" w:pos="25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a sophisticated investor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notes may not be offered or sold in Spain except in accordance with the requirements of the Spanish Securities Market Law (Ley 24/1988 de 28 de julio, del mercado de valores as amended by Law 37/1998 of November 16) and Royal Decree 291/1992, on Issues and Public Offerings of Securities (Real Decreto 291/1992, de 27 de marzo, sobre emisiones y ofertas públicas de valores) as amended or restated by Royal Decree 2590/1998 of 7 December (hereinafter the "R.D. 291/92"). This offering memorandum has not been verified nor registered in the administrative registries of the National Stock Exchange Commission ("CNMV") in Spain, and therefore a public offer for subscription of the notes shall not be promoted in Spain. Notwithstanding that and in accordance with the requirement set forth in R.D. 291/92, a private placement of the notes addressed exclusively to institutional investors (as defined in Article 7.1a of R.D. 291/92) will be carried out. The institutional investors will be subject to the restrictions on the subsequent transfer of the notes to other investors in Spain which are not institutional investors.</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notes are sold in Switzerland on the basis of a private placement. This prospectus does not, therefore, constitute a Prospectus within the meaning of Art. 652A of the Swiss Federal Code of Obligations.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Las Vegas, Nevada. Selected legal matters in connection with this offering will be passed upon for the underwriters by Latham &amp; Watkins, Los Angeles, California. Latham &amp; Watkins is acting as counsel to the underwriters for the second mortgage notes, the underwriters for the initial public offering of common stock of Wynn Resorts and the arrangers under the credit facilities.</w:t>
      </w:r>
    </w:p>
    <w:p>
      <w:pPr>
        <w:sectPr>
          <w:pgSz w:w="11900" w:h="16935" w:orient="portrait"/>
          <w:cols w:equalWidth="0" w:num="1">
            <w:col w:w="11420"/>
          </w:cols>
          <w:pgMar w:left="240" w:top="131" w:right="239" w:bottom="0" w:gutter="0" w:footer="0" w:header="0"/>
        </w:sectPr>
      </w:pPr>
    </w:p>
    <w:bookmarkStart w:id="152" w:name="page153"/>
    <w:bookmarkEnd w:id="152"/>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financial statements of Wynn Las Vegas, LLC (a wholly owned subsidiary of Valvino Lamore, LLC and a development stage company) as of December 31, 2001 and for the period from inception (April 17, 2001) to December 31, 2001, included in this prospectus have been audited by Deloitte &amp; Touche LLP, independent auditors, as stated in their report (which report expresses an unqualified opinion and includes an explanatory paragraph referring to the restatement of the financial statements at Note 6) appearing herein, and have been so included in reliance upon the reports of such firm given upon their authority of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Capital and the guarantors listed herein have filed with the Securities and Exchange Commission, referred to as the SEC, a registration statement on Form S-1 with respect to the second mortgage notes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 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Las Vegas, Wynn Capital or the guarantors files may be read and copied at the SEC's public reference room at 450 Fifth Street, N.W., Washington, D.C. 20549. Please call the SEC at 1-800-SEC-0330 for further information about the public reference room. Filings by Wynn Las Vegas, Wynn Capital or the guarantors with the SEC are also available to the public from the SEC's Web site at http://www.sec.gov.</w:t>
      </w:r>
    </w:p>
    <w:p>
      <w:pPr>
        <w:spacing w:after="0" w:line="17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 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1500" cy="274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520" w:type="dxa"/>
            <w:vAlign w:val="bottom"/>
          </w:tcPr>
          <w:p>
            <w:pPr>
              <w:ind w:left="2280"/>
              <w:spacing w:after="0"/>
              <w:rPr>
                <w:sz w:val="20"/>
                <w:szCs w:val="20"/>
                <w:color w:val="auto"/>
              </w:rPr>
            </w:pPr>
            <w:r>
              <w:rPr>
                <w:rFonts w:ascii="Arial" w:cs="Arial" w:eastAsia="Arial" w:hAnsi="Arial"/>
                <w:sz w:val="18"/>
                <w:szCs w:val="18"/>
                <w:color w:val="auto"/>
                <w:w w:val="81"/>
              </w:rPr>
              <w:t>F-2</w:t>
            </w:r>
          </w:p>
        </w:tc>
      </w:tr>
      <w:tr>
        <w:trPr>
          <w:trHeight w:val="43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2520" w:type="dxa"/>
            <w:vAlign w:val="bottom"/>
            <w:shd w:val="clear" w:color="auto" w:fill="CCEEFF"/>
          </w:tcPr>
          <w:p>
            <w:pPr>
              <w:ind w:left="2280"/>
              <w:spacing w:after="0"/>
              <w:rPr>
                <w:sz w:val="20"/>
                <w:szCs w:val="20"/>
                <w:color w:val="auto"/>
              </w:rPr>
            </w:pPr>
            <w:r>
              <w:rPr>
                <w:rFonts w:ascii="Arial" w:cs="Arial" w:eastAsia="Arial" w:hAnsi="Arial"/>
                <w:sz w:val="18"/>
                <w:szCs w:val="18"/>
                <w:color w:val="auto"/>
                <w:w w:val="81"/>
              </w:rPr>
              <w:t>F-3</w:t>
            </w:r>
          </w:p>
        </w:tc>
      </w:tr>
      <w:tr>
        <w:trPr>
          <w:trHeight w:val="431"/>
        </w:trPr>
        <w:tc>
          <w:tcPr>
            <w:tcW w:w="638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2520" w:type="dxa"/>
            <w:vAlign w:val="bottom"/>
          </w:tcPr>
          <w:p>
            <w:pPr>
              <w:ind w:left="2280"/>
              <w:spacing w:after="0"/>
              <w:rPr>
                <w:sz w:val="20"/>
                <w:szCs w:val="20"/>
                <w:color w:val="auto"/>
              </w:rPr>
            </w:pPr>
            <w:r>
              <w:rPr>
                <w:rFonts w:ascii="Arial" w:cs="Arial" w:eastAsia="Arial" w:hAnsi="Arial"/>
                <w:sz w:val="18"/>
                <w:szCs w:val="18"/>
                <w:color w:val="auto"/>
                <w:w w:val="81"/>
              </w:rPr>
              <w:t>F-4</w:t>
            </w:r>
          </w:p>
        </w:tc>
      </w:tr>
      <w:tr>
        <w:trPr>
          <w:trHeight w:val="43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2520" w:type="dxa"/>
            <w:vAlign w:val="bottom"/>
            <w:shd w:val="clear" w:color="auto" w:fill="CCEEFF"/>
          </w:tcPr>
          <w:p>
            <w:pPr>
              <w:ind w:left="2280"/>
              <w:spacing w:after="0"/>
              <w:rPr>
                <w:sz w:val="20"/>
                <w:szCs w:val="20"/>
                <w:color w:val="auto"/>
              </w:rPr>
            </w:pPr>
            <w:r>
              <w:rPr>
                <w:rFonts w:ascii="Arial" w:cs="Arial" w:eastAsia="Arial" w:hAnsi="Arial"/>
                <w:sz w:val="18"/>
                <w:szCs w:val="18"/>
                <w:color w:val="auto"/>
                <w:w w:val="81"/>
              </w:rPr>
              <w:t>F-5</w:t>
            </w:r>
          </w:p>
        </w:tc>
      </w:tr>
      <w:tr>
        <w:trPr>
          <w:trHeight w:val="442"/>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Statements of Cash Flows (as restated)</w:t>
            </w:r>
          </w:p>
        </w:tc>
        <w:tc>
          <w:tcPr>
            <w:tcW w:w="2520" w:type="dxa"/>
            <w:vAlign w:val="bottom"/>
            <w:tcBorders>
              <w:bottom w:val="single" w:sz="8" w:color="CCEEFF"/>
            </w:tcBorders>
          </w:tcPr>
          <w:p>
            <w:pPr>
              <w:ind w:left="2280"/>
              <w:spacing w:after="0"/>
              <w:rPr>
                <w:sz w:val="20"/>
                <w:szCs w:val="20"/>
                <w:color w:val="auto"/>
              </w:rPr>
            </w:pPr>
            <w:r>
              <w:rPr>
                <w:rFonts w:ascii="Arial" w:cs="Arial" w:eastAsia="Arial" w:hAnsi="Arial"/>
                <w:sz w:val="18"/>
                <w:szCs w:val="18"/>
                <w:color w:val="auto"/>
                <w:w w:val="81"/>
              </w:rPr>
              <w:t>F-6</w:t>
            </w:r>
          </w:p>
        </w:tc>
      </w:tr>
    </w:tbl>
    <w:p>
      <w:pPr>
        <w:sectPr>
          <w:pgSz w:w="11900" w:h="16900" w:orient="portrait"/>
          <w:cols w:equalWidth="0" w:num="1">
            <w:col w:w="11400"/>
          </w:cols>
          <w:pgMar w:left="240" w:top="341" w:right="25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1"/>
              </w:rPr>
              <w:t>F-8</w:t>
            </w:r>
          </w:p>
        </w:tc>
        <w:tc>
          <w:tcPr>
            <w:tcW w:w="2520" w:type="dxa"/>
            <w:vAlign w:val="bottom"/>
          </w:tcPr>
          <w:p>
            <w:pPr>
              <w:spacing w:after="0"/>
              <w:rPr>
                <w:sz w:val="24"/>
                <w:szCs w:val="24"/>
                <w:color w:val="auto"/>
              </w:rPr>
            </w:pPr>
          </w:p>
        </w:tc>
      </w:tr>
      <w:tr>
        <w:trPr>
          <w:trHeight w:val="445"/>
        </w:trPr>
        <w:tc>
          <w:tcPr>
            <w:tcW w:w="7720" w:type="dxa"/>
            <w:vAlign w:val="bottom"/>
          </w:tcPr>
          <w:p>
            <w:pPr>
              <w:spacing w:after="0"/>
              <w:rPr>
                <w:sz w:val="20"/>
                <w:szCs w:val="20"/>
                <w:color w:val="auto"/>
              </w:rPr>
            </w:pPr>
            <w:r>
              <w:rPr>
                <w:rFonts w:ascii="Arial" w:cs="Arial" w:eastAsia="Arial" w:hAnsi="Arial"/>
                <w:sz w:val="18"/>
                <w:szCs w:val="18"/>
                <w:b w:val="1"/>
                <w:bCs w:val="1"/>
                <w:color w:val="auto"/>
              </w:rPr>
              <w:t>Wynn Las Vegas, LLC</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(A Wholly Owned Subsidiary of Valvino Lamore, LLC and a Development Stage Company)</w:t>
            </w:r>
          </w:p>
        </w:tc>
        <w:tc>
          <w:tcPr>
            <w:tcW w:w="11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F-36</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Balance Sheets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F-37</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F-38</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Statements of Members' Deficiency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F-39</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F-40</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Notes to Financial Statements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F-41</w:t>
            </w:r>
          </w:p>
        </w:tc>
      </w:tr>
      <w:tr>
        <w:trPr>
          <w:trHeight w:val="46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Unaudited Guarantor Financial Information</w:t>
            </w:r>
          </w:p>
        </w:tc>
        <w:tc>
          <w:tcPr>
            <w:tcW w:w="118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Valvino Lamore, LLC and Subsidiaries</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F-48</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Balance Sheet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F-49</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Pro Forma Unaudited Guarantor Consolidating Statements of Operations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F-50</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Statements of Cash Flow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F-52</w:t>
            </w:r>
          </w:p>
        </w:tc>
        <w:tc>
          <w:tcPr>
            <w:tcW w:w="2520" w:type="dxa"/>
            <w:vAlign w:val="bottom"/>
          </w:tcPr>
          <w:p>
            <w:pPr>
              <w:spacing w:after="0"/>
              <w:rPr>
                <w:sz w:val="24"/>
                <w:szCs w:val="24"/>
                <w:color w:val="auto"/>
              </w:rPr>
            </w:pPr>
          </w:p>
        </w:tc>
      </w:tr>
      <w:tr>
        <w:trPr>
          <w:trHeight w:val="430"/>
        </w:trPr>
        <w:tc>
          <w:tcPr>
            <w:tcW w:w="7720" w:type="dxa"/>
            <w:vAlign w:val="bottom"/>
          </w:tcPr>
          <w:p>
            <w:pPr>
              <w:spacing w:after="0"/>
              <w:rPr>
                <w:sz w:val="20"/>
                <w:szCs w:val="20"/>
                <w:color w:val="auto"/>
              </w:rPr>
            </w:pPr>
            <w:r>
              <w:rPr>
                <w:rFonts w:ascii="Arial" w:cs="Arial" w:eastAsia="Arial" w:hAnsi="Arial"/>
                <w:sz w:val="18"/>
                <w:szCs w:val="18"/>
                <w:color w:val="auto"/>
              </w:rPr>
              <w:t>Notes to Pro Forma Unaudited Guarantor Financial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F-54</w:t>
            </w:r>
          </w:p>
        </w:tc>
      </w:tr>
      <w:tr>
        <w:trPr>
          <w:trHeight w:val="432"/>
        </w:trPr>
        <w:tc>
          <w:tcPr>
            <w:tcW w:w="7720" w:type="dxa"/>
            <w:vAlign w:val="bottom"/>
          </w:tcPr>
          <w:p>
            <w:pPr>
              <w:ind w:left="560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77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400" w:type="dxa"/>
        <w:tblCellMar>
          <w:top w:w="0" w:type="dxa"/>
          <w:left w:w="0" w:type="dxa"/>
          <w:bottom w:w="0" w:type="dxa"/>
          <w:right w:w="0" w:type="dxa"/>
        </w:tblCellMar>
      </w:tblPr>
      <w:tr>
        <w:trPr>
          <w:trHeight w:val="174"/>
        </w:trPr>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ind w:left="380"/>
              <w:spacing w:after="0"/>
              <w:rPr>
                <w:sz w:val="20"/>
                <w:szCs w:val="20"/>
                <w:color w:val="auto"/>
              </w:rPr>
            </w:pPr>
            <w:r>
              <w:rPr>
                <w:rFonts w:ascii="Arial" w:cs="Arial" w:eastAsia="Arial" w:hAnsi="Arial"/>
                <w:sz w:val="14"/>
                <w:szCs w:val="14"/>
                <w:b w:val="1"/>
                <w:bCs w:val="1"/>
                <w:color w:val="auto"/>
                <w:w w:val="94"/>
              </w:rPr>
              <w:t>(As restated, see Note 12)</w:t>
            </w:r>
          </w:p>
        </w:tc>
        <w:tc>
          <w:tcPr>
            <w:tcW w:w="1800" w:type="dxa"/>
            <w:vAlign w:val="bottom"/>
          </w:tcPr>
          <w:p>
            <w:pPr>
              <w:spacing w:after="0"/>
              <w:rPr>
                <w:sz w:val="15"/>
                <w:szCs w:val="15"/>
                <w:color w:val="auto"/>
              </w:rPr>
            </w:pPr>
          </w:p>
        </w:tc>
      </w:tr>
      <w:tr>
        <w:trPr>
          <w:trHeight w:val="105"/>
        </w:trPr>
        <w:tc>
          <w:tcPr>
            <w:tcW w:w="14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241"/>
        </w:trPr>
        <w:tc>
          <w:tcPr>
            <w:tcW w:w="1460" w:type="dxa"/>
            <w:vAlign w:val="bottom"/>
          </w:tcPr>
          <w:p>
            <w:pPr>
              <w:jc w:val="center"/>
              <w:ind w:right="772"/>
              <w:spacing w:after="0"/>
              <w:rPr>
                <w:sz w:val="20"/>
                <w:szCs w:val="20"/>
                <w:color w:val="auto"/>
              </w:rPr>
            </w:pPr>
            <w:r>
              <w:rPr>
                <w:rFonts w:ascii="Arial" w:cs="Arial" w:eastAsia="Arial" w:hAnsi="Arial"/>
                <w:sz w:val="14"/>
                <w:szCs w:val="14"/>
                <w:b w:val="1"/>
                <w:bCs w:val="1"/>
                <w:color w:val="auto"/>
                <w:w w:val="88"/>
              </w:rPr>
              <w:t>Pro Forma</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20"/>
                <w:szCs w:val="20"/>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146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8"/>
              </w:rPr>
              <w:t>Equity</w:t>
            </w:r>
          </w:p>
        </w:tc>
        <w:tc>
          <w:tcPr>
            <w:tcW w:w="1420" w:type="dxa"/>
            <w:vAlign w:val="bottom"/>
          </w:tcPr>
          <w:p>
            <w:pPr>
              <w:jc w:val="right"/>
              <w:ind w:right="512"/>
              <w:spacing w:after="0" w:line="149" w:lineRule="exact"/>
              <w:rPr>
                <w:sz w:val="20"/>
                <w:szCs w:val="20"/>
                <w:color w:val="auto"/>
              </w:rPr>
            </w:pPr>
            <w:r>
              <w:rPr>
                <w:rFonts w:ascii="Arial" w:cs="Arial" w:eastAsia="Arial" w:hAnsi="Arial"/>
                <w:sz w:val="14"/>
                <w:szCs w:val="14"/>
                <w:b w:val="1"/>
                <w:bCs w:val="1"/>
                <w:color w:val="auto"/>
              </w:rPr>
              <w:t>2002</w:t>
            </w:r>
          </w:p>
        </w:tc>
        <w:tc>
          <w:tcPr>
            <w:tcW w:w="2000" w:type="dxa"/>
            <w:vAlign w:val="bottom"/>
            <w:gridSpan w:val="2"/>
          </w:tcPr>
          <w:p>
            <w:pPr>
              <w:jc w:val="right"/>
              <w:ind w:right="692"/>
              <w:spacing w:after="0" w:line="149" w:lineRule="exact"/>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2"/>
                <w:szCs w:val="12"/>
                <w:color w:val="auto"/>
              </w:rPr>
            </w:pPr>
          </w:p>
        </w:tc>
        <w:tc>
          <w:tcPr>
            <w:tcW w:w="18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2000</w:t>
            </w:r>
          </w:p>
        </w:tc>
      </w:tr>
      <w:tr>
        <w:trPr>
          <w:trHeight w:val="131"/>
        </w:trPr>
        <w:tc>
          <w:tcPr>
            <w:tcW w:w="1460" w:type="dxa"/>
            <w:vAlign w:val="bottom"/>
          </w:tcPr>
          <w:p>
            <w:pPr>
              <w:jc w:val="center"/>
              <w:ind w:right="792"/>
              <w:spacing w:after="0" w:line="131" w:lineRule="exact"/>
              <w:rPr>
                <w:sz w:val="20"/>
                <w:szCs w:val="20"/>
                <w:color w:val="auto"/>
              </w:rPr>
            </w:pPr>
            <w:r>
              <w:rPr>
                <w:rFonts w:ascii="Arial" w:cs="Arial" w:eastAsia="Arial" w:hAnsi="Arial"/>
                <w:sz w:val="14"/>
                <w:szCs w:val="14"/>
                <w:b w:val="1"/>
                <w:bCs w:val="1"/>
                <w:color w:val="auto"/>
                <w:w w:val="85"/>
              </w:rPr>
              <w:t>June 30,</w:t>
            </w:r>
          </w:p>
        </w:tc>
        <w:tc>
          <w:tcPr>
            <w:tcW w:w="1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-357505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-357505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54" w:name="page155"/>
    <w:bookmarkEnd w:id="154"/>
    <w:p>
      <w:pPr>
        <w:spacing w:after="0" w:line="62"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2002</w:t>
      </w:r>
    </w:p>
    <w:p>
      <w:pPr>
        <w:spacing w:after="0" w:line="1"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58420</wp:posOffset>
            </wp:positionV>
            <wp:extent cx="1204595"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459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7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2,077</w:t>
            </w:r>
          </w:p>
        </w:tc>
        <w:tc>
          <w:tcPr>
            <w:tcW w:w="22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Authorized, zero shares outstanding</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1"/>
              </w:rPr>
              <w:t>400,000,000 shares authorized, 40,000,000 shares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585,666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1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(41,118)</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544,948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384,230</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 Equity</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-5331460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-5331460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-5331460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-5331460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-5331460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-5331460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-4336415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-4336415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-4336415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-4336415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-4336415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-2878455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-2878455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-2878455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-2878455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-2878455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-2878455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-648970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-648970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-648970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-648970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-648970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(As restated,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66675</wp:posOffset>
            </wp:positionV>
            <wp:extent cx="597281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7281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1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Year Ended</w:t>
            </w:r>
          </w:p>
        </w:tc>
        <w:tc>
          <w:tcPr>
            <w:tcW w:w="204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From Inception to</w:t>
            </w:r>
          </w:p>
        </w:tc>
        <w:tc>
          <w:tcPr>
            <w:tcW w:w="100" w:type="dxa"/>
            <w:vAlign w:val="bottom"/>
          </w:tcPr>
          <w:p>
            <w:pPr>
              <w:spacing w:after="0"/>
              <w:rPr>
                <w:sz w:val="12"/>
                <w:szCs w:val="12"/>
                <w:color w:val="auto"/>
              </w:rPr>
            </w:pPr>
          </w:p>
        </w:tc>
        <w:tc>
          <w:tcPr>
            <w:tcW w:w="1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June 30, 2002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 2001</w:t>
            </w:r>
          </w:p>
        </w:tc>
        <w:tc>
          <w:tcPr>
            <w:tcW w:w="2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2001</w:t>
            </w:r>
          </w:p>
        </w:tc>
        <w:tc>
          <w:tcPr>
            <w:tcW w:w="2040" w:type="dxa"/>
            <w:vAlign w:val="bottom"/>
          </w:tcPr>
          <w:p>
            <w:pPr>
              <w:jc w:val="right"/>
              <w:ind w:right="412"/>
              <w:spacing w:after="0"/>
              <w:rPr>
                <w:sz w:val="20"/>
                <w:szCs w:val="20"/>
                <w:color w:val="auto"/>
              </w:rPr>
            </w:pPr>
            <w:r>
              <w:rPr>
                <w:rFonts w:ascii="Arial" w:cs="Arial" w:eastAsia="Arial" w:hAnsi="Arial"/>
                <w:sz w:val="14"/>
                <w:szCs w:val="14"/>
                <w:b w:val="1"/>
                <w:bCs w:val="1"/>
                <w:color w:val="auto"/>
              </w:rPr>
              <w:t>December 31, 2000</w:t>
            </w:r>
          </w:p>
        </w:tc>
        <w:tc>
          <w:tcPr>
            <w:tcW w:w="100" w:type="dxa"/>
            <w:vAlign w:val="bottom"/>
          </w:tcPr>
          <w:p>
            <w:pPr>
              <w:spacing w:after="0"/>
              <w:rPr>
                <w:sz w:val="15"/>
                <w:szCs w:val="15"/>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2"/>
          </w:tcPr>
          <w:p>
            <w:pPr>
              <w:ind w:left="220"/>
              <w:spacing w:after="0"/>
              <w:rPr>
                <w:sz w:val="20"/>
                <w:szCs w:val="20"/>
                <w:color w:val="auto"/>
              </w:rPr>
            </w:pPr>
            <w:r>
              <w:rPr>
                <w:rFonts w:ascii="Arial" w:cs="Arial" w:eastAsia="Arial" w:hAnsi="Arial"/>
                <w:sz w:val="14"/>
                <w:szCs w:val="14"/>
                <w:color w:val="auto"/>
              </w:rPr>
              <w:t>Airplane</w:t>
            </w:r>
          </w:p>
        </w:tc>
        <w:tc>
          <w:tcPr>
            <w:tcW w:w="320" w:type="dxa"/>
            <w:vAlign w:val="bottom"/>
          </w:tcPr>
          <w:p>
            <w:pPr>
              <w:jc w:val="right"/>
              <w:spacing w:after="0"/>
              <w:rPr>
                <w:sz w:val="20"/>
                <w:szCs w:val="20"/>
                <w:color w:val="auto"/>
              </w:rPr>
            </w:pPr>
            <w:r>
              <w:rPr>
                <w:rFonts w:ascii="Arial" w:cs="Arial" w:eastAsia="Arial" w:hAnsi="Arial"/>
                <w:sz w:val="14"/>
                <w:szCs w:val="14"/>
                <w:color w:val="auto"/>
              </w:rPr>
              <w:t>726</w:t>
            </w:r>
          </w:p>
        </w:tc>
        <w:tc>
          <w:tcPr>
            <w:tcW w:w="1780" w:type="dxa"/>
            <w:vAlign w:val="bottom"/>
            <w:gridSpan w:val="3"/>
          </w:tcPr>
          <w:p>
            <w:pPr>
              <w:jc w:val="right"/>
              <w:ind w:right="100"/>
              <w:spacing w:after="0"/>
              <w:rPr>
                <w:sz w:val="20"/>
                <w:szCs w:val="20"/>
                <w:color w:val="auto"/>
              </w:rPr>
            </w:pPr>
            <w:r>
              <w:rPr>
                <w:rFonts w:ascii="Arial" w:cs="Arial" w:eastAsia="Arial" w:hAnsi="Arial"/>
                <w:sz w:val="14"/>
                <w:szCs w:val="14"/>
                <w:color w:val="auto"/>
              </w:rPr>
              <w:t>680</w:t>
            </w:r>
          </w:p>
        </w:tc>
        <w:tc>
          <w:tcPr>
            <w:tcW w:w="2160" w:type="dxa"/>
            <w:vAlign w:val="bottom"/>
            <w:gridSpan w:val="2"/>
          </w:tcPr>
          <w:p>
            <w:pPr>
              <w:jc w:val="right"/>
              <w:ind w:right="120"/>
              <w:spacing w:after="0"/>
              <w:rPr>
                <w:sz w:val="20"/>
                <w:szCs w:val="20"/>
                <w:color w:val="auto"/>
              </w:rPr>
            </w:pPr>
            <w:r>
              <w:rPr>
                <w:rFonts w:ascii="Arial" w:cs="Arial" w:eastAsia="Arial" w:hAnsi="Arial"/>
                <w:sz w:val="14"/>
                <w:szCs w:val="14"/>
                <w:color w:val="auto"/>
              </w:rPr>
              <w:t>1,077</w:t>
            </w:r>
          </w:p>
        </w:tc>
        <w:tc>
          <w:tcPr>
            <w:tcW w:w="2040" w:type="dxa"/>
            <w:vAlign w:val="bottom"/>
          </w:tcPr>
          <w:p>
            <w:pPr>
              <w:jc w:val="right"/>
              <w:spacing w:after="0"/>
              <w:rPr>
                <w:sz w:val="20"/>
                <w:szCs w:val="20"/>
                <w:color w:val="auto"/>
              </w:rPr>
            </w:pPr>
            <w:r>
              <w:rPr>
                <w:rFonts w:ascii="Arial" w:cs="Arial" w:eastAsia="Arial" w:hAnsi="Arial"/>
                <w:sz w:val="14"/>
                <w:szCs w:val="14"/>
                <w:color w:val="auto"/>
              </w:rPr>
              <w:t>87</w:t>
            </w:r>
          </w:p>
        </w:tc>
        <w:tc>
          <w:tcPr>
            <w:tcW w:w="1860" w:type="dxa"/>
            <w:vAlign w:val="bottom"/>
            <w:gridSpan w:val="3"/>
          </w:tcPr>
          <w:p>
            <w:pPr>
              <w:jc w:val="right"/>
              <w:ind w:right="6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gridSpan w:val="2"/>
            <w:shd w:val="clear" w:color="auto" w:fill="CCEEFF"/>
          </w:tcPr>
          <w:p>
            <w:pPr>
              <w:ind w:left="220"/>
              <w:spacing w:after="0" w:line="151" w:lineRule="exact"/>
              <w:rPr>
                <w:sz w:val="20"/>
                <w:szCs w:val="20"/>
                <w:color w:val="auto"/>
              </w:rPr>
            </w:pPr>
            <w:r>
              <w:rPr>
                <w:rFonts w:ascii="Arial" w:cs="Arial" w:eastAsia="Arial" w:hAnsi="Arial"/>
                <w:sz w:val="14"/>
                <w:szCs w:val="14"/>
                <w:color w:val="auto"/>
              </w:rPr>
              <w:t>Art gallery</w:t>
            </w:r>
          </w:p>
        </w:tc>
        <w:tc>
          <w:tcPr>
            <w:tcW w:w="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35</w:t>
            </w:r>
          </w:p>
        </w:tc>
        <w:tc>
          <w:tcPr>
            <w:tcW w:w="20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-674370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-674370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-674370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-674370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-674370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-674370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-674370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-674370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-674370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-674370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55" w:name="page156"/>
    <w:bookmarkEnd w:id="15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Retail</w:t>
            </w:r>
          </w:p>
        </w:tc>
        <w:tc>
          <w:tcPr>
            <w:tcW w:w="5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Pre-opening costs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Depreciation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amortization</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w w:val="98"/>
              </w:rPr>
              <w:t>Loss on sale of fixed assets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Selling, general &amp;</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administrative expenses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Facility closure</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expenses</w:t>
            </w:r>
          </w:p>
        </w:tc>
        <w:tc>
          <w:tcPr>
            <w:tcW w:w="54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1,206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1,579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Cost of retail sales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Loss from incidental</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operations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10,456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47,685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Loss</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(13,403)</w:t>
            </w: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(9,770)</w:t>
            </w:r>
          </w:p>
        </w:tc>
        <w:tc>
          <w:tcPr>
            <w:tcW w:w="7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(20,060)</w:t>
            </w: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(12,033)</w:t>
            </w:r>
          </w:p>
        </w:tc>
        <w:tc>
          <w:tcPr>
            <w:tcW w:w="6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Interest expense, net of</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amounts capitalized</w:t>
            </w:r>
          </w:p>
        </w:tc>
        <w:tc>
          <w:tcPr>
            <w:tcW w:w="5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(453)</w:t>
            </w: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6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6"/>
              </w:rPr>
              <w:t>Net loss accumulated during</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the development stage</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(12,776)</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(8,234)</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(17,726)</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(10,616)</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9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gridSpan w:val="2"/>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(61.19)</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(40.52)</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(86.27)</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(53.08)</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Pro Forma Share, Information</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Diluted</w:t>
            </w: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-4505325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-4505325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-4505325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-4505325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-4505325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-4505325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-4505325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-4505325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-4505325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-4505325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-2790190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-2790190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-2790190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-2790190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-2790190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-2790190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-2790190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-2790190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-2790190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-2790190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-2541905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-2541905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-2541905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-2541905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-2541905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-2541905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-2541905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-2541905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-2541905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-2541905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-1795780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-1795780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-1795780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-1795780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-1795780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-1795780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-1795780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-1795780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-1795780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-1795780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-1546860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-1546860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-1546860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-1546860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-1546860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-1546860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-1546860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-1546860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-1546860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-1546860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Kenneth 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Stephen A.</w:t>
            </w:r>
          </w:p>
        </w:tc>
        <w:tc>
          <w:tcPr>
            <w:tcW w:w="15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Aruze USA,</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Baron</w:t>
            </w: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Wynn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Wynn Capital</w:t>
            </w: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 Capital</w:t>
            </w: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Asset Fund</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Family Trust</w:t>
            </w: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at Inception (April 21, 2000)</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70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5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2000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2001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207,692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Member contributions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-3168015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-3168015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-3168015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-3168015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-3168015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-3168015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-3168015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-3168015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-3168015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-3168015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-3168015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-3168015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-2001520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-2001520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-2001520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-2001520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-2001520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-2001520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-2001520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-2001520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-2001520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-2001520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-2001520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-2001520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-681355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-681355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-681355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-681355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-681355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-681355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-681355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-681355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-681355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-681355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-681355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-681355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20"/>
          </w:cols>
          <w:pgMar w:left="240" w:top="465" w:right="239" w:bottom="0" w:gutter="0" w:footer="0" w:header="0"/>
        </w:sectPr>
      </w:pPr>
    </w:p>
    <w:bookmarkStart w:id="156" w:name="page157"/>
    <w:bookmarkEnd w:id="1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4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1"/>
              </w:rPr>
              <w:t>development stage (unaudited) (As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at June 30, 2002 (unaudited)</w:t>
            </w: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-460375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-460375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-460375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-460375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-460375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-460375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-460375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-460375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-460375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-460375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(As restated, see Note 12)</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 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(12,776)</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(8,234)</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(17,726)</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(10,616)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 during</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the development stage to net cash provided by/(used</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 operating activities:</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4,599</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8,163</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4,045</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loan origination fees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Loss on sale of fixed assets</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Incidental operations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585</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(8,986)</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by/(Used in) Operating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(4,917)</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(5,900)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Desert Inn Resort and Casino, net of</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(19,460)</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(29,082)</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(47,617)</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(4,853)</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(1,707)</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(1,299)</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776</w:t>
            </w: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(26,115)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(30,212)</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(328,419)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-4128135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-4128135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-3596640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-3596640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-3596640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-3596640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-3596640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-3596640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-3596640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-3596640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-3596640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Proceeds from issuance of related party loan</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1"/>
                <w:szCs w:val="21"/>
                <w:color w:val="auto"/>
              </w:rPr>
            </w:pPr>
          </w:p>
        </w:tc>
      </w:tr>
      <w:tr>
        <w:trPr>
          <w:trHeight w:val="256"/>
        </w:trPr>
        <w:tc>
          <w:tcPr>
            <w:tcW w:w="3000" w:type="dxa"/>
            <w:vAlign w:val="bottom"/>
          </w:tcPr>
          <w:p>
            <w:pPr>
              <w:ind w:left="22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r>
      <w:tr>
        <w:trPr>
          <w:trHeight w:val="105"/>
        </w:trPr>
        <w:tc>
          <w:tcPr>
            <w:tcW w:w="30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3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8"/>
        </w:trPr>
        <w:tc>
          <w:tcPr>
            <w:tcW w:w="30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30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r>
      <w:tr>
        <w:trPr>
          <w:trHeight w:val="118"/>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3000" w:type="dxa"/>
            <w:vAlign w:val="bottom"/>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148,592</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(15,161)</w:t>
            </w: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2"/>
                <w:szCs w:val="22"/>
                <w:color w:val="auto"/>
              </w:rPr>
            </w:pPr>
          </w:p>
        </w:tc>
      </w:tr>
      <w:tr>
        <w:trPr>
          <w:trHeight w:val="149"/>
        </w:trPr>
        <w:tc>
          <w:tcPr>
            <w:tcW w:w="3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18"/>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266"/>
        </w:trPr>
        <w:tc>
          <w:tcPr>
            <w:tcW w:w="3000" w:type="dxa"/>
            <w:vAlign w:val="bottom"/>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20" w:type="dxa"/>
            <w:vAlign w:val="bottom"/>
          </w:tcPr>
          <w:p>
            <w:pPr>
              <w:spacing w:after="0"/>
              <w:rPr>
                <w:sz w:val="23"/>
                <w:szCs w:val="2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r>
      <w:tr>
        <w:trPr>
          <w:trHeight w:val="92"/>
        </w:trPr>
        <w:tc>
          <w:tcPr>
            <w:tcW w:w="3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61"/>
        </w:trPr>
        <w:tc>
          <w:tcPr>
            <w:tcW w:w="300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300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-1034415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-1034415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-1034415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-1034415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-1034415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-1034415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-1034415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-1034415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-1034415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-1034415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-691515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-691515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-691515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-691515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-691515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-691515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-691515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-691515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-691515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-691515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-347980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-347980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-347980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-347980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-347980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-347980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-347980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-347980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-347980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-347980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104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453</w:t>
            </w:r>
          </w:p>
        </w:tc>
        <w:tc>
          <w:tcPr>
            <w:tcW w:w="76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90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39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9398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58420</wp:posOffset>
            </wp:positionV>
            <wp:extent cx="5278120"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7812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26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Valvino Lamore, LLC was formed on April 21, 2000 as a Nevada limited-liability company. At formation, the Company's sole member was Stephen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Wynn. As of December 31, 2001, subsidiaries of Valvino Lamore, LLC include Wynn Design and Development, LLC, Rambas Marketing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collectively, with Valvino Lamore, LLC, herein referred to as the "Company."</w:t>
      </w:r>
    </w:p>
    <w:p>
      <w:pPr>
        <w:spacing w:after="0" w:line="219"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14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consisted of an airplane, for approximately $10 million. The acquisition was treated as a reorganization of entities under common control. Accordingly, in accordance with Statement of Financial Accounting Standards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60" w:firstLine="341"/>
        <w:spacing w:after="0" w:line="298" w:lineRule="auto"/>
        <w:rPr>
          <w:sz w:val="20"/>
          <w:szCs w:val="20"/>
          <w:color w:val="auto"/>
        </w:rPr>
      </w:pPr>
      <w:r>
        <w:rPr>
          <w:rFonts w:ascii="Arial" w:cs="Arial" w:eastAsia="Arial" w:hAnsi="Arial"/>
          <w:sz w:val="16"/>
          <w:szCs w:val="16"/>
          <w:color w:val="auto"/>
        </w:rPr>
        <w:t>Additionally, effective June 28, 2001, the Nevada Public Utility Commission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Development Stage Risk Factors</w:t>
      </w:r>
    </w:p>
    <w:p>
      <w:pPr>
        <w:sectPr>
          <w:pgSz w:w="11900" w:h="16838" w:orient="portrait"/>
          <w:cols w:equalWidth="0" w:num="1">
            <w:col w:w="11420"/>
          </w:cols>
          <w:pgMar w:left="240" w:top="116" w:right="239" w:bottom="215" w:gutter="0" w:footer="0" w:header="0"/>
        </w:sectPr>
      </w:pPr>
    </w:p>
    <w:bookmarkStart w:id="158" w:name="page159"/>
    <w:bookmarkEnd w:id="158"/>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540" w:hanging="532"/>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 to 3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Parking garage</w:t>
            </w:r>
          </w:p>
        </w:tc>
        <w:tc>
          <w:tcPr>
            <w:tcW w:w="3260" w:type="dxa"/>
            <w:vAlign w:val="bottom"/>
          </w:tcPr>
          <w:p>
            <w:pPr>
              <w:ind w:left="1900"/>
              <w:spacing w:after="0"/>
              <w:rPr>
                <w:sz w:val="20"/>
                <w:szCs w:val="20"/>
                <w:color w:val="auto"/>
              </w:rPr>
            </w:pPr>
            <w:r>
              <w:rPr>
                <w:rFonts w:ascii="Arial" w:cs="Arial" w:eastAsia="Arial" w:hAnsi="Arial"/>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7 years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ind w:left="190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880"/>
          </w:cols>
          <w:pgMar w:left="780" w:top="131" w:right="239" w:bottom="0" w:gutter="0" w:footer="0" w:header="0"/>
        </w:sectPr>
      </w:pPr>
    </w:p>
    <w:bookmarkStart w:id="159" w:name="page160"/>
    <w:bookmarkEnd w:id="159"/>
    <w:p>
      <w:pPr>
        <w:ind w:right="8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6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860"/>
          </w:cols>
          <w:pgMar w:left="780" w:top="374" w:right="259" w:bottom="0" w:gutter="0" w:footer="0" w:header="0"/>
        </w:sectPr>
      </w:pPr>
    </w:p>
    <w:bookmarkStart w:id="160" w:name="page161"/>
    <w:bookmarkEnd w:id="16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right="400"/>
        <w:spacing w:after="0" w:line="332" w:lineRule="auto"/>
        <w:rPr>
          <w:sz w:val="20"/>
          <w:szCs w:val="20"/>
          <w:color w:val="auto"/>
        </w:rPr>
      </w:pPr>
      <w:r>
        <w:rPr>
          <w:rFonts w:ascii="Arial" w:cs="Arial" w:eastAsia="Arial" w:hAnsi="Arial"/>
          <w:sz w:val="16"/>
          <w:szCs w:val="16"/>
          <w:color w:val="auto"/>
        </w:rPr>
        <w:t>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39" w:lineRule="exact"/>
        <w:rPr>
          <w:sz w:val="20"/>
          <w:szCs w:val="20"/>
          <w:color w:val="auto"/>
        </w:rPr>
      </w:pPr>
    </w:p>
    <w:p>
      <w:pPr>
        <w:ind w:left="540"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40"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1080" w:hanging="532"/>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-1163320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-1163320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598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Hotel/Golf Course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97"/>
        </w:trPr>
        <w:tc>
          <w:tcPr>
            <w:tcW w:w="240" w:type="dxa"/>
            <w:vAlign w:val="bottom"/>
          </w:tcPr>
          <w:p>
            <w:pPr>
              <w:spacing w:after="0"/>
              <w:rPr>
                <w:sz w:val="8"/>
                <w:szCs w:val="8"/>
                <w:color w:val="auto"/>
              </w:rPr>
            </w:pPr>
          </w:p>
        </w:tc>
        <w:tc>
          <w:tcPr>
            <w:tcW w:w="1560" w:type="dxa"/>
            <w:vAlign w:val="bottom"/>
            <w:tcBorders>
              <w:right w:val="single" w:sz="8" w:color="CCEEFF"/>
            </w:tcBorders>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-665480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-665480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-416560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-416560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-416560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-416560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834" w:right="259" w:bottom="0" w:gutter="0" w:footer="0" w:header="0"/>
        </w:sectPr>
      </w:pPr>
    </w:p>
    <w:bookmarkStart w:id="161" w:name="page162"/>
    <w:bookmarkEnd w:id="161"/>
    <w:tbl>
      <w:tblPr>
        <w:tblLayout w:type="fixed"/>
        <w:tblInd w:w="1780" w:type="dxa"/>
        <w:tblCellMar>
          <w:top w:w="0" w:type="dxa"/>
          <w:left w:w="0" w:type="dxa"/>
          <w:bottom w:w="0" w:type="dxa"/>
          <w:right w:w="0" w:type="dxa"/>
        </w:tblCellMar>
      </w:tblP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r>
      <w:tr>
        <w:trPr>
          <w:trHeight w:val="218"/>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6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8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ectPr>
          <w:pgSz w:w="11900" w:h="16838" w:orient="portrait"/>
          <w:cols w:equalWidth="0" w:num="1">
            <w:col w:w="11400"/>
          </w:cols>
          <w:pgMar w:left="240" w:top="140" w:right="259" w:bottom="0" w:gutter="0" w:footer="0" w:header="0"/>
        </w:sectPr>
      </w:pPr>
    </w:p>
    <w:bookmarkStart w:id="162" w:name="page163"/>
    <w:bookmarkEnd w:id="162"/>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right="2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91" w:gutter="0" w:footer="0" w:header="0"/>
        </w:sectPr>
      </w:pPr>
    </w:p>
    <w:bookmarkStart w:id="163" w:name="page164"/>
    <w:bookmarkEnd w:id="163"/>
    <w:p>
      <w:pPr>
        <w:ind w:right="38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540" w:hanging="532"/>
        <w:spacing w:after="0"/>
        <w:tabs>
          <w:tab w:leader="none" w:pos="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75" w:lineRule="exact"/>
        <w:rPr>
          <w:sz w:val="20"/>
          <w:szCs w:val="20"/>
          <w:color w:val="auto"/>
        </w:rPr>
      </w:pPr>
    </w:p>
    <w:p>
      <w:pPr>
        <w:ind w:left="540" w:hanging="532"/>
        <w:spacing w:after="0"/>
        <w:tabs>
          <w:tab w:leader="none" w:pos="5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88" w:lineRule="exact"/>
        <w:rPr>
          <w:sz w:val="20"/>
          <w:szCs w:val="20"/>
          <w:color w:val="auto"/>
        </w:rPr>
      </w:pPr>
    </w:p>
    <w:p>
      <w:pPr>
        <w:ind w:left="540" w:hanging="532"/>
        <w:spacing w:after="0"/>
        <w:tabs>
          <w:tab w:leader="none" w:pos="5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7"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w:t>
      </w:r>
    </w:p>
    <w:p>
      <w:pPr>
        <w:sectPr>
          <w:pgSz w:w="11900" w:h="16838" w:orient="portrait"/>
          <w:cols w:equalWidth="0" w:num="1">
            <w:col w:w="10880"/>
          </w:cols>
          <w:pgMar w:left="780" w:top="131" w:right="239" w:bottom="0" w:gutter="0" w:footer="0" w:header="0"/>
        </w:sectPr>
      </w:pPr>
    </w:p>
    <w:bookmarkStart w:id="164" w:name="page165"/>
    <w:bookmarkEnd w:id="164"/>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jc w:val="both"/>
        <w:ind w:left="540" w:right="32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208" w:lineRule="exact"/>
        <w:rPr>
          <w:sz w:val="20"/>
          <w:szCs w:val="20"/>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left="540" w:right="34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97" w:lineRule="exact"/>
        <w:rPr>
          <w:sz w:val="20"/>
          <w:szCs w:val="20"/>
          <w:color w:val="auto"/>
        </w:rPr>
      </w:pPr>
    </w:p>
    <w:p>
      <w:pPr>
        <w:ind w:left="540" w:hanging="532"/>
        <w:spacing w:after="0"/>
        <w:tabs>
          <w:tab w:leader="none" w:pos="54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1240" w:type="dxa"/>
            <w:vAlign w:val="bottom"/>
          </w:tcPr>
          <w:p>
            <w:pPr>
              <w:jc w:val="center"/>
              <w:ind w:right="372"/>
              <w:spacing w:after="0"/>
              <w:rPr>
                <w:sz w:val="20"/>
                <w:szCs w:val="20"/>
                <w:color w:val="auto"/>
              </w:rPr>
            </w:pPr>
            <w:r>
              <w:rPr>
                <w:rFonts w:ascii="Arial" w:cs="Arial" w:eastAsia="Arial" w:hAnsi="Arial"/>
                <w:sz w:val="14"/>
                <w:szCs w:val="14"/>
                <w:b w:val="1"/>
                <w:bCs w:val="1"/>
                <w:color w:val="auto"/>
                <w:w w:val="88"/>
              </w:rPr>
              <w:t>Valvino</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130"/>
        </w:trPr>
        <w:tc>
          <w:tcPr>
            <w:tcW w:w="1240" w:type="dxa"/>
            <w:vAlign w:val="bottom"/>
          </w:tcPr>
          <w:p>
            <w:pPr>
              <w:jc w:val="center"/>
              <w:ind w:right="372"/>
              <w:spacing w:after="0" w:line="131" w:lineRule="exact"/>
              <w:rPr>
                <w:sz w:val="20"/>
                <w:szCs w:val="20"/>
                <w:color w:val="auto"/>
              </w:rPr>
            </w:pPr>
            <w:r>
              <w:rPr>
                <w:rFonts w:ascii="Arial" w:cs="Arial" w:eastAsia="Arial" w:hAnsi="Arial"/>
                <w:sz w:val="14"/>
                <w:szCs w:val="14"/>
                <w:b w:val="1"/>
                <w:bCs w:val="1"/>
                <w:color w:val="auto"/>
                <w:w w:val="93"/>
              </w:rPr>
              <w:t>Lamore, LLC</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Vegas, LLC</w:t>
            </w:r>
          </w:p>
        </w:tc>
        <w:tc>
          <w:tcPr>
            <w:tcW w:w="14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Guarantors</w:t>
            </w: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Non-Guarantors</w:t>
            </w:r>
          </w:p>
        </w:tc>
        <w:tc>
          <w:tcPr>
            <w:tcW w:w="13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Entries</w:t>
            </w:r>
          </w:p>
        </w:tc>
        <w:tc>
          <w:tcPr>
            <w:tcW w:w="1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-13970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-13970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131" w:right="299" w:bottom="0" w:gutter="0" w:footer="0" w:header="0"/>
        </w:sectPr>
      </w:pPr>
    </w:p>
    <w:bookmarkStart w:id="165" w:name="page166"/>
    <w:bookmarkEnd w:id="165"/>
    <w:p>
      <w:pPr>
        <w:spacing w:after="0" w:line="62"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and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-93345</wp:posOffset>
            </wp:positionV>
            <wp:extent cx="947420" cy="190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947420" cy="190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-93345</wp:posOffset>
            </wp:positionV>
            <wp:extent cx="2713990" cy="190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13990" cy="19050"/>
                    </a:xfrm>
                    <a:prstGeom prst="rect">
                      <a:avLst/>
                    </a:prstGeom>
                    <a:noFill/>
                  </pic:spPr>
                </pic:pic>
              </a:graphicData>
            </a:graphic>
          </wp:anchor>
        </w:drawing>
      </w:r>
    </w:p>
    <w:p>
      <w:pPr>
        <w:jc w:val="center"/>
        <w:ind w:right="1400"/>
        <w:spacing w:after="0" w:line="223" w:lineRule="auto"/>
        <w:rPr>
          <w:sz w:val="20"/>
          <w:szCs w:val="20"/>
          <w:color w:val="auto"/>
        </w:rPr>
      </w:pPr>
      <w:r>
        <w:rPr>
          <w:rFonts w:ascii="Arial" w:cs="Arial" w:eastAsia="Arial" w:hAnsi="Arial"/>
          <w:sz w:val="14"/>
          <w:szCs w:val="14"/>
          <w:b w:val="1"/>
          <w:bCs w:val="1"/>
          <w:color w:val="auto"/>
        </w:rPr>
        <w:t>Las Vegas</w:t>
      </w:r>
    </w:p>
    <w:p>
      <w:pPr>
        <w:jc w:val="center"/>
        <w:ind w:right="1420"/>
        <w:spacing w:after="0"/>
        <w:rPr>
          <w:sz w:val="20"/>
          <w:szCs w:val="20"/>
          <w:color w:val="auto"/>
        </w:rPr>
      </w:pPr>
      <w:r>
        <w:rPr>
          <w:rFonts w:ascii="Arial" w:cs="Arial" w:eastAsia="Arial" w:hAnsi="Arial"/>
          <w:sz w:val="14"/>
          <w:szCs w:val="14"/>
          <w:b w:val="1"/>
          <w:bCs w:val="1"/>
          <w:color w:val="auto"/>
        </w:rPr>
        <w:t>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58420</wp:posOffset>
            </wp:positionV>
            <wp:extent cx="94742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947420" cy="215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7"/>
              </w:rPr>
              <w:t>Due from Related Parties, Current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Intercompany Balances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6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Members' Equity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Contributed Capital</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Deficit Accumulated from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8"/>
                <w:szCs w:val="18"/>
                <w:color w:val="auto"/>
              </w:rPr>
              <w:t>Inception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Development Stage</w:t>
            </w:r>
          </w:p>
        </w:tc>
        <w:tc>
          <w:tcPr>
            <w:tcW w:w="5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6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66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Members'</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Equity</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243"/>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-4833620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-4833620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-4833620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-4833620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-4833620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-4833620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-4833620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-4833620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-4833620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-4833620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-4833620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-4833620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-3839210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-3839210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-3839210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-3839210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-3839210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-3839210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-3839210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-3839210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-3839210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-3839210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-3839210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-3839210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-2535555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-2535555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-2535555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-2535555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-2535555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-2535555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-2535555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-2535555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-2535555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-2535555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-2535555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Valvino Lamore,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3"/>
              </w:rPr>
              <w:t>Wynn Las Vegas,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40" w:type="dxa"/>
            <w:vAlign w:val="bottom"/>
          </w:tcPr>
          <w:p>
            <w:pPr>
              <w:spacing w:after="0"/>
              <w:rPr>
                <w:sz w:val="15"/>
                <w:szCs w:val="15"/>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All Other Non-Guarantors</w:t>
            </w: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Eliminating Entries</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6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40,559</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272,071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11,207</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Intercompany Balances, Net of Current</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82,818</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(62,038)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-2303780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-2303780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-2303780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-2303780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-2303780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-2303780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-2303780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-2303780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-2303780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-2303780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-2303780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-2303780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-914400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-914400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-914400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-914400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-914400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-914400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-914400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-914400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-914400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-914400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-914400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-914400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62"/>
        </w:trPr>
        <w:tc>
          <w:tcPr>
            <w:tcW w:w="292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430"/>
        </w:trPr>
        <w:tc>
          <w:tcPr>
            <w:tcW w:w="292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2"/>
        </w:trPr>
        <w:tc>
          <w:tcPr>
            <w:tcW w:w="29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431"/>
        </w:trPr>
        <w:tc>
          <w:tcPr>
            <w:tcW w:w="29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3"/>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Contributed Capital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(18,931)</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5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(28,342)</w:t>
            </w:r>
          </w:p>
        </w:tc>
        <w:tc>
          <w:tcPr>
            <w:tcW w:w="360" w:type="dxa"/>
            <w:vAlign w:val="bottom"/>
          </w:tcPr>
          <w:p>
            <w:pPr>
              <w:spacing w:after="0"/>
              <w:rPr>
                <w:sz w:val="19"/>
                <w:szCs w:val="19"/>
                <w:color w:val="auto"/>
              </w:rPr>
            </w:pPr>
          </w:p>
        </w:tc>
      </w:tr>
      <w:tr>
        <w:trPr>
          <w:trHeight w:val="118"/>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319"/>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5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08"/>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35"/>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-3976370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-3976370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-3976370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-3976370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-3976370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-3976370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-3976370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-3976370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-3976370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-3976370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-3976370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-3976370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-2518410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-2518410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-2518410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-2518410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-2518410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-2518410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-2518410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-2518410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-2518410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-2518410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-1249045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-1249045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-1249045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-1249045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-1249045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-1249045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-1249045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-1249045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-1249045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-1249045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-957580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-957580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-957580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-957580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-957580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-957580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-957580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-957580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-957580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Valvino Lamore,</w:t>
            </w: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5"/>
                <w:szCs w:val="15"/>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All Other Non-Guarantors</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Eliminating Entries</w:t>
            </w:r>
          </w:p>
        </w:tc>
        <w:tc>
          <w:tcPr>
            <w:tcW w:w="2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 Current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66,556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7"/>
              </w:rPr>
              <w:t>Intercompany Balances, Net of Current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3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9,987</w:t>
            </w:r>
          </w:p>
        </w:tc>
        <w:tc>
          <w:tcPr>
            <w:tcW w:w="200" w:type="dxa"/>
            <w:vAlign w:val="bottom"/>
          </w:tcPr>
          <w:p>
            <w:pPr>
              <w:spacing w:after="0"/>
              <w:rPr>
                <w:sz w:val="24"/>
                <w:szCs w:val="24"/>
                <w:color w:val="auto"/>
              </w:rPr>
            </w:pP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Members' Equity Contributed Capital</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392,572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10,035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Deficit Accumulated from Inception</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During the Development Stage</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-4576445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-4576445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-4576445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-4576445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-4576445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-4576445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-4576445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-4576445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-4576445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-4576445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-3376295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-3376295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-3376295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-3376295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-3376295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-3376295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-3376295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-3376295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-3376295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-3376295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-2484120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-2484120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-2484120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-2484120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-2484120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-2484120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-2484120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-2484120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-2484120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-2484120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-1146175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-1146175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-1146175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-1146175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-1146175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-1146175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-1146175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-1146175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-1146175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-1146175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-14605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384,010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3"/>
          </w:tcPr>
          <w:p>
            <w:pPr>
              <w:jc w:val="center"/>
              <w:ind w:right="32"/>
              <w:spacing w:after="0"/>
              <w:rPr>
                <w:sz w:val="20"/>
                <w:szCs w:val="20"/>
                <w:color w:val="auto"/>
              </w:rPr>
            </w:pPr>
            <w:r>
              <w:rPr>
                <w:rFonts w:ascii="Arial" w:cs="Arial" w:eastAsia="Arial" w:hAnsi="Arial"/>
                <w:sz w:val="18"/>
                <w:szCs w:val="18"/>
                <w:color w:val="auto"/>
                <w:w w:val="91"/>
              </w:rPr>
              <w:t>(1,999)</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9,980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(10,035)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Total Liabilities and Members'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388,928</w:t>
            </w:r>
          </w:p>
        </w:tc>
        <w:tc>
          <w:tcPr>
            <w:tcW w:w="9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center"/>
              <w:ind w:right="32"/>
              <w:spacing w:after="0"/>
              <w:rPr>
                <w:sz w:val="20"/>
                <w:szCs w:val="20"/>
                <w:color w:val="auto"/>
              </w:rPr>
            </w:pPr>
            <w:r>
              <w:rPr>
                <w:rFonts w:ascii="Arial" w:cs="Arial" w:eastAsia="Arial" w:hAnsi="Arial"/>
                <w:sz w:val="18"/>
                <w:szCs w:val="18"/>
                <w:color w:val="auto"/>
                <w:w w:val="91"/>
              </w:rPr>
              <w:t>(1,796)</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9,987</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tcBorders>
              <w:left w:val="single" w:sz="8" w:color="808080"/>
              <w:right w:val="single" w:sz="8" w:color="808080"/>
            </w:tcBorders>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gridSpan w:val="2"/>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gridSpan w:val="12"/>
          </w:tcPr>
          <w:p>
            <w:pPr>
              <w:jc w:val="center"/>
              <w:ind w:right="3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6"/>
          </w:tcPr>
          <w:p>
            <w:pPr>
              <w:jc w:val="center"/>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Six Months Ended June 30, 2002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Wynn Las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Vegas, LLC</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and Wynn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8"/>
              </w:rPr>
              <w:t>Valvino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0"/>
              </w:rPr>
              <w:t>Las Vegas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220" w:type="dxa"/>
            <w:vAlign w:val="bottom"/>
          </w:tcPr>
          <w:p>
            <w:pPr>
              <w:spacing w:after="0"/>
              <w:rPr>
                <w:sz w:val="15"/>
                <w:szCs w:val="15"/>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1"/>
              </w:rPr>
              <w:t>Capital Corp.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Entries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(846)</w:t>
            </w:r>
          </w:p>
        </w:tc>
        <w:tc>
          <w:tcPr>
            <w:tcW w:w="2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w w:val="94"/>
              </w:rPr>
              <w:t>(3,398)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(1,771)</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(6,944)</w:t>
            </w:r>
          </w:p>
        </w:tc>
        <w:tc>
          <w:tcPr>
            <w:tcW w:w="2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(843)</w:t>
            </w:r>
          </w:p>
        </w:tc>
        <w:tc>
          <w:tcPr>
            <w:tcW w:w="280" w:type="dxa"/>
            <w:vAlign w:val="bottom"/>
            <w:tcBorders>
              <w:left w:val="single" w:sz="8" w:color="CCEEFF"/>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(3,380)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left w:val="single" w:sz="8" w:color="808080"/>
              <w:right w:val="single" w:sz="8" w:color="808080"/>
            </w:tcBorders>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-8941435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-8941435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-8941435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-8941435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-8941435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-8941435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-8941435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-8941435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-8941435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-8941435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-7998460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-7998460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-5794375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-5794375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-5794375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-5794375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-5794375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-5794375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-5794375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-5794375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-5794375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-5794375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-5794375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-4885055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-4885055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-4885055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-4885055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-4885055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-4885055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-4885055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-4885055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-4885055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-4885055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-4885055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-4885055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-2878455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-2878455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-2878455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-2878455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-2878455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-2878455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-2878455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-2878455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-2878455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-2878455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-2878455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-2878455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-2569845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-2569845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-2569845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-2569845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-2569845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-2569845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-2569845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-2569845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-2569845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-2569845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-2569845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2" w:right="239" w:bottom="0" w:gutter="0" w:footer="0" w:header="0"/>
        </w:sectPr>
      </w:pPr>
    </w:p>
    <w:bookmarkStart w:id="168" w:name="page169"/>
    <w:bookmarkEnd w:id="168"/>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(5,684)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23"/>
              <w:spacing w:after="0"/>
              <w:rPr>
                <w:sz w:val="20"/>
                <w:szCs w:val="20"/>
                <w:color w:val="auto"/>
              </w:rPr>
            </w:pPr>
            <w:r>
              <w:rPr>
                <w:rFonts w:ascii="Arial" w:cs="Arial" w:eastAsia="Arial" w:hAnsi="Arial"/>
                <w:sz w:val="18"/>
                <w:szCs w:val="18"/>
                <w:color w:val="auto"/>
              </w:rPr>
              <w:t>F-26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-4627880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-4627880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-4627880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-4627880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-4627880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-4627880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-4627880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-4627880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-4627880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-4627880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-4627880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-4027805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-4027805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-4027805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-4027805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-4027805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-4027805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-4027805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-4027805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-4027805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-4027805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-2415540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-1403350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-1403350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-1094740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0"/>
                <w:szCs w:val="20"/>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-3255645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-3255645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-3255645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-3255645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-3255645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-3255645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-3255645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-3255645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-3255645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-3255645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-3255645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-3255645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-2346960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-2346960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-2346960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-2346960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-2346960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-2346960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-2346960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-2346960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-2346960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-2346960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-2346960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-2346960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-323215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-323215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-323215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86" w:gutter="0" w:footer="0" w:header="0"/>
        </w:sectPr>
      </w:pPr>
    </w:p>
    <w:bookmarkStart w:id="169" w:name="page170"/>
    <w:bookmarkEnd w:id="1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(5,807)</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 (Expense)</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Net Loss Accumulated During</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Development Stage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(5,807)</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440" w:type="dxa"/>
            <w:vAlign w:val="bottom"/>
            <w:tcBorders>
              <w:bottom w:val="single" w:sz="8" w:color="808080"/>
            </w:tcBorders>
            <w:gridSpan w:val="4"/>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14"/>
          </w:tcPr>
          <w:p>
            <w:pPr>
              <w:jc w:val="center"/>
              <w:ind w:right="7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17"/>
          </w:tcPr>
          <w:p>
            <w:pPr>
              <w:jc w:val="center"/>
              <w:ind w:right="18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From Inception to December 31, 2000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Valvino</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Non-Guarantors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(9,979)</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Net Loss Accumulated During the</w:t>
            </w: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140" w:type="dxa"/>
            <w:vAlign w:val="bottom"/>
          </w:tcPr>
          <w:p>
            <w:pPr>
              <w:spacing w:after="0"/>
              <w:rPr>
                <w:sz w:val="19"/>
                <w:szCs w:val="19"/>
                <w:color w:val="auto"/>
              </w:rPr>
            </w:pPr>
          </w:p>
        </w:tc>
        <w:tc>
          <w:tcPr>
            <w:tcW w:w="136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66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-6909435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-6909435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-6909435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-6909435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-6909435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-6909435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-6909435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-6909435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-6909435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-6909435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-6909435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-6909435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-6600825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-6600825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-6600825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-6600825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-6600825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-6600825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-6600825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-6600825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-6600825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-6600825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-6600825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-6600825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-5520055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-3873500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-3873500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-3873500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-3873500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-3873500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-3873500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-3873500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-3873500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-3873500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-3873500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-2552700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-2552700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-2552700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-2552700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-2552700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-2552700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-2552700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-2552700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-2552700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Wynn Las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Vegas, LLC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and Wynn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Valvino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0"/>
              </w:rPr>
              <w:t>Las Vegas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3"/>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Capital Corp.</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04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4,205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-502920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-502920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-502920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-502920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-502920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-502920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-502920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-502920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-502920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-502920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-502920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-502920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70" w:name="page171"/>
    <w:bookmarkEnd w:id="17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Loss/(Gain) on Sale of Fixed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Loss/(Gain) from Incidental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27,855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(27,855)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(11,790)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(25,875)</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(1,721)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12"/>
              <w:spacing w:after="0"/>
              <w:rPr>
                <w:sz w:val="20"/>
                <w:szCs w:val="20"/>
                <w:color w:val="auto"/>
              </w:rPr>
            </w:pPr>
            <w:r>
              <w:rPr>
                <w:rFonts w:ascii="Arial" w:cs="Arial" w:eastAsia="Arial" w:hAnsi="Arial"/>
                <w:sz w:val="18"/>
                <w:szCs w:val="18"/>
                <w:color w:val="auto"/>
                <w:w w:val="97"/>
              </w:rPr>
              <w:t>(12,229)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(4,108)</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99"/>
              <w:spacing w:after="0"/>
              <w:rPr>
                <w:sz w:val="20"/>
                <w:szCs w:val="20"/>
                <w:color w:val="auto"/>
              </w:rPr>
            </w:pPr>
            <w:r>
              <w:rPr>
                <w:rFonts w:ascii="Arial" w:cs="Arial" w:eastAsia="Arial" w:hAnsi="Arial"/>
                <w:sz w:val="18"/>
                <w:szCs w:val="18"/>
                <w:color w:val="auto"/>
                <w:w w:val="91"/>
              </w:rPr>
              <w:t>F-29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50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16"/>
          </w:tcPr>
          <w:p>
            <w:pPr>
              <w:jc w:val="center"/>
              <w:ind w:left="536"/>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gridSpan w:val="20"/>
          </w:tcPr>
          <w:p>
            <w:pPr>
              <w:jc w:val="center"/>
              <w:ind w:right="52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gridSpan w:val="13"/>
          </w:tcPr>
          <w:p>
            <w:pPr>
              <w:jc w:val="center"/>
              <w:ind w:right="540"/>
              <w:spacing w:after="0"/>
              <w:rPr>
                <w:sz w:val="20"/>
                <w:szCs w:val="20"/>
                <w:color w:val="auto"/>
              </w:rPr>
            </w:pPr>
            <w:r>
              <w:rPr>
                <w:rFonts w:ascii="Arial" w:cs="Arial" w:eastAsia="Arial" w:hAnsi="Arial"/>
                <w:sz w:val="18"/>
                <w:szCs w:val="18"/>
                <w:b w:val="1"/>
                <w:bCs w:val="1"/>
                <w:color w:val="auto"/>
                <w:w w:val="88"/>
              </w:rPr>
              <w:t>Six Months Ended June 30, 2002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40" w:type="dxa"/>
            <w:vAlign w:val="bottom"/>
          </w:tcPr>
          <w:p>
            <w:pPr>
              <w:spacing w:after="0"/>
              <w:rPr>
                <w:sz w:val="12"/>
                <w:szCs w:val="12"/>
                <w:color w:val="auto"/>
              </w:rPr>
            </w:pPr>
          </w:p>
        </w:tc>
        <w:tc>
          <w:tcPr>
            <w:tcW w:w="12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40" w:type="dxa"/>
            <w:vAlign w:val="bottom"/>
          </w:tcPr>
          <w:p>
            <w:pPr>
              <w:spacing w:after="0"/>
              <w:rPr>
                <w:sz w:val="15"/>
                <w:szCs w:val="15"/>
                <w:color w:val="auto"/>
              </w:rPr>
            </w:pP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1180" w:type="dxa"/>
            <w:vAlign w:val="bottom"/>
            <w:gridSpan w:val="2"/>
          </w:tcPr>
          <w:p>
            <w:pPr>
              <w:jc w:val="right"/>
              <w:ind w:right="896"/>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(6,944)</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(3,380)</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During the Development Stage to Net Cash Provided</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2,534</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1,971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w w:val="90"/>
              </w:rPr>
              <w:t>Increase (Decrease) in Cash from Changes in: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(1,788)</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w w:val="92"/>
              </w:rPr>
              <w:t>Accounts Payable and Accrued Expenses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79"/>
              </w:rPr>
              <w:t>2,622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3"/>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Net Cash Provided by / (Used in) Operating Activities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3,656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Acquisition of Airplane</w:t>
            </w:r>
          </w:p>
        </w:tc>
        <w:tc>
          <w:tcPr>
            <w:tcW w:w="3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gridSpan w:val="4"/>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-9979025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-9979025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-9979025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-9979025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-9979025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-9979025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-9979025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-9979025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-9979025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-9979025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-9979025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-9979025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-7938135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-7938135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-7938135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-7938135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-7938135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-7938135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-7938135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-7938135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-7938135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-7938135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-7938135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-7938135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-6771640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-6771640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-6771640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-6771640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-6771640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-6771640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-6771640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-6771640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-6771640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-6771640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-6771640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-6771640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-6308725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-6308725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-6308725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-6308725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-6308725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-6308725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-6308725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-6308725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-6308725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-6308725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-6308725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-6308725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-5227955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-5227955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-3023870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-3023870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-3023870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-3023870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-3023870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-3023870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-3023870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-3023870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-3023870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-3023870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-3023870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-3023870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-760095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-760095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-760095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-760095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-760095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-760095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-760095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-760095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-760095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-760095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-760095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-760095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-511175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-511175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-511175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-511175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-511175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-511175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-511175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-511175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-511175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-511175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-511175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-511175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01" w:right="239" w:bottom="0" w:gutter="0" w:footer="0" w:header="0"/>
        </w:sectPr>
      </w:pPr>
    </w:p>
    <w:bookmarkStart w:id="171" w:name="page172"/>
    <w:bookmarkEnd w:id="171"/>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0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(27,518)</w:t>
            </w:r>
          </w:p>
        </w:tc>
        <w:tc>
          <w:tcPr>
            <w:tcW w:w="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5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(27,111)</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(7,683)</w:t>
            </w: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(54,621)</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5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173,478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6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148,592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6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40" w:type="dxa"/>
            <w:vAlign w:val="bottom"/>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40" w:type="dxa"/>
            <w:vAlign w:val="bottom"/>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-2256790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-2256790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-2256790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-2256790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-2256790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-2256790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-2256790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-2256790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-2256790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-2256790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-2256790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-2256790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-1913890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-1913890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-1913890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-1913890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-1913890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-1913890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-1913890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-1913890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-1913890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-1913890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-1913890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-1913890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-1202055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-1202055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-1202055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-1202055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-1202055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-1202055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-1202055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-1202055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-1202055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-1202055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-1202055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-1202055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-893445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-893445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-893445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-893445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-893445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-893445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-893445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-893445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-893445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-893445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-893445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-893445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-550545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-550545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-550545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-550545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-550545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-550545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-550545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-550545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-550545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-550545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-550545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90" w:orient="portrait"/>
          <w:cols w:equalWidth="0" w:num="1">
            <w:col w:w="11420"/>
          </w:cols>
          <w:pgMar w:left="240" w:top="140"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Lamore, LLC</w:t>
            </w:r>
          </w:p>
        </w:tc>
        <w:tc>
          <w:tcPr>
            <w:tcW w:w="22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w w:val="98"/>
              </w:rPr>
              <w:t>Adjustments to Reconcile Net Loss Accumulated</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00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ind w:left="240"/>
              <w:spacing w:after="0"/>
              <w:rPr>
                <w:sz w:val="20"/>
                <w:szCs w:val="20"/>
                <w:color w:val="auto"/>
              </w:rPr>
            </w:pPr>
            <w:r>
              <w:rPr>
                <w:rFonts w:ascii="Arial" w:cs="Arial" w:eastAsia="Arial" w:hAnsi="Arial"/>
                <w:sz w:val="14"/>
                <w:szCs w:val="14"/>
                <w:color w:val="auto"/>
              </w:rPr>
              <w:t>Net Cash Provided by / (Used in) Investing</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300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0"/>
                <w:szCs w:val="20"/>
                <w:color w:val="auto"/>
              </w:rPr>
            </w:pPr>
            <w:r>
              <w:rPr>
                <w:rFonts w:ascii="Arial" w:cs="Arial" w:eastAsia="Arial" w:hAnsi="Arial"/>
                <w:sz w:val="14"/>
                <w:szCs w:val="14"/>
                <w:color w:val="auto"/>
              </w:rPr>
              <w:t>Cash,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-5163820</wp:posOffset>
            </wp:positionV>
            <wp:extent cx="7246620" cy="946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-4881245</wp:posOffset>
            </wp:positionV>
            <wp:extent cx="7246620" cy="28321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-4443730</wp:posOffset>
            </wp:positionV>
            <wp:extent cx="7246620" cy="15430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-4135120</wp:posOffset>
            </wp:positionV>
            <wp:extent cx="7246620" cy="9461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-3886200</wp:posOffset>
            </wp:positionV>
            <wp:extent cx="7246620" cy="15430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-3577590</wp:posOffset>
            </wp:positionV>
            <wp:extent cx="7246620" cy="15430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-2926080</wp:posOffset>
            </wp:positionV>
            <wp:extent cx="7246620" cy="9461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-2677160</wp:posOffset>
            </wp:positionV>
            <wp:extent cx="7246620" cy="15430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-2368550</wp:posOffset>
            </wp:positionV>
            <wp:extent cx="7246620" cy="15430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-1905000</wp:posOffset>
            </wp:positionV>
            <wp:extent cx="7246620" cy="18859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-1468120</wp:posOffset>
            </wp:positionV>
            <wp:extent cx="7246620" cy="15430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-1158875</wp:posOffset>
            </wp:positionV>
            <wp:extent cx="7246620" cy="15430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246620" cy="9461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9461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-5245735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-5245735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-5245735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-5245735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-3350260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-3350260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-3350260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-3350260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-3007360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-3007360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-3007360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-3007360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-1986915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-1986915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-1986915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-1986915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-1643380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-1643380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-1643380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-1643380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-932180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-932180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-932180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-932180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-622935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-622935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-622935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-622935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-280035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-280035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-280035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-280035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w w:val="87"/>
              </w:rPr>
              <w:t>Guarantors</w:t>
            </w:r>
          </w:p>
        </w:tc>
        <w:tc>
          <w:tcPr>
            <w:tcW w:w="26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120" w:type="dxa"/>
            <w:vAlign w:val="bottom"/>
          </w:tcPr>
          <w:p>
            <w:pPr>
              <w:jc w:val="right"/>
              <w:spacing w:after="0"/>
              <w:rPr>
                <w:sz w:val="20"/>
                <w:szCs w:val="20"/>
                <w:color w:val="auto"/>
              </w:rPr>
            </w:pPr>
            <w:r>
              <w:rPr>
                <w:rFonts w:ascii="Arial" w:cs="Arial" w:eastAsia="Arial" w:hAnsi="Arial"/>
                <w:sz w:val="14"/>
                <w:szCs w:val="14"/>
                <w:color w:val="auto"/>
              </w:rPr>
              <w:t>(2,130)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1,700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120" w:type="dxa"/>
            <w:vAlign w:val="bottom"/>
          </w:tcPr>
          <w:p>
            <w:pPr>
              <w:jc w:val="right"/>
              <w:spacing w:after="0"/>
              <w:rPr>
                <w:sz w:val="20"/>
                <w:szCs w:val="20"/>
                <w:color w:val="auto"/>
              </w:rPr>
            </w:pPr>
            <w:r>
              <w:rPr>
                <w:rFonts w:ascii="Arial" w:cs="Arial" w:eastAsia="Arial" w:hAnsi="Arial"/>
                <w:sz w:val="14"/>
                <w:szCs w:val="14"/>
                <w:color w:val="auto"/>
              </w:rPr>
              <w:t>(383)</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120" w:type="dxa"/>
            <w:vAlign w:val="bottom"/>
          </w:tcPr>
          <w:p>
            <w:pPr>
              <w:jc w:val="right"/>
              <w:spacing w:after="0"/>
              <w:rPr>
                <w:sz w:val="20"/>
                <w:szCs w:val="20"/>
                <w:color w:val="auto"/>
              </w:rPr>
            </w:pPr>
            <w:r>
              <w:rPr>
                <w:rFonts w:ascii="Arial" w:cs="Arial" w:eastAsia="Arial" w:hAnsi="Arial"/>
                <w:sz w:val="14"/>
                <w:szCs w:val="14"/>
                <w:color w:val="auto"/>
              </w:rPr>
              <w:t>(7,434)</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4"/>
                <w:szCs w:val="14"/>
                <w:color w:val="auto"/>
              </w:rPr>
              <w:t>(5,257)</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2,315</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4"/>
                <w:szCs w:val="14"/>
                <w:color w:val="auto"/>
              </w:rPr>
              <w:t>(245)</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120" w:type="dxa"/>
            <w:vAlign w:val="bottom"/>
          </w:tcPr>
          <w:p>
            <w:pPr>
              <w:jc w:val="right"/>
              <w:spacing w:after="0"/>
              <w:rPr>
                <w:sz w:val="20"/>
                <w:szCs w:val="20"/>
                <w:color w:val="auto"/>
              </w:rPr>
            </w:pPr>
            <w:r>
              <w:rPr>
                <w:rFonts w:ascii="Arial" w:cs="Arial" w:eastAsia="Arial" w:hAnsi="Arial"/>
                <w:sz w:val="14"/>
                <w:szCs w:val="14"/>
                <w:color w:val="auto"/>
              </w:rPr>
              <w:t>(275)</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1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-5252085</wp:posOffset>
            </wp:positionV>
            <wp:extent cx="3571875" cy="215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-3356610</wp:posOffset>
            </wp:positionV>
            <wp:extent cx="3571875" cy="215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-3013710</wp:posOffset>
            </wp:positionV>
            <wp:extent cx="3571875" cy="215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-1993265</wp:posOffset>
            </wp:positionV>
            <wp:extent cx="3571875" cy="215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-1649730</wp:posOffset>
            </wp:positionV>
            <wp:extent cx="3571875"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-938530</wp:posOffset>
            </wp:positionV>
            <wp:extent cx="3571875"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-629285</wp:posOffset>
            </wp:positionV>
            <wp:extent cx="3571875"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-286385</wp:posOffset>
            </wp:positionV>
            <wp:extent cx="3571875"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-38100</wp:posOffset>
            </wp:positionV>
            <wp:extent cx="861695" cy="3873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61695" cy="38735"/>
                    </a:xfrm>
                    <a:prstGeom prst="rect">
                      <a:avLst/>
                    </a:prstGeom>
                    <a:noFill/>
                  </pic:spPr>
                </pic:pic>
              </a:graphicData>
            </a:graphic>
          </wp:anchor>
        </w:drawing>
      </w:r>
    </w:p>
    <w:p>
      <w:pPr>
        <w:spacing w:after="0" w:line="94" w:lineRule="exact"/>
        <w:rPr>
          <w:sz w:val="20"/>
          <w:szCs w:val="20"/>
          <w:color w:val="auto"/>
        </w:rPr>
      </w:pPr>
    </w:p>
    <w:p>
      <w:pPr>
        <w:sectPr>
          <w:pgSz w:w="11900" w:h="16890" w:orient="portrait"/>
          <w:cols w:equalWidth="0" w:num="2">
            <w:col w:w="5820" w:space="260"/>
            <w:col w:w="5340"/>
          </w:cols>
          <w:pgMar w:left="240" w:top="140" w:right="239" w:bottom="0" w:gutter="0" w:footer="0" w:header="0"/>
          <w:type w:val="continuous"/>
        </w:sectPr>
      </w:pPr>
    </w:p>
    <w:p>
      <w:pPr>
        <w:spacing w:after="0"/>
        <w:rPr>
          <w:sz w:val="20"/>
          <w:szCs w:val="20"/>
          <w:color w:val="auto"/>
        </w:rPr>
      </w:pPr>
      <w:r>
        <w:rPr>
          <w:rFonts w:ascii="Arial" w:cs="Arial" w:eastAsia="Arial" w:hAnsi="Arial"/>
          <w:sz w:val="12"/>
          <w:szCs w:val="12"/>
          <w:color w:val="auto"/>
        </w:rPr>
        <w:t>Supplemental Cash Flow Disclosure:</w:t>
      </w:r>
    </w:p>
    <w:p>
      <w:pPr>
        <w:sectPr>
          <w:pgSz w:w="11900" w:h="16890" w:orient="portrait"/>
          <w:cols w:equalWidth="0" w:num="1">
            <w:col w:w="11420"/>
          </w:cols>
          <w:pgMar w:left="240" w:top="140" w:right="239"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Paid, Net of Amounts Capitalized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76"/>
              </w:rPr>
              <w:t>$</w:t>
            </w: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10"/>
          </w:tcPr>
          <w:p>
            <w:pPr>
              <w:jc w:val="center"/>
              <w:ind w:left="61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13"/>
          </w:tcPr>
          <w:p>
            <w:pPr>
              <w:jc w:val="center"/>
              <w:ind w:right="60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Year Ended December 31, 2001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1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Lamore, LLC</w:t>
            </w:r>
          </w:p>
        </w:tc>
        <w:tc>
          <w:tcPr>
            <w:tcW w:w="10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(5,807)</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640" w:type="dxa"/>
            <w:vAlign w:val="bottom"/>
            <w:gridSpan w:val="3"/>
          </w:tcPr>
          <w:p>
            <w:pPr>
              <w:jc w:val="right"/>
              <w:ind w:right="6"/>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-9662160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-9662160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-8058150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-8058150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-8058150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-8058150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-8058150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-8058150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-8058150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-8058150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-8058150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-8058150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-8058150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-8058150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-5039995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-5039995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-5039995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-5039995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-5039995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-5039995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-5039995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-5039995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-5039995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-5039995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-4610735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-4610735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-4610735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-4610735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-4610735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-4610735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-4610735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-4610735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-4610735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-4610735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-4610735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-4610735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13" w:gutter="0" w:footer="0" w:header="0"/>
        </w:sectPr>
      </w:pPr>
    </w:p>
    <w:bookmarkStart w:id="173" w:name="page174"/>
    <w:bookmarkEnd w:id="173"/>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Valvino Lamore,</w:t>
            </w:r>
          </w:p>
        </w:tc>
        <w:tc>
          <w:tcPr>
            <w:tcW w:w="1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Loss Accumulated During the Development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Stage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0"/>
              </w:rPr>
              <w:t>During the Development Stage to Net Cash Provided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by / (Used in) Operating Activities:</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 Changes in:</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(9,196)</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by/(Used in) Operating</w:t>
            </w: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(4,377)</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Acquisition of Desert Inn Resort and Casino, Net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Cash Acquired</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(270,718)</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(9,489)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(2,864)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Net Cash Provided by/(Used in) Investing Activities</w:t>
            </w:r>
          </w:p>
        </w:tc>
        <w:tc>
          <w:tcPr>
            <w:tcW w:w="14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(319,897)</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Contributions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Third Party Fee</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(125,018)</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w w:val="91"/>
              </w:rPr>
              <w:t>Proceeds from Issuance of Related Party Loan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Related Party Loan</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Increase/(Decrease) in Cash and Cash Equivalents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gridSpan w:val="2"/>
            <w:vMerge w:val="continue"/>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-7423785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-7423785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-7423785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-7423785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-7423785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-7423785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-7423785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-7423785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-7423785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-7423785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-5228590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-5228590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-5228590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-5228590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-5228590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-5228590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-5228590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-5228590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-5228590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-5228590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-4799330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-4799330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-4799330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-4799330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-4799330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-4799330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-4799330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-4799330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-4799330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-4799330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-3547745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-3547745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-3547745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-3547745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-3547745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-3547745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-3547745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-3547745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-3547745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-3547745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-3255645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-3255645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-3255645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-3255645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-3255645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-3255645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-3255645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-3255645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-3255645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-3255645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0" w:gutter="0" w:footer="0" w:header="0"/>
        </w:sectPr>
      </w:pPr>
    </w:p>
    <w:bookmarkStart w:id="174" w:name="page175"/>
    <w:bookmarkEnd w:id="17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Las Vegas</w:t>
            </w: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9"/>
              </w:rPr>
              <w:t>Net Loss Accumulated During the Development</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(25,875)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(1,721)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(12,229)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(4,108)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to Reconcile Net Loss Accumulated</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(8,100)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2"/>
              </w:rPr>
              <w:t>Acquisition of Desert Inn Resort and Casino, Net of</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200" w:type="dxa"/>
            <w:vAlign w:val="bottom"/>
          </w:tcPr>
          <w:p>
            <w:pPr>
              <w:spacing w:after="0"/>
              <w:rPr>
                <w:sz w:val="13"/>
                <w:szCs w:val="13"/>
                <w:color w:val="auto"/>
              </w:rPr>
            </w:pPr>
          </w:p>
        </w:tc>
        <w:tc>
          <w:tcPr>
            <w:tcW w:w="14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(55,459)</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(27,653)</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67,326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w w:val="93"/>
              </w:rPr>
              <w:t>Net Cash Provided by/(Used in) Investing Activities</w:t>
            </w: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(419,597)</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(10,584)</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(110,482)</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(10,800)</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(125,066)</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-6366510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-6366510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-6366510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-6366510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-6366510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-6366510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-6366510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-6366510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-6366510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-6366510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-6366510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-6366510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-3853815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-3853815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-3853815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-3853815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-3853815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-3853815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-3853815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-3853815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-3853815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-3853815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-3853815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-3510915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-3510915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-3510915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-3510915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-3510915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-3510915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-3510915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-3510915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-3510915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-3510915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-3510915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-2601595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-2601595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-2601595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-2601595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-2601595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-2601595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-2601595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-2601595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-2601595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-2601595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-2601595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-2353310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-2353310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-2353310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-2353310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-2353310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-2353310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-2353310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-2353310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-2353310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-2353310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-2353310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-1255395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-1255395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-1255395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-1255395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-1255395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-1255395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-1255395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-1255395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-1255395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-1255395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-1255395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-1006475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-1006475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-1006475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-1006475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-1006475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-1006475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-1006475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-1006475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-1006475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-1006475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-1006475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-663575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-663575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-663575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-663575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-663575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-663575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-663575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-663575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-663575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-663575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-663575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FINANCIALS (Continued)</w:t>
      </w:r>
    </w:p>
    <w:p>
      <w:pPr>
        <w:spacing w:after="0" w:line="245" w:lineRule="exact"/>
        <w:rPr>
          <w:sz w:val="20"/>
          <w:szCs w:val="20"/>
          <w:color w:val="auto"/>
        </w:rPr>
      </w:pPr>
    </w:p>
    <w:p>
      <w:pPr>
        <w:ind w:left="540" w:hanging="532"/>
        <w:spacing w:after="0"/>
        <w:tabs>
          <w:tab w:leader="none" w:pos="54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6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12"/>
                <w:szCs w:val="12"/>
                <w:color w:val="auto"/>
              </w:rPr>
            </w:pPr>
          </w:p>
        </w:tc>
      </w:tr>
      <w:tr>
        <w:trPr>
          <w:trHeight w:val="174"/>
        </w:trPr>
        <w:tc>
          <w:tcPr>
            <w:tcW w:w="2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r>
      <w:tr>
        <w:trPr>
          <w:trHeight w:val="105"/>
        </w:trPr>
        <w:tc>
          <w:tcPr>
            <w:tcW w:w="25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25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-159385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-159385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-159385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-159385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-159385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-159385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-159385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-159385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-159385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-159385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-159385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5" w:right="239" w:bottom="0" w:gutter="0" w:footer="0" w:header="0"/>
        </w:sectPr>
      </w:pPr>
    </w:p>
    <w:bookmarkStart w:id="175" w:name="page176"/>
    <w:bookmarkEnd w:id="17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380,236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379,726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337,464</w:t>
            </w: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337,467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313,022</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2"/>
                <w:szCs w:val="12"/>
                <w:color w:val="auto"/>
              </w:rPr>
            </w:pPr>
          </w:p>
        </w:tc>
        <w:tc>
          <w:tcPr>
            <w:tcW w:w="14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(40,747)</w:t>
            </w:r>
          </w:p>
        </w:tc>
        <w:tc>
          <w:tcPr>
            <w:tcW w:w="12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(41,118)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(26,054)</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160" w:type="dxa"/>
            <w:vAlign w:val="bottom"/>
            <w:shd w:val="clear" w:color="auto" w:fill="CCEEFF"/>
          </w:tcPr>
          <w:p>
            <w:pPr>
              <w:spacing w:after="0"/>
              <w:rPr>
                <w:sz w:val="13"/>
                <w:szCs w:val="13"/>
                <w:color w:val="auto"/>
              </w:rPr>
            </w:pPr>
          </w:p>
        </w:tc>
        <w:tc>
          <w:tcPr>
            <w:tcW w:w="142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(9,155)</w:t>
            </w: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Total Liabilities &amp; Members' Equity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52"/>
              <w:spacing w:after="0" w:line="136"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1"/>
                <w:szCs w:val="11"/>
                <w:color w:val="auto"/>
              </w:rPr>
            </w:pPr>
          </w:p>
        </w:tc>
        <w:tc>
          <w:tcPr>
            <w:tcW w:w="10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1"/>
                <w:szCs w:val="11"/>
                <w:color w:val="auto"/>
              </w:rPr>
            </w:pPr>
          </w:p>
        </w:tc>
        <w:tc>
          <w:tcPr>
            <w:tcW w:w="1420" w:type="dxa"/>
            <w:vAlign w:val="bottom"/>
            <w:gridSpan w:val="5"/>
          </w:tcPr>
          <w:p>
            <w:pPr>
              <w:jc w:val="right"/>
              <w:ind w:right="80"/>
              <w:spacing w:after="0" w:line="136"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1"/>
                <w:szCs w:val="11"/>
                <w:color w:val="auto"/>
              </w:rPr>
            </w:pPr>
          </w:p>
        </w:tc>
        <w:tc>
          <w:tcPr>
            <w:tcW w:w="1360" w:type="dxa"/>
            <w:vAlign w:val="bottom"/>
            <w:gridSpan w:val="2"/>
          </w:tcPr>
          <w:p>
            <w:pPr>
              <w:jc w:val="right"/>
              <w:ind w:right="60"/>
              <w:spacing w:after="0" w:line="136"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2001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104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ind w:left="132"/>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945</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9,193</w:t>
            </w:r>
          </w:p>
        </w:tc>
        <w:tc>
          <w:tcPr>
            <w:tcW w:w="12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5,490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11,862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4,203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(15,915)</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(14,348)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(9,813)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(10,456)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(20,151)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(14,693)</w:t>
            </w:r>
          </w:p>
        </w:tc>
        <w:tc>
          <w:tcPr>
            <w:tcW w:w="13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(12,776)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(7,935)</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5"/>
              </w:rPr>
              <w:t>(8,234)</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(16,899)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12"/>
              <w:spacing w:after="0" w:line="136" w:lineRule="exact"/>
              <w:rPr>
                <w:sz w:val="20"/>
                <w:szCs w:val="20"/>
                <w:color w:val="auto"/>
              </w:rPr>
            </w:pPr>
            <w:r>
              <w:rPr>
                <w:rFonts w:ascii="Arial" w:cs="Arial" w:eastAsia="Arial" w:hAnsi="Arial"/>
                <w:sz w:val="14"/>
                <w:szCs w:val="14"/>
                <w:color w:val="auto"/>
              </w:rPr>
              <w:t>(70.37)</w:t>
            </w:r>
          </w:p>
        </w:tc>
        <w:tc>
          <w:tcPr>
            <w:tcW w:w="13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(61.19)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right"/>
              <w:ind w:right="20"/>
              <w:spacing w:after="0" w:line="136" w:lineRule="exact"/>
              <w:rPr>
                <w:sz w:val="20"/>
                <w:szCs w:val="20"/>
                <w:color w:val="auto"/>
              </w:rPr>
            </w:pPr>
            <w:r>
              <w:rPr>
                <w:rFonts w:ascii="Arial" w:cs="Arial" w:eastAsia="Arial" w:hAnsi="Arial"/>
                <w:sz w:val="14"/>
                <w:szCs w:val="14"/>
                <w:color w:val="auto"/>
              </w:rPr>
              <w:t>(39.04)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3"/>
          </w:tcPr>
          <w:p>
            <w:pPr>
              <w:jc w:val="right"/>
              <w:ind w:right="60"/>
              <w:spacing w:after="0" w:line="136" w:lineRule="exact"/>
              <w:rPr>
                <w:sz w:val="20"/>
                <w:szCs w:val="20"/>
                <w:color w:val="auto"/>
              </w:rPr>
            </w:pPr>
            <w:r>
              <w:rPr>
                <w:rFonts w:ascii="Arial" w:cs="Arial" w:eastAsia="Arial" w:hAnsi="Arial"/>
                <w:sz w:val="14"/>
                <w:szCs w:val="14"/>
                <w:color w:val="auto"/>
                <w:w w:val="85"/>
              </w:rPr>
              <w:t>(40.52)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4"/>
          </w:tcPr>
          <w:p>
            <w:pPr>
              <w:jc w:val="right"/>
              <w:ind w:right="80"/>
              <w:spacing w:after="0" w:line="136" w:lineRule="exact"/>
              <w:rPr>
                <w:sz w:val="20"/>
                <w:szCs w:val="20"/>
                <w:color w:val="auto"/>
              </w:rPr>
            </w:pPr>
            <w:r>
              <w:rPr>
                <w:rFonts w:ascii="Arial" w:cs="Arial" w:eastAsia="Arial" w:hAnsi="Arial"/>
                <w:sz w:val="14"/>
                <w:szCs w:val="14"/>
                <w:color w:val="auto"/>
              </w:rPr>
              <w:t>(82.24)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left="574"/>
              <w:spacing w:after="0" w:line="149" w:lineRule="exact"/>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left="572"/>
              <w:spacing w:after="0" w:line="149" w:lineRule="exact"/>
              <w:rPr>
                <w:sz w:val="20"/>
                <w:szCs w:val="20"/>
                <w:color w:val="auto"/>
              </w:rPr>
            </w:pPr>
            <w:r>
              <w:rPr>
                <w:rFonts w:ascii="Arial" w:cs="Arial" w:eastAsia="Arial" w:hAnsi="Arial"/>
                <w:sz w:val="14"/>
                <w:szCs w:val="14"/>
                <w:b w:val="1"/>
                <w:bCs w:val="1"/>
                <w:color w:val="auto"/>
                <w:w w:val="83"/>
              </w:rPr>
              <w:t>2000</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4"/>
              </w:rPr>
              <w:t>Restated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4,522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24,695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3,681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(10,572)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(12,120)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(45,432)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(9,155)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(10,616)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w w:val="85"/>
              </w:rPr>
              <w:t>(45.78)</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(53.08)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-2042795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-2042795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-2042795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-2042795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-2042795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-2042795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-2042795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-2042795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-2042795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-2042795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-2042795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-2042795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-661670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-661670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-661670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-661670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-661670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-661670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-661670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Wynn Las Vegas, LLC:</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balance sheet of Wynn Las Vegas, LLC (a wholly owned subsidiary of Valvino Lamore, LLC and a development stage company) as of December 31, 2001, and the related statements of operations, member's deficiency, and cash flows for the period from inception (April 17, 2001) to December 31, 2001. These financial statements are the responsibility of the Company's management. Our responsibility is to express an opinion on these financial statements based on our audit.</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December 31, 2001, and the results of its operations and its cash flows for the period from inception to December 31, 2001,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6,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21, 2002 (October 3, 2002 as to the effects of the restatement at Note 6)</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jc w:val="center"/>
              <w:ind w:left="387"/>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15"/>
                <w:szCs w:val="15"/>
                <w:color w:val="auto"/>
              </w:rPr>
            </w:pPr>
          </w:p>
        </w:tc>
        <w:tc>
          <w:tcPr>
            <w:tcW w:w="1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180" w:type="dxa"/>
            <w:vAlign w:val="bottom"/>
          </w:tcPr>
          <w:p>
            <w:pPr>
              <w:jc w:val="right"/>
              <w:ind w:right="1007"/>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2,288</w:t>
            </w:r>
          </w:p>
        </w:tc>
        <w:tc>
          <w:tcPr>
            <w:tcW w:w="174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-1179830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-1179830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-836930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-836930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-836930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-836930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27" w:right="139" w:bottom="0" w:gutter="0" w:footer="0" w:header="0"/>
        </w:sectPr>
      </w:pPr>
    </w:p>
    <w:bookmarkStart w:id="176" w:name="page177"/>
    <w:bookmarkEnd w:id="17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172,084</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Trademark</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Pr>
          <w:p>
            <w:pPr>
              <w:spacing w:after="0"/>
              <w:rPr>
                <w:sz w:val="24"/>
                <w:szCs w:val="24"/>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24"/>
                <w:szCs w:val="24"/>
                <w:color w:val="auto"/>
              </w:rPr>
            </w:pPr>
          </w:p>
        </w:tc>
      </w:tr>
      <w:tr>
        <w:trPr>
          <w:trHeight w:val="134"/>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459"/>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4"/>
                <w:szCs w:val="24"/>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r>
      <w:tr>
        <w:trPr>
          <w:trHeight w:val="112"/>
        </w:trPr>
        <w:tc>
          <w:tcPr>
            <w:tcW w:w="7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431"/>
        </w:trPr>
        <w:tc>
          <w:tcPr>
            <w:tcW w:w="7400" w:type="dxa"/>
            <w:vAlign w:val="bottom"/>
          </w:tcPr>
          <w:p>
            <w:pPr>
              <w:spacing w:after="0"/>
              <w:rPr>
                <w:sz w:val="20"/>
                <w:szCs w:val="20"/>
                <w:color w:val="auto"/>
              </w:rPr>
            </w:pPr>
            <w:r>
              <w:rPr>
                <w:rFonts w:ascii="Arial" w:cs="Arial" w:eastAsia="Arial" w:hAnsi="Arial"/>
                <w:sz w:val="18"/>
                <w:szCs w:val="18"/>
                <w:color w:val="auto"/>
              </w:rPr>
              <w:t>Due to related parties, net</w:t>
            </w: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177,880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24"/>
                <w:szCs w:val="24"/>
                <w:color w:val="auto"/>
              </w:rPr>
            </w:pPr>
          </w:p>
        </w:tc>
      </w:tr>
      <w:tr>
        <w:trPr>
          <w:trHeight w:val="43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Contributed capital</w:t>
            </w:r>
          </w:p>
        </w:tc>
        <w:tc>
          <w:tcPr>
            <w:tcW w:w="5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r>
      <w:tr>
        <w:trPr>
          <w:trHeight w:val="120"/>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Deficiency</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-3084195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-3084195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-3084195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-3084195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-1764030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-1764030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-1764030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-1764030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-631825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-631825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-631825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-631825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-340360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-340360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00" w:type="dxa"/>
            <w:vAlign w:val="bottom"/>
            <w:gridSpan w:val="3"/>
          </w:tcPr>
          <w:p>
            <w:pPr>
              <w:jc w:val="right"/>
              <w:ind w:right="821"/>
              <w:spacing w:after="0"/>
              <w:rPr>
                <w:sz w:val="20"/>
                <w:szCs w:val="20"/>
                <w:color w:val="auto"/>
              </w:rPr>
            </w:pPr>
            <w:r>
              <w:rPr>
                <w:rFonts w:ascii="Arial" w:cs="Arial" w:eastAsia="Arial" w:hAnsi="Arial"/>
                <w:sz w:val="14"/>
                <w:szCs w:val="14"/>
                <w:b w:val="1"/>
                <w:bCs w:val="1"/>
                <w:color w:val="auto"/>
                <w:w w:val="85"/>
              </w:rPr>
              <w:t>(As restated, see Note 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8"/>
              </w:rPr>
              <w:t>Six Months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From Inception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5"/>
              </w:rPr>
              <w:t>June 30, 2002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81"/>
              <w:spacing w:after="0"/>
              <w:rPr>
                <w:sz w:val="20"/>
                <w:szCs w:val="20"/>
                <w:color w:val="auto"/>
              </w:rPr>
            </w:pPr>
            <w:r>
              <w:rPr>
                <w:rFonts w:ascii="Arial" w:cs="Arial" w:eastAsia="Arial" w:hAnsi="Arial"/>
                <w:sz w:val="14"/>
                <w:szCs w:val="14"/>
                <w:b w:val="1"/>
                <w:bCs w:val="1"/>
                <w:color w:val="auto"/>
              </w:rPr>
              <w:t>December 31, 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1360" w:type="dxa"/>
            <w:vAlign w:val="bottom"/>
            <w:shd w:val="clear" w:color="auto" w:fill="CCEEFF"/>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Pre-opening costs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Expenses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560" w:type="dxa"/>
            <w:vAlign w:val="bottom"/>
            <w:gridSpan w:val="2"/>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spacing w:after="0"/>
              <w:rPr>
                <w:sz w:val="20"/>
                <w:szCs w:val="20"/>
                <w:color w:val="auto"/>
              </w:rPr>
            </w:pPr>
            <w:r>
              <w:rPr>
                <w:rFonts w:ascii="Arial" w:cs="Arial" w:eastAsia="Arial" w:hAnsi="Arial"/>
                <w:sz w:val="14"/>
                <w:szCs w:val="14"/>
                <w:color w:val="auto"/>
              </w:rPr>
              <w:t>Operating Loss</w:t>
            </w:r>
          </w:p>
        </w:tc>
        <w:tc>
          <w:tcPr>
            <w:tcW w:w="13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(846)</w:t>
            </w:r>
          </w:p>
        </w:tc>
        <w:tc>
          <w:tcPr>
            <w:tcW w:w="130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spacing w:after="0"/>
              <w:rPr>
                <w:sz w:val="22"/>
                <w:szCs w:val="22"/>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Other Income/(Expense)</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540" w:type="dxa"/>
            <w:vAlign w:val="bottom"/>
          </w:tcPr>
          <w:p>
            <w:pPr>
              <w:ind w:left="440"/>
              <w:spacing w:after="0"/>
              <w:rPr>
                <w:sz w:val="20"/>
                <w:szCs w:val="20"/>
                <w:color w:val="auto"/>
              </w:rPr>
            </w:pPr>
            <w:r>
              <w:rPr>
                <w:rFonts w:ascii="Arial" w:cs="Arial" w:eastAsia="Arial" w:hAnsi="Arial"/>
                <w:sz w:val="14"/>
                <w:szCs w:val="14"/>
                <w:color w:val="auto"/>
                <w:w w:val="95"/>
              </w:rPr>
              <w:t>Net loss accumulated during the development stage</w:t>
            </w:r>
          </w:p>
        </w:tc>
        <w:tc>
          <w:tcPr>
            <w:tcW w:w="1360" w:type="dxa"/>
            <w:vAlign w:val="bottom"/>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(843)</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-2887345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-2887345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-2449830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-2449830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-2449830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-2449830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-2449830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-2449830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-2449830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-2449830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-1549400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-1549400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-1549400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-1549400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-1549400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-1549400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-1549400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-1549400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-1240790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-1240790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-1240790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-1240790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-1240790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-1240790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-1240790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-1240790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-648970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-648970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-648970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-648970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-648970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-648970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-648970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-340360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-340360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-340360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-340360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-340360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-340360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-340360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MEMBER'S DEFICIENCY</w:t>
      </w:r>
    </w:p>
    <w:p>
      <w:pPr>
        <w:sectPr>
          <w:pgSz w:w="11900" w:h="16847" w:orient="portrait"/>
          <w:cols w:equalWidth="0" w:num="1">
            <w:col w:w="11420"/>
          </w:cols>
          <w:pgMar w:left="240" w:top="140" w:right="239" w:bottom="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tcPr>
          <w:p>
            <w:pPr>
              <w:ind w:left="51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 (April 17, 2001)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 (As restated, see Note 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(unaudited)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2002 (unaudited)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-1214755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-1214755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-768985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-768985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4"/>
          </w:tcPr>
          <w:p>
            <w:pPr>
              <w:jc w:val="right"/>
              <w:ind w:right="1041"/>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5"/>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right"/>
              <w:ind w:right="241"/>
              <w:spacing w:after="0" w:line="149" w:lineRule="exact"/>
              <w:rPr>
                <w:sz w:val="20"/>
                <w:szCs w:val="20"/>
                <w:color w:val="auto"/>
              </w:rPr>
            </w:pPr>
            <w:r>
              <w:rPr>
                <w:rFonts w:ascii="Arial" w:cs="Arial" w:eastAsia="Arial" w:hAnsi="Arial"/>
                <w:sz w:val="14"/>
                <w:szCs w:val="14"/>
                <w:b w:val="1"/>
                <w:bCs w:val="1"/>
                <w:color w:val="auto"/>
              </w:rPr>
              <w:t>Inception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7"/>
              </w:rPr>
              <w:t>June 30, 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41"/>
              <w:spacing w:after="0"/>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4120" w:type="dxa"/>
            <w:vAlign w:val="bottom"/>
            <w:tcBorders>
              <w:right w:val="single" w:sz="8" w:color="CCEEFF"/>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320" w:type="dxa"/>
            <w:vAlign w:val="bottom"/>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1720" w:type="dxa"/>
            <w:vAlign w:val="bottom"/>
            <w:shd w:val="clear" w:color="auto" w:fill="CCEEFF"/>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(878)</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w w:val="93"/>
              </w:rPr>
              <w:t>Adjustments to reconcile net loss accumulated during the development</w:t>
            </w: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color w:val="auto"/>
              </w:rPr>
              <w:t>stage to net cash provided used in operating activities:</w:t>
            </w: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(1,788)</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Accounts payable and accrued expenses</w:t>
            </w:r>
          </w:p>
        </w:tc>
        <w:tc>
          <w:tcPr>
            <w:tcW w:w="13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(2,711)</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(1,244)</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18"/>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vMerge w:val="continue"/>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w:t>
            </w:r>
          </w:p>
        </w:tc>
        <w:tc>
          <w:tcPr>
            <w:tcW w:w="1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7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(1,252)</w:t>
            </w: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Due to related parties</w:t>
            </w: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Net Cash Provided by Investing Activities</w:t>
            </w:r>
          </w:p>
        </w:tc>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Flows From Financing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tcPr>
          <w:p>
            <w:pPr>
              <w:spacing w:after="0"/>
              <w:rPr>
                <w:sz w:val="20"/>
                <w:szCs w:val="20"/>
                <w:color w:val="auto"/>
              </w:rPr>
            </w:pPr>
            <w:r>
              <w:rPr>
                <w:rFonts w:ascii="Arial" w:cs="Arial" w:eastAsia="Arial" w:hAnsi="Arial"/>
                <w:sz w:val="14"/>
                <w:szCs w:val="14"/>
                <w:color w:val="auto"/>
              </w:rPr>
              <w:t>Decrease in Cash and Cash Equivalents</w:t>
            </w:r>
          </w:p>
        </w:tc>
        <w:tc>
          <w:tcPr>
            <w:tcW w:w="13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-3804920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-3804920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-3367405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-3367405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-3367405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-3367405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-3367405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-3367405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-3367405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-3367405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-1901190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-1901190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-1901190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-1901190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-1901190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-1901190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-1901190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-1901190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-1652270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-1652270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-1652270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-1652270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-1652270</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-1652270</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-1652270</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-1652270</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-1120775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-1120775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-1120775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-1120775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-1120775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-1120775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-1120775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-1120775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-871855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-871855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-871855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-871855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-871855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-871855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-622935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-622935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-622935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-622935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-622935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-622935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-622935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-280035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-280035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-280035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-280035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-280035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-280035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right="420"/>
        <w:spacing w:after="0" w:line="239" w:lineRule="auto"/>
        <w:rPr>
          <w:sz w:val="20"/>
          <w:szCs w:val="20"/>
          <w:color w:val="auto"/>
        </w:rPr>
      </w:pPr>
      <w:r>
        <w:rPr>
          <w:rFonts w:ascii="Arial" w:cs="Arial" w:eastAsia="Arial" w:hAnsi="Arial"/>
          <w:sz w:val="14"/>
          <w:szCs w:val="14"/>
          <w:color w:val="auto"/>
        </w:rPr>
        <w:t>During the six months ended June 30, 2002, land and construction in progress with book values of $161,392 and $10,692, respectively, were transferred to the Company from an affiliate and the Company recorded an intercompany payable to the affiliate for the same amount (See Notes 1.f. and 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2" w:right="239" w:bottom="0" w:gutter="0" w:footer="0" w:header="0"/>
        </w:sectPr>
      </w:pPr>
    </w:p>
    <w:bookmarkStart w:id="178" w:name="page179"/>
    <w:bookmarkEnd w:id="178"/>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Hotel A, LLC was formed on April 17, 2001 as a Nevada limited-liability company. On May 15, 2002, Hotel A, LLC changed its name to Wynn Las Vegas, LLC. Hotel A, LLC is hereafter referred to as Wynn Las Vegas, LLC or the Company. The sole member of the Company is Wynn Resorts, LLC. The sole member of Wynn Resorts, LLC is Valvino Lamore, LLC (Valvino).</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Wynn Las Vegas, LLC was primarily organized to construct and operate "Le Rêve", a preeminent luxury hotel and destination casino resort in Las Vegas, Nevada.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primarily for the purpose of obtaining financing for Le Rêve. Wynn Capital is authorized to issue 2,000 shares of common stock, par value $0.01. At June 30, 2002, the Company holds all of the authorized shares. The financial position and results of operations of Wynn Capital are included in the financial statements of the Company as of June 30, 2002 and for the periods then ended.</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and include the assets, liabilities, operating results and cash flows of Wynn Las Vegas, LLC. However, the financial information included herein may not necessarily be indicative of the conditions that would have existed or the results of operations had the Company been a separate, stand-alone entity during the periods presented (Note 3).</w:t>
      </w:r>
    </w:p>
    <w:p>
      <w:pPr>
        <w:spacing w:after="0" w:line="224" w:lineRule="exact"/>
        <w:rPr>
          <w:sz w:val="20"/>
          <w:szCs w:val="20"/>
          <w:color w:val="auto"/>
        </w:rPr>
      </w:pPr>
    </w:p>
    <w:p>
      <w:pPr>
        <w:ind w:left="540" w:hanging="532"/>
        <w:spacing w:after="0"/>
        <w:tabs>
          <w:tab w:leader="none" w:pos="5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has no operating history and is currently in the process of planning, developing and obtaining additional financing for the Le Rêve project.</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 is subject to many rules, regulations and uncertainties in both the construction and development phases of the project, including, but not limited to, receiving the appropriate permits for particular construction activities and securing necessary financing for the project. There is no certainty that the Company will be able to secure the necessary financing or that the financial resources available will be sufficient to fund the project (see further discussion at Note 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11" w:lineRule="exact"/>
        <w:rPr>
          <w:sz w:val="20"/>
          <w:szCs w:val="20"/>
          <w:color w:val="auto"/>
        </w:rPr>
      </w:pPr>
    </w:p>
    <w:p>
      <w:pPr>
        <w:ind w:left="540" w:hanging="532"/>
        <w:spacing w:after="0"/>
        <w:tabs>
          <w:tab w:leader="none" w:pos="5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Prior to June 2002, the financial statements include the accounts of the Company. As of June 30, 2002 and for the periods then ended, the financial statements include the accounts of the Company and its wholly owned subsidiary, Wynn Capital. Significant intercompany balances and transactions, if any, are eliminated.</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213" w:lineRule="exact"/>
        <w:rPr>
          <w:sz w:val="20"/>
          <w:szCs w:val="20"/>
          <w:color w:val="auto"/>
        </w:rPr>
      </w:pPr>
    </w:p>
    <w:p>
      <w:pPr>
        <w:ind w:left="540" w:hanging="532"/>
        <w:spacing w:after="0"/>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At December 31, 2001, property of the Company consisted of approximately $2 thousand of computer equipment with an estimated useful life of three years. Depreciation is provided over the estimated useful life of assets using the straight-line method.</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May of 2002, Valvino transferred approximately $161 million of land it acquired in connection with its acquisition of the Desert Inn Resort and Casino, and approximately $11 million of construction in progress to the Company (see further discussion at Note 2, </w:t>
      </w:r>
      <w:r>
        <w:rPr>
          <w:rFonts w:ascii="Arial" w:cs="Arial" w:eastAsia="Arial" w:hAnsi="Arial"/>
          <w:sz w:val="16"/>
          <w:szCs w:val="16"/>
          <w:i w:val="1"/>
          <w:iCs w:val="1"/>
          <w:color w:val="auto"/>
        </w:rPr>
        <w:t>Property and Equipment</w:t>
      </w:r>
      <w:r>
        <w:rPr>
          <w:rFonts w:ascii="Arial" w:cs="Arial" w:eastAsia="Arial" w:hAnsi="Arial"/>
          <w:sz w:val="16"/>
          <w:szCs w:val="16"/>
          <w:color w:val="auto"/>
        </w:rPr>
        <w:t>).</w:t>
      </w:r>
    </w:p>
    <w:p>
      <w:pPr>
        <w:spacing w:after="0" w:line="153" w:lineRule="exact"/>
        <w:rPr>
          <w:sz w:val="20"/>
          <w:szCs w:val="20"/>
          <w:color w:val="auto"/>
        </w:rPr>
      </w:pPr>
    </w:p>
    <w:p>
      <w:pPr>
        <w:ind w:left="540" w:hanging="532"/>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Trademark</w:t>
      </w:r>
    </w:p>
    <w:p>
      <w:pPr>
        <w:spacing w:after="0" w:line="225"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Company has recorded an asset representing the cost, $1 million, of the common-law name and mark "LE REVE". The trademark has an indefinite useful life and therefore is not amortized. Similar to other long-lived assets, the trademark is reviewed for impairment whenever events or circumstances indicate that the carrying value may not be recoverable.</w:t>
      </w:r>
    </w:p>
    <w:p>
      <w:pPr>
        <w:spacing w:after="0" w:line="221" w:lineRule="exact"/>
        <w:rPr>
          <w:sz w:val="20"/>
          <w:szCs w:val="20"/>
          <w:color w:val="auto"/>
        </w:rPr>
      </w:pPr>
    </w:p>
    <w:p>
      <w:pPr>
        <w:ind w:left="540" w:hanging="532"/>
        <w:spacing w:after="0"/>
        <w:tabs>
          <w:tab w:leader="none" w:pos="5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a limited-liability company, Wynn Las Vegas,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Member's Deficiency</w:t>
      </w:r>
    </w:p>
    <w:p>
      <w:pPr>
        <w:spacing w:after="0" w:line="225"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The Company was initially capitalized with a $100 contribution from Valvino, the sole member of the Company. Such contribution was made in exchange for a 100 percent ownership interest in the capital and profits of the Company. No additional capital contributions are required to be made. Cash</w:t>
      </w:r>
    </w:p>
    <w:p>
      <w:pPr>
        <w:sectPr>
          <w:pgSz w:w="11900" w:h="16838" w:orient="portrait"/>
          <w:cols w:equalWidth="0" w:num="1">
            <w:col w:w="10860"/>
          </w:cols>
          <w:pgMar w:left="780" w:top="131" w:right="259" w:bottom="0" w:gutter="0" w:footer="0" w:header="0"/>
        </w:sectPr>
      </w:pPr>
    </w:p>
    <w:bookmarkStart w:id="179" w:name="page180"/>
    <w:bookmarkEnd w:id="179"/>
    <w:p>
      <w:pPr>
        <w:ind w:left="532" w:right="140"/>
        <w:spacing w:after="0" w:line="268" w:lineRule="auto"/>
        <w:rPr>
          <w:sz w:val="20"/>
          <w:szCs w:val="20"/>
          <w:color w:val="auto"/>
        </w:rPr>
      </w:pPr>
      <w:r>
        <w:rPr>
          <w:rFonts w:ascii="Arial" w:cs="Arial" w:eastAsia="Arial" w:hAnsi="Arial"/>
          <w:sz w:val="18"/>
          <w:szCs w:val="18"/>
          <w:color w:val="auto"/>
        </w:rPr>
        <w:t>or other assets may be distributed to Valvino as determined by Valvino provided that the distribution was not in violation of any applicable law or would cause a breach or default under agreements to which the Company is a party.</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hanging="532"/>
        <w:spacing w:after="0"/>
        <w:tabs>
          <w:tab w:leader="none" w:pos="107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Pre-opening costs primarily consists of salaries and other payroll related expenses. Pre-opening costs are expensed as incurred.</w:t>
      </w:r>
    </w:p>
    <w:p>
      <w:pPr>
        <w:spacing w:after="0" w:line="252" w:lineRule="exact"/>
        <w:rPr>
          <w:sz w:val="20"/>
          <w:szCs w:val="20"/>
          <w:color w:val="auto"/>
        </w:rPr>
      </w:pPr>
    </w:p>
    <w:p>
      <w:pPr>
        <w:ind w:left="1072" w:hanging="532"/>
        <w:spacing w:after="0"/>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532" w:right="12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1072" w:hanging="532"/>
        <w:spacing w:after="0"/>
        <w:tabs>
          <w:tab w:leader="none" w:pos="107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left="532" w:right="100" w:firstLine="351"/>
        <w:spacing w:after="0" w:line="259" w:lineRule="auto"/>
        <w:rPr>
          <w:sz w:val="20"/>
          <w:szCs w:val="20"/>
          <w:color w:val="auto"/>
        </w:rPr>
      </w:pPr>
      <w:r>
        <w:rPr>
          <w:rFonts w:ascii="Arial" w:cs="Arial" w:eastAsia="Arial" w:hAnsi="Arial"/>
          <w:sz w:val="18"/>
          <w:szCs w:val="18"/>
          <w:color w:val="auto"/>
        </w:rPr>
        <w:t>Management periodically reviews long-lived assets, which are not to be disposed of, including property and equipment,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1072" w:hanging="532"/>
        <w:spacing w:after="0"/>
        <w:tabs>
          <w:tab w:leader="none" w:pos="107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left="532" w:right="10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24" w:lineRule="exact"/>
        <w:rPr>
          <w:sz w:val="20"/>
          <w:szCs w:val="20"/>
          <w:color w:val="auto"/>
        </w:rPr>
      </w:pPr>
    </w:p>
    <w:p>
      <w:pPr>
        <w:ind w:left="1072" w:hanging="532"/>
        <w:spacing w:after="0"/>
        <w:tabs>
          <w:tab w:leader="none" w:pos="107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532" w:firstLine="351"/>
        <w:spacing w:after="0" w:line="253" w:lineRule="auto"/>
        <w:rPr>
          <w:sz w:val="20"/>
          <w:szCs w:val="20"/>
          <w:color w:val="auto"/>
        </w:rPr>
      </w:pPr>
      <w:r>
        <w:rPr>
          <w:rFonts w:ascii="Arial" w:cs="Arial" w:eastAsia="Arial" w:hAnsi="Arial"/>
          <w:sz w:val="18"/>
          <w:szCs w:val="18"/>
          <w:color w:val="auto"/>
        </w:rPr>
        <w:t>In June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99" w:lineRule="exact"/>
        <w:rPr>
          <w:sz w:val="20"/>
          <w:szCs w:val="20"/>
          <w:color w:val="auto"/>
        </w:rPr>
      </w:pPr>
    </w:p>
    <w:p>
      <w:pPr>
        <w:ind w:left="532" w:right="40" w:firstLine="351"/>
        <w:spacing w:after="0" w:line="256"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spacing w:after="0"/>
        <w:rPr>
          <w:sz w:val="20"/>
          <w:szCs w:val="20"/>
          <w:color w:val="auto"/>
        </w:rPr>
      </w:pPr>
      <w:r>
        <w:rPr>
          <w:rFonts w:ascii="Arial" w:cs="Arial" w:eastAsia="Arial" w:hAnsi="Arial"/>
          <w:sz w:val="18"/>
          <w:szCs w:val="18"/>
          <w:color w:val="auto"/>
        </w:rPr>
        <w:t>will have a material impact on the Company's consolidated financial position or results of operations.</w:t>
      </w:r>
    </w:p>
    <w:p>
      <w:pPr>
        <w:spacing w:after="0" w:line="225" w:lineRule="exact"/>
        <w:rPr>
          <w:sz w:val="20"/>
          <w:szCs w:val="20"/>
          <w:color w:val="auto"/>
        </w:rPr>
      </w:pPr>
    </w:p>
    <w:p>
      <w:pPr>
        <w:ind w:left="532" w:right="6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32" w:right="16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32"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532" w:hanging="532"/>
        <w:spacing w:after="0"/>
        <w:tabs>
          <w:tab w:leader="none" w:pos="532"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ectPr>
          <w:pgSz w:w="11900" w:h="16838" w:orient="portrait"/>
          <w:cols w:equalWidth="0" w:num="1">
            <w:col w:w="11372"/>
          </w:cols>
          <w:pgMar w:left="248" w:top="131" w:right="279" w:bottom="0" w:gutter="0" w:footer="0" w:header="0"/>
        </w:sectPr>
      </w:pPr>
    </w:p>
    <w:bookmarkStart w:id="180" w:name="page181"/>
    <w:bookmarkEnd w:id="180"/>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2001 consisted of the following:</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In ($</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000's)</w:t>
            </w:r>
          </w:p>
        </w:tc>
      </w:tr>
      <w:tr>
        <w:trPr>
          <w:trHeight w:val="105"/>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12"/>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6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-751840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May of 2002, Valvino transferred land acquired in connection with its acquisition of the Desert Inn Resort and Casino to the Company. The land was transferred at its carrying value of approximately $161 million. In addition, approximately $11 million of construction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progress was transferred. In consideration for the land, the Company recorded a payable to Valvino for an equal amount.</w:t>
      </w:r>
    </w:p>
    <w:p>
      <w:pPr>
        <w:spacing w:after="0" w:line="239" w:lineRule="exact"/>
        <w:rPr>
          <w:sz w:val="20"/>
          <w:szCs w:val="20"/>
          <w:color w:val="auto"/>
        </w:rPr>
      </w:pPr>
    </w:p>
    <w:p>
      <w:pPr>
        <w:ind w:left="540" w:hanging="532"/>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At December 31, 2001 amounts due to related parties were comprised primarily of amounts due to Valvino. For the period from inception through June 30, 2002, the Company's statements of operations include allocations from Valvino for legal, accounting, human resource, information services, real estate, or other corporate support services provided by Valvino. The corporate support service allocations have been determined on a basis that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for the six months ended June 30, 2002 and 2001 and for the periods from inception to December 31, 2001 and June 30, 2002 and were approximately $140,000, $65,000, $196,000 and $336,000, respectively. Given the development stage nature of the Company's operations for the periods presented, management does not believe it is practicable to estimate the cost that would have been incurred if the Company had operated as a stand-alone entity.</w:t>
      </w:r>
    </w:p>
    <w:p>
      <w:pPr>
        <w:spacing w:after="0" w:line="199" w:lineRule="exact"/>
        <w:rPr>
          <w:sz w:val="20"/>
          <w:szCs w:val="20"/>
          <w:color w:val="auto"/>
        </w:rPr>
      </w:pPr>
    </w:p>
    <w:p>
      <w:pPr>
        <w:ind w:left="540" w:hanging="532"/>
        <w:spacing w:after="0"/>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In the normal course of business, the Company may be subject to disputes with third parties, which could lead to litigation. Presently, the Company is not involved in any such matters.</w:t>
      </w:r>
    </w:p>
    <w:p>
      <w:pPr>
        <w:spacing w:after="0" w:line="199" w:lineRule="exact"/>
        <w:rPr>
          <w:sz w:val="20"/>
          <w:szCs w:val="20"/>
          <w:color w:val="auto"/>
        </w:rPr>
      </w:pPr>
    </w:p>
    <w:p>
      <w:pPr>
        <w:ind w:left="1080" w:hanging="532"/>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0" w:firstLine="348"/>
        <w:spacing w:after="0" w:line="290" w:lineRule="auto"/>
        <w:rPr>
          <w:sz w:val="20"/>
          <w:szCs w:val="20"/>
          <w:color w:val="auto"/>
        </w:rPr>
      </w:pPr>
      <w:r>
        <w:rPr>
          <w:rFonts w:ascii="Arial" w:cs="Arial" w:eastAsia="Arial" w:hAnsi="Arial"/>
          <w:sz w:val="16"/>
          <w:szCs w:val="16"/>
          <w:color w:val="auto"/>
        </w:rPr>
        <w:t>The Company has entered into certain contracts related to the construction of "Le Rêve". Effective as of June 4, 2002, and amended by Change Order No. 1, effective as of August 12, 2002, the Company entered into an agreement with a construction contractor for guaranteed maximum price construction services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Company's actions.</w:t>
      </w:r>
    </w:p>
    <w:p>
      <w:pPr>
        <w:spacing w:after="0" w:line="172" w:lineRule="exact"/>
        <w:rPr>
          <w:sz w:val="20"/>
          <w:szCs w:val="20"/>
          <w:color w:val="auto"/>
        </w:rPr>
      </w:pPr>
    </w:p>
    <w:p>
      <w:pPr>
        <w:ind w:left="540" w:right="200" w:firstLine="341"/>
        <w:spacing w:after="0" w:line="268" w:lineRule="auto"/>
        <w:rPr>
          <w:sz w:val="20"/>
          <w:szCs w:val="20"/>
          <w:color w:val="auto"/>
        </w:rPr>
      </w:pPr>
      <w:r>
        <w:rPr>
          <w:rFonts w:ascii="Arial" w:cs="Arial" w:eastAsia="Arial" w:hAnsi="Arial"/>
          <w:sz w:val="18"/>
          <w:szCs w:val="18"/>
          <w:color w:val="auto"/>
        </w:rPr>
        <w:t>Additionally, the Company has entered into an agreement with a construction contractor for the design and construction of a parking structure for a maximum cost of $9.85 million, subject to specified exceptions, effective as of June 6, 2002.</w:t>
      </w:r>
    </w:p>
    <w:p>
      <w:pPr>
        <w:spacing w:after="0" w:line="213" w:lineRule="exact"/>
        <w:rPr>
          <w:sz w:val="20"/>
          <w:szCs w:val="20"/>
          <w:color w:val="auto"/>
        </w:rPr>
      </w:pPr>
    </w:p>
    <w:p>
      <w:pPr>
        <w:ind w:left="1080" w:hanging="532"/>
        <w:spacing w:after="0"/>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Financing Arrangements</w:t>
      </w:r>
    </w:p>
    <w:p>
      <w:pPr>
        <w:spacing w:after="0" w:line="225"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Valvino, the Company and Wynn Resorts Holdings LLC, a wholly owned subsidiary of Valvino, have entered into a commitment letter with several lenders for a $750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61" w:lineRule="exact"/>
        <w:rPr>
          <w:sz w:val="20"/>
          <w:szCs w:val="20"/>
          <w:color w:val="auto"/>
        </w:rPr>
      </w:pPr>
    </w:p>
    <w:p>
      <w:pPr>
        <w:jc w:val="both"/>
        <w:ind w:left="540"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left="540"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460" w:firstLine="351"/>
        <w:spacing w:after="0" w:line="370" w:lineRule="auto"/>
        <w:rPr>
          <w:sz w:val="20"/>
          <w:szCs w:val="20"/>
          <w:color w:val="auto"/>
        </w:rPr>
      </w:pPr>
      <w:r>
        <w:rPr>
          <w:rFonts w:ascii="Arial" w:cs="Arial" w:eastAsia="Arial" w:hAnsi="Arial"/>
          <w:sz w:val="15"/>
          <w:szCs w:val="15"/>
          <w:color w:val="auto"/>
        </w:rPr>
        <w:t>Before Le Rêve opens, the Credit Facilities are expected to bear interest at either the prime rate or reserve Eurodollar Rate, as elected by the Company, plus, in either case, 4.00% per annum. After the opening of Le Rêve, the Credit Facilities interest rate will be reduced to the prime rate or</w:t>
      </w:r>
    </w:p>
    <w:p>
      <w:pPr>
        <w:sectPr>
          <w:pgSz w:w="11900" w:h="16989" w:orient="portrait"/>
          <w:cols w:equalWidth="0" w:num="1">
            <w:col w:w="11420"/>
          </w:cols>
          <w:pgMar w:left="240" w:top="131" w:right="239" w:bottom="0" w:gutter="0" w:footer="0" w:header="0"/>
        </w:sectPr>
      </w:pPr>
    </w:p>
    <w:bookmarkStart w:id="181" w:name="page182"/>
    <w:bookmarkEnd w:id="181"/>
    <w:p>
      <w:pPr>
        <w:ind w:left="540"/>
        <w:spacing w:after="0"/>
        <w:rPr>
          <w:sz w:val="20"/>
          <w:szCs w:val="20"/>
          <w:color w:val="auto"/>
        </w:rPr>
      </w:pPr>
      <w:r>
        <w:rPr>
          <w:rFonts w:ascii="Arial" w:cs="Arial" w:eastAsia="Arial" w:hAnsi="Arial"/>
          <w:sz w:val="18"/>
          <w:szCs w:val="18"/>
          <w:color w:val="auto"/>
        </w:rPr>
        <w:t>reserve adjusted Eurodollar Rate plus, in either case, a margin based on a leverage ratio.</w:t>
      </w:r>
    </w:p>
    <w:p>
      <w:pPr>
        <w:spacing w:after="0" w:line="225" w:lineRule="exact"/>
        <w:rPr>
          <w:sz w:val="20"/>
          <w:szCs w:val="20"/>
          <w:color w:val="auto"/>
        </w:rPr>
      </w:pPr>
    </w:p>
    <w:p>
      <w:pPr>
        <w:ind w:left="540" w:right="40" w:firstLine="351"/>
        <w:spacing w:after="0" w:line="253" w:lineRule="auto"/>
        <w:rPr>
          <w:sz w:val="20"/>
          <w:szCs w:val="20"/>
          <w:color w:val="auto"/>
        </w:rPr>
      </w:pPr>
      <w:r>
        <w:rPr>
          <w:rFonts w:ascii="Arial" w:cs="Arial" w:eastAsia="Arial" w:hAnsi="Arial"/>
          <w:sz w:val="18"/>
          <w:szCs w:val="18"/>
          <w:color w:val="auto"/>
        </w:rPr>
        <w:t>In addition, the Company's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The Company may also use proceeds from the FF&amp;E facility to refinance a replacement corporate aircraft in which case the Company would request the FF&amp;E lenders to increase the total commitment under the FF&amp;E facility by $10 million to $198.5 million.</w:t>
      </w:r>
    </w:p>
    <w:p>
      <w:pPr>
        <w:spacing w:after="0" w:line="213" w:lineRule="exact"/>
        <w:rPr>
          <w:sz w:val="20"/>
          <w:szCs w:val="20"/>
          <w:color w:val="auto"/>
        </w:rPr>
      </w:pPr>
    </w:p>
    <w:p>
      <w:pPr>
        <w:ind w:left="1080" w:hanging="532"/>
        <w:spacing w:after="0"/>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jc w:val="both"/>
        <w:ind w:left="540" w:right="420" w:firstLine="348"/>
        <w:spacing w:after="0" w:line="306" w:lineRule="auto"/>
        <w:rPr>
          <w:sz w:val="20"/>
          <w:szCs w:val="20"/>
          <w:color w:val="auto"/>
        </w:rPr>
      </w:pPr>
      <w:r>
        <w:rPr>
          <w:rFonts w:ascii="Arial" w:cs="Arial" w:eastAsia="Arial" w:hAnsi="Arial"/>
          <w:sz w:val="16"/>
          <w:szCs w:val="16"/>
          <w:color w:val="auto"/>
        </w:rPr>
        <w:t>Valvino is self-insured for medical and worker's compensation claims. The Individual Stop Loss Attachment Point for each claim is $40,000 for medical and $250,000 for worker's compensation claims with a maximum payout of $960,000 and $1,000,000, respectively. Valvino's self-insurance covers any claims made by employees of Wynn Las Vegas, LLC and Wynn Las Vegas Capital Corp.</w:t>
      </w:r>
    </w:p>
    <w:p>
      <w:pPr>
        <w:spacing w:after="0" w:line="188" w:lineRule="exact"/>
        <w:rPr>
          <w:sz w:val="20"/>
          <w:szCs w:val="20"/>
          <w:color w:val="auto"/>
        </w:rPr>
      </w:pPr>
    </w:p>
    <w:p>
      <w:pPr>
        <w:ind w:left="540" w:hanging="532"/>
        <w:spacing w:after="0"/>
        <w:tabs>
          <w:tab w:leader="none" w:pos="54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Employees of the Company participate in the Valvino retirement savings plan, which was established in July 2000 under Section 401(k) of the Internal Revenue Code. The plan allows employees to defer, within prescribed limits, up to 18% of their income on a pre-tax basis through contributions to this plan. Valvino matches the contributions, within prescribed limits,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with an amount equal to 100% of the participant's initial 2% tax deferred contribution and 50% of the tax deferred contribution between 2% and 4% of the participant's compensation. Valvino recorded charges for matching contributions of approximately $127,000 for the year ended December 31, 2001.</w:t>
      </w:r>
    </w:p>
    <w:p>
      <w:pPr>
        <w:spacing w:after="0" w:line="153" w:lineRule="exact"/>
        <w:rPr>
          <w:sz w:val="20"/>
          <w:szCs w:val="20"/>
          <w:color w:val="auto"/>
        </w:rPr>
      </w:pPr>
    </w:p>
    <w:p>
      <w:pPr>
        <w:ind w:left="540" w:hanging="532"/>
        <w:spacing w:after="0"/>
        <w:tabs>
          <w:tab w:leader="none" w:pos="5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Subsequent to the issuance of the Company's financial statements for the six months ended June 30, 2002, and for the year ended December 31, 2001, the Company's management determined that costs incurred by Valvino associated with certain corporate support services should have been allocated to the Company. As a result, the financial statements of the Company have been restated from the amounts previously reported to reflect the allocation of certain costs associated with corporate support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2"/>
              </w:rPr>
              <w:t>2002 as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Previously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77"/>
              </w:rPr>
              <w:t>Restated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177,880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Member's Deficiency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June 30, 2002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Six months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 2001 as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June 30, 2002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 2001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14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2002 as 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i w:val="1"/>
                <w:iCs w:val="1"/>
                <w:color w:val="auto"/>
                <w:w w:val="77"/>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6"/>
          </w:tcPr>
          <w:p>
            <w:pPr>
              <w:jc w:val="right"/>
              <w:ind w:right="60"/>
              <w:spacing w:after="0"/>
              <w:rPr>
                <w:sz w:val="20"/>
                <w:szCs w:val="20"/>
                <w:color w:val="auto"/>
              </w:rPr>
            </w:pPr>
            <w:r>
              <w:rPr>
                <w:rFonts w:ascii="Arial" w:cs="Arial" w:eastAsia="Arial" w:hAnsi="Arial"/>
                <w:sz w:val="18"/>
                <w:szCs w:val="18"/>
                <w:color w:val="auto"/>
              </w:rPr>
              <w:t>F-47</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-3063875</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-3063875</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-3063875</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-3063875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-3063875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-3063875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-3063875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-3063875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-1845945</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-1845945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-1845945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-1845945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-1845945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-1845945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-1845945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-1845945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-628650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-628650</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-628650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-628650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-628650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-628650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-628650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-628650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9"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The accompanying pro forma unaudited consolidating financial information is presented assuming the transfer of certain assets, as noted below, to Wynn Resorts, Limited by Valvino Lamore, LLC had occurred as of and for the six month period ended June 30, 2002 and for the year ended December 31, 2001. The statements have been adjusted to reflect the elimination of all items management believes will be ultimately transferred to Wynn Resorts, Limited in accordance with a Distribution Agreement and Assignment dated October 2002. The assets to be distributed are expected to include the Company's equity interests in the non-guarantor entities (Wynn Group Asia, Inc., Kevyn LLC, Rambas Marketing Co. LLC, Toasty, LLC and World Wide Wynn, LLC), Inventories and affiliates</w:t>
      </w:r>
    </w:p>
    <w:p>
      <w:pPr>
        <w:sectPr>
          <w:pgSz w:w="11900" w:h="16838" w:orient="portrait"/>
          <w:cols w:equalWidth="0" w:num="1">
            <w:col w:w="11420"/>
          </w:cols>
          <w:pgMar w:left="240" w:top="131" w:right="239" w:bottom="0" w:gutter="0" w:footer="0" w:header="0"/>
        </w:sectPr>
      </w:pPr>
    </w:p>
    <w:bookmarkStart w:id="182" w:name="page183"/>
    <w:bookmarkEnd w:id="182"/>
    <w:p>
      <w:pPr>
        <w:ind w:right="40"/>
        <w:spacing w:after="0" w:line="306" w:lineRule="auto"/>
        <w:rPr>
          <w:sz w:val="20"/>
          <w:szCs w:val="20"/>
          <w:color w:val="auto"/>
        </w:rPr>
      </w:pPr>
      <w:r>
        <w:rPr>
          <w:rFonts w:ascii="Arial" w:cs="Arial" w:eastAsia="Arial" w:hAnsi="Arial"/>
          <w:sz w:val="16"/>
          <w:szCs w:val="16"/>
          <w:color w:val="auto"/>
        </w:rPr>
        <w:t>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 Actual eliminations will differ as a result of operations which have occurred subsequent to June 30, 2002.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160,863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Intercompany Balances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Deficit Accumulated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Inception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Development Stage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537,981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524,315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3"/>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83"/>
              <w:spacing w:after="0"/>
              <w:rPr>
                <w:sz w:val="20"/>
                <w:szCs w:val="20"/>
                <w:color w:val="auto"/>
              </w:rPr>
            </w:pPr>
            <w:r>
              <w:rPr>
                <w:rFonts w:ascii="Arial" w:cs="Arial" w:eastAsia="Arial" w:hAnsi="Arial"/>
                <w:sz w:val="18"/>
                <w:szCs w:val="18"/>
                <w:color w:val="auto"/>
              </w:rPr>
              <w:t>F-49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-6085840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-6085840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-6085840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-6085840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-6085840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-6085840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-6085840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-6085840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-6085840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-6085840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-6085840</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-6085840</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-4696460</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-4696460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-4696460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-4696460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-4696460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-4696460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-4696460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-4696460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-4696460</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-4696460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-4696460</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-4696460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-3702050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-3702050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-3702050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-3702050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-3702050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-3702050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-3702050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-3702050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-3702050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-3702050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-3702050</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-3702050</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-2398395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-2398395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-2398395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-2398395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-2398395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-2398395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-2398395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-2398395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-2398395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-2398395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1" w:right="239" w:bottom="0" w:gutter="0" w:footer="0" w:header="0"/>
        </w:sectPr>
      </w:pPr>
    </w:p>
    <w:bookmarkStart w:id="183" w:name="page184"/>
    <w:bookmarkEnd w:id="183"/>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2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(4,410)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(4,424)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92"/>
              <w:spacing w:after="0"/>
              <w:rPr>
                <w:sz w:val="20"/>
                <w:szCs w:val="20"/>
                <w:color w:val="auto"/>
              </w:rPr>
            </w:pPr>
            <w:r>
              <w:rPr>
                <w:rFonts w:ascii="Arial" w:cs="Arial" w:eastAsia="Arial" w:hAnsi="Arial"/>
                <w:sz w:val="18"/>
                <w:szCs w:val="18"/>
                <w:color w:val="auto"/>
              </w:rPr>
              <w:t>F-50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-5640070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-5640070</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-5640070</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-5640070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-5640070</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-5640070</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-5640070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-5640070</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-5640070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-5640070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-5640070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-5640070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-4730750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-4730750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-4730750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-4730750</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-4730750</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-4730750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-4730750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-4730750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-4730750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-4730750</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-4730750</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-4730750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-2724150</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-2724150</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-2724150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-2724150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-2724150</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-2724150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-2724150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-2415540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-2415540</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-2415540</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-2415540</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-1988820</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-1988820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-1988820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-1988820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-1988820</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-1988820</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-1988820</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-1988820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-1988820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-1988820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-1988820</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-1988820</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-1079500</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-1079500</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-1079500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-1079500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-1079500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-1079500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-1079500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-1079500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-1079500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-1079500</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3" w:orient="portrait"/>
          <w:cols w:equalWidth="0" w:num="1">
            <w:col w:w="11420"/>
          </w:cols>
          <w:pgMar w:left="240" w:top="341" w:right="239" w:bottom="0" w:gutter="0" w:footer="0" w:header="0"/>
        </w:sectPr>
      </w:pPr>
    </w:p>
    <w:bookmarkStart w:id="184" w:name="page185"/>
    <w:bookmarkEnd w:id="184"/>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&amp;</w:t>
            </w:r>
          </w:p>
        </w:tc>
        <w:tc>
          <w:tcPr>
            <w:tcW w:w="5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5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9"/>
                <w:szCs w:val="19"/>
                <w:color w:val="auto"/>
              </w:rPr>
            </w:pPr>
          </w:p>
        </w:tc>
      </w:tr>
      <w:tr>
        <w:trPr>
          <w:trHeight w:val="242"/>
        </w:trPr>
        <w:tc>
          <w:tcPr>
            <w:tcW w:w="276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r>
      <w:tr>
        <w:trPr>
          <w:trHeight w:val="241"/>
        </w:trPr>
        <w:tc>
          <w:tcPr>
            <w:tcW w:w="276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5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6"/>
        </w:trPr>
        <w:tc>
          <w:tcPr>
            <w:tcW w:w="27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(19,501)</w:t>
            </w:r>
          </w:p>
        </w:tc>
      </w:tr>
      <w:tr>
        <w:trPr>
          <w:trHeight w:val="433"/>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 (Expense)</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2760" w:type="dxa"/>
            <w:vAlign w:val="bottom"/>
          </w:tcPr>
          <w:p>
            <w:pPr>
              <w:ind w:left="240"/>
              <w:spacing w:after="0"/>
              <w:rPr>
                <w:sz w:val="20"/>
                <w:szCs w:val="20"/>
                <w:color w:val="auto"/>
              </w:rPr>
            </w:pPr>
            <w:r>
              <w:rPr>
                <w:rFonts w:ascii="Arial" w:cs="Arial" w:eastAsia="Arial" w:hAnsi="Arial"/>
                <w:sz w:val="18"/>
                <w:szCs w:val="18"/>
                <w:color w:val="auto"/>
                <w:w w:val="92"/>
              </w:rPr>
              <w:t>Interest Expense, Net of Amounts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Capitalized</w:t>
            </w: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76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Net Loss Accumulated During</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Development Stage</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(17,167)</w:t>
            </w: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8"/>
                <w:szCs w:val="18"/>
                <w:color w:val="auto"/>
              </w:rPr>
              <w:t>F-51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-2844165</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-2844165</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-2844165</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-2844165</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-2844165</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-2844165</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-2844165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-2844165</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-2844165</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-2535555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-2535555</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-2535555</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-2535555</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-2535555</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-2535555</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-2535555</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-2535555</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-1403350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-1403350</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-1403350</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(4,410)</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80" w:type="dxa"/>
            <w:vAlign w:val="bottom"/>
          </w:tcPr>
          <w:p>
            <w:pPr>
              <w:spacing w:after="0"/>
              <w:rPr>
                <w:sz w:val="12"/>
                <w:szCs w:val="12"/>
                <w:color w:val="auto"/>
              </w:rPr>
            </w:pP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Incidental Operations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1,971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Restricted Cash</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(1,788)</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Inventories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 / (Used in) Operating Activities</w:t>
            </w: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Acquisition of Airplane</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(2,899)</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Due from Related Parties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(29,646)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(1,566)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Activities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(32,537)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(1,576)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Equity Contributions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151,507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151,507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Principal Payments of Long-Term Debt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5430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-4293870</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-4293870</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-4293870</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-4293870</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-4293870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-4293870</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-4293870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-4293870</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-4293870</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-4293870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-4293870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-4293870</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-2338070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-2338070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-2338070</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-2338070</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-2338070</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-2338070</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-2338070</wp:posOffset>
            </wp:positionV>
            <wp:extent cx="1270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-2338070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-2338070</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-2338070</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-2338070</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-2338070</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-2089785</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-2089785</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-2089785</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-2089785</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-2089785</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-2089785</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-2089785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-2089785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-2089785</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-2089785</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-2089785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-2089785</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-1069340</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-1069340</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-1069340</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-1069340</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-1069340</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-1069340</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-1069340</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-1069340</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-1069340</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-1069340</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-1069340</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-1069340</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-725805</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-725805</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-725805</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-725805</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-725805</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-725805</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-725805</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-725805</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-725805</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-725805</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-725805</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-725805</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-14605</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2" w:orient="portrait"/>
          <w:cols w:equalWidth="0" w:num="1">
            <w:col w:w="11420"/>
          </w:cols>
          <w:pgMar w:left="240" w:top="131" w:right="239" w:bottom="0" w:gutter="0" w:footer="0" w:header="0"/>
        </w:sectPr>
      </w:pPr>
    </w:p>
    <w:p>
      <w:pPr>
        <w:spacing w:after="0" w:line="189" w:lineRule="exact"/>
        <w:rPr>
          <w:sz w:val="20"/>
          <w:szCs w:val="20"/>
          <w:color w:val="auto"/>
        </w:rPr>
      </w:pPr>
    </w:p>
    <w:p>
      <w:pPr>
        <w:ind w:left="460"/>
        <w:spacing w:after="0"/>
        <w:tabs>
          <w:tab w:leader="none" w:pos="4120" w:val="left"/>
          <w:tab w:leader="none" w:pos="6040" w:val="left"/>
          <w:tab w:leader="none" w:pos="7400" w:val="left"/>
          <w:tab w:leader="none" w:pos="9100" w:val="left"/>
          <w:tab w:leader="none" w:pos="10900" w:val="left"/>
        </w:tabs>
        <w:rPr>
          <w:sz w:val="20"/>
          <w:szCs w:val="20"/>
          <w:color w:val="auto"/>
        </w:rPr>
      </w:pPr>
      <w:r>
        <w:rPr>
          <w:rFonts w:ascii="Arial" w:cs="Arial" w:eastAsia="Arial" w:hAnsi="Arial"/>
          <w:sz w:val="14"/>
          <w:szCs w:val="14"/>
          <w:color w:val="auto"/>
        </w:rPr>
        <w:t>Net Cash Provided by Financing Activities</w:t>
      </w:r>
      <w:r>
        <w:rPr>
          <w:sz w:val="20"/>
          <w:szCs w:val="20"/>
          <w:color w:val="auto"/>
        </w:rPr>
        <w:tab/>
      </w:r>
      <w:r>
        <w:rPr>
          <w:rFonts w:ascii="Arial" w:cs="Arial" w:eastAsia="Arial" w:hAnsi="Arial"/>
          <w:sz w:val="14"/>
          <w:szCs w:val="14"/>
          <w:color w:val="auto"/>
        </w:rPr>
        <w:t>151,491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151,491</w:t>
      </w:r>
    </w:p>
    <w:p>
      <w:pPr>
        <w:sectPr>
          <w:pgSz w:w="11900" w:h="16872" w:orient="portrait"/>
          <w:cols w:equalWidth="0" w:num="1">
            <w:col w:w="11420"/>
          </w:cols>
          <w:pgMar w:left="240" w:top="131" w:right="239" w:bottom="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760" w:type="dxa"/>
            <w:vAlign w:val="bottom"/>
          </w:tcPr>
          <w:p>
            <w:pPr>
              <w:spacing w:after="0"/>
              <w:rPr>
                <w:sz w:val="14"/>
                <w:szCs w:val="14"/>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121,595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162,103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160,863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2118995</wp:posOffset>
            </wp:positionH>
            <wp:positionV relativeFrom="page">
              <wp:posOffset>88900</wp:posOffset>
            </wp:positionV>
            <wp:extent cx="5252720" cy="1905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5252720" cy="1905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-550545</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-550545</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-550545</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-550545</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-550545</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-550545</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-550545</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-550545</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-550545</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-550545</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-550545</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CASH FLOW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Entries</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(37,252)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(44,980)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Contributions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(24,884)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-6978015</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-6978015</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-6978015</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-6978015</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-6978015</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-6978015</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-6978015</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-6978015</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-6978015</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-6978015</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-6978015</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-6978015</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-3959225</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-3959225</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-3959225</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-3959225</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-3959225</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-3959225</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-3959225</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-3959225</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-3959225</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-3959225</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-3959225</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-3959225</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-3530600</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-3530600</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-3530600</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-3530600</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-3530600</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-3530600</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-3530600</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-3530600</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-3530600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-3530600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-3530600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-3530600</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-2415540</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-2415540</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-2415540</wp:posOffset>
            </wp:positionV>
            <wp:extent cx="1270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-2415540</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-2415540</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-2415540</wp:posOffset>
            </wp:positionV>
            <wp:extent cx="1270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-2415540</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-2415540</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-2415540</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-2415540</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-2415540</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-1986915</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-1986915</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-1986915</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-1986915</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-1986915</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-1986915</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-1986915</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-1986915</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-1986915</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-1986915</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-1986915</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-1009015</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-1009015</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-1009015</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-1009015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-1009015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-1009015</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-1009015</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-1009015</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-1009015</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-1009015</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-1009015</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-1009015</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-580390</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-580390</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-580390</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-580390</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-580390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-580390</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-580390</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-580390</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-580390</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-580390</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-580390</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-580390</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6" w:right="239" w:bottom="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39,590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(49)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(273)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F-53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to Pro Forma Unaudited Guarantor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 forma consolidating information differs from that presented in Note 11 to Valvino Lamore, LLC's financial statements for the following items:</w:t>
      </w:r>
    </w:p>
    <w:p>
      <w:pPr>
        <w:spacing w:after="0" w:line="262" w:lineRule="exact"/>
        <w:rPr>
          <w:sz w:val="20"/>
          <w:szCs w:val="20"/>
          <w:color w:val="auto"/>
        </w:rPr>
      </w:pPr>
    </w:p>
    <w:p>
      <w:pPr>
        <w:ind w:left="1080" w:right="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ownership interest in subsidiaries that will be transferred to Wynn Resorts, Limited from other assets on Valvino Lamore, LLC's balance sheet along with related intercompany balances.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certain inventory currently held by Valvino Lamore, LLC's which will be transferred to Wynn Resorts, Limited.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from the All Other non-guarantors columns for those subsidiaries transferred to Wynn Resorts since such subsidiaries will no longer be part of the Valvino Lamore, LLC consolidated group.</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adjustment to Valvino Lamore, LLC's contributed capital to reflect the transfers as a distribution of equity to Wynn Resorts, Limited.</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the minority interest amounts that relate to a partially owned subsidiary that will be transferred to Wynn Resorts, Limited and will no longer be part of the Valvino Lamore, LLC consolidated group.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 permitted. The information contained in this prospectus is accurate only as of the date of this prospectus, regardless of the time of delivery of this prospectus or of any sale of our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 of Wynn Resorts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the Second Mortgage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Intercreditor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Disbursement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 Federal Income Tax Considerations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-3652520</wp:posOffset>
            </wp:positionV>
            <wp:extent cx="1270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-3652520</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Until November 19,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LLC</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Capital Corp.</w:t>
      </w:r>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$370,000,000</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 Second Mortgage</w:t>
      </w:r>
    </w:p>
    <w:p>
      <w:pPr>
        <w:sectPr>
          <w:pgSz w:w="11900" w:h="16838" w:orient="portrait"/>
          <w:cols w:equalWidth="0" w:num="1">
            <w:col w:w="11420"/>
          </w:cols>
          <w:pgMar w:left="240" w:top="131" w:right="239" w:bottom="0" w:gutter="0" w:footer="0" w:header="0"/>
        </w:sectPr>
      </w:pPr>
    </w:p>
    <w:bookmarkStart w:id="187" w:name="page188"/>
    <w:bookmarkEnd w:id="187"/>
    <w:p>
      <w:pPr>
        <w:spacing w:after="0"/>
        <w:rPr>
          <w:sz w:val="20"/>
          <w:szCs w:val="20"/>
          <w:color w:val="auto"/>
        </w:rPr>
      </w:pPr>
      <w:r>
        <w:rPr>
          <w:rFonts w:ascii="Arial" w:cs="Arial" w:eastAsia="Arial" w:hAnsi="Arial"/>
          <w:sz w:val="24"/>
          <w:szCs w:val="24"/>
          <w:b w:val="1"/>
          <w:bCs w:val="1"/>
          <w:color w:val="auto"/>
        </w:rPr>
        <w:t>Notes due 2010</w:t>
      </w: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Banc of America Securities LLC</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Co-Lead Managers</w:t>
      </w: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Fleet Securities, Inc.</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Scotia Capital</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SG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360"/>
        <w:spacing w:after="0"/>
        <w:rPr>
          <w:sz w:val="20"/>
          <w:szCs w:val="20"/>
          <w:color w:val="auto"/>
        </w:rPr>
      </w:pPr>
      <w:r>
        <w:rPr>
          <w:rFonts w:ascii="Arial" w:cs="Arial" w:eastAsia="Arial" w:hAnsi="Arial"/>
          <w:sz w:val="24"/>
          <w:szCs w:val="24"/>
          <w:b w:val="1"/>
          <w:bCs w:val="1"/>
          <w:color w:val="auto"/>
        </w:rPr>
        <w:t>Jefferies &amp; Company,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Our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on Issuers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Notice to Foreign Investors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 and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PRINCIPAL STOCKHOLDERS OF WYNN RESORTS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240"/>
        <w:spacing w:after="0" w:line="250"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OUR AFFILIATE'S OPPORTUNITY IN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DESCRIPTION OF OTHER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INTERCREDITOR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DISBURSEMENT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U.S. FEDERAL INCOME TAX CONSIDERATIONS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15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155">
        <w:r>
          <w:rPr>
            <w:rFonts w:ascii="Arial" w:cs="Arial" w:eastAsia="Arial" w:hAnsi="Arial"/>
            <w:sz w:val="18"/>
            <w:szCs w:val="18"/>
            <w:u w:val="single" w:color="auto"/>
            <w:color w:val="0000EE"/>
          </w:rPr>
          <w:t>thousands, except share data)</w:t>
        </w:r>
      </w:hyperlink>
    </w:p>
    <w:p>
      <w:pPr>
        <w:sectPr>
          <w:pgSz w:w="11900" w:h="16838" w:orient="portrait"/>
          <w:cols w:equalWidth="0" w:num="1">
            <w:col w:w="10920"/>
          </w:cols>
          <w:pgMar w:left="240" w:top="112" w:right="739" w:bottom="0" w:gutter="0" w:footer="0" w:header="0"/>
        </w:sectPr>
      </w:pPr>
    </w:p>
    <w:bookmarkStart w:id="188" w:name="page189"/>
    <w:bookmarkEnd w:id="188"/>
    <w:p>
      <w:pPr>
        <w:jc w:val="both"/>
        <w:ind w:right="220"/>
        <w:spacing w:after="0" w:line="254" w:lineRule="auto"/>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156">
        <w:r>
          <w:rPr>
            <w:rFonts w:ascii="Arial" w:cs="Arial" w:eastAsia="Arial" w:hAnsi="Arial"/>
            <w:sz w:val="18"/>
            <w:szCs w:val="18"/>
            <w:u w:val="single" w:color="auto"/>
            <w:color w:val="0000EE"/>
          </w:rPr>
          <w:t>(In thousands, except share data)</w:t>
        </w:r>
      </w:hyperlink>
    </w:p>
    <w:p>
      <w:pPr>
        <w:ind w:right="460"/>
        <w:spacing w:after="0" w:line="250" w:lineRule="auto"/>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5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jc w:val="both"/>
        <w:ind w:right="220"/>
        <w:spacing w:after="0" w:line="281" w:lineRule="auto"/>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6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66">
        <w:r>
          <w:rPr>
            <w:rFonts w:ascii="Arial" w:cs="Arial" w:eastAsia="Arial" w:hAnsi="Arial"/>
            <w:sz w:val="16"/>
            <w:szCs w:val="16"/>
            <w:u w:val="single" w:color="auto"/>
            <w:color w:val="0000EE"/>
          </w:rPr>
          <w:t>VALVINO LAMORE, LLC AND SUBSIDIARIES CONSOLIDATING BALANCE SHEET INFORMATION As of December 31, 2001 (In thousands)</w:t>
        </w:r>
      </w:hyperlink>
    </w:p>
    <w:p>
      <w:pPr>
        <w:spacing w:after="0" w:line="2" w:lineRule="exact"/>
        <w:rPr>
          <w:rFonts w:ascii="Arial" w:cs="Arial" w:eastAsia="Arial" w:hAnsi="Arial"/>
          <w:sz w:val="16"/>
          <w:szCs w:val="16"/>
          <w:u w:val="single" w:color="auto"/>
          <w:color w:val="0000EE"/>
        </w:rPr>
      </w:pPr>
    </w:p>
    <w:p>
      <w:pPr>
        <w:ind w:right="160"/>
        <w:spacing w:after="0" w:line="250" w:lineRule="auto"/>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VALVINO LAMORE, LLC AND SUBSIDIARIES CONSOLIDATING BALANCE SHEET INFORMATION As of December 31, 2000 (In Thousands)</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VALVINO LAMORE, LLC AND SUBSIDIARIES CONSOLIDATING STATEMENTS OF OPERATIONS INFORMATION Six Months Ended June 30, 2002</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(In Thousands) (Unaudited)</w:t>
        </w:r>
      </w:hyperlink>
    </w:p>
    <w:p>
      <w:pPr>
        <w:spacing w:after="0" w:line="1" w:lineRule="exact"/>
        <w:rPr>
          <w:rFonts w:ascii="Arial" w:cs="Arial" w:eastAsia="Arial" w:hAnsi="Arial"/>
          <w:sz w:val="18"/>
          <w:szCs w:val="18"/>
          <w:u w:val="single" w:color="auto"/>
          <w:color w:val="0000EE"/>
        </w:rPr>
      </w:pPr>
    </w:p>
    <w:p>
      <w:pPr>
        <w:ind w:right="160"/>
        <w:spacing w:after="0" w:line="250" w:lineRule="auto"/>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6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7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7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7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74">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74">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VALVINO LAMORE, LLC AND SUBSIDIARIES NOTES TO CONSOLIDATED FINANCIALS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BALANCE SHEETS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STATEMENTS OF OPERATIONS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STATEMENTS OF MEMBER'S DEFICIENCY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STATEMENTS OF CASH FLOWS (In thousands)</w:t>
        </w:r>
      </w:hyperlink>
    </w:p>
    <w:p>
      <w:pPr>
        <w:spacing w:after="0" w:line="9" w:lineRule="exact"/>
        <w:rPr>
          <w:sz w:val="20"/>
          <w:szCs w:val="20"/>
          <w:color w:val="auto"/>
        </w:rPr>
      </w:pPr>
    </w:p>
    <w:p>
      <w:pPr>
        <w:ind w:right="260"/>
        <w:spacing w:after="0" w:line="250" w:lineRule="auto"/>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WYNN LAS VEGAS, LLC (A WHOLLY OWNED SUBSIDIARY OF VALVINO LAMORE, LLC AND A DEVELOPMENT STAGE COMPANY) NOTES</w:t>
        </w:r>
      </w:hyperlink>
      <w:r>
        <w:rPr>
          <w:rFonts w:ascii="Arial" w:cs="Arial" w:eastAsia="Arial" w:hAnsi="Arial"/>
          <w:sz w:val="18"/>
          <w:szCs w:val="18"/>
          <w:u w:val="single" w:color="auto"/>
          <w:color w:val="0000EE"/>
        </w:rPr>
        <w:t xml:space="preserve"> </w:t>
      </w:r>
      <w:hyperlink w:anchor="page178">
        <w:r>
          <w:rPr>
            <w:rFonts w:ascii="Arial" w:cs="Arial" w:eastAsia="Arial" w:hAnsi="Arial"/>
            <w:sz w:val="18"/>
            <w:szCs w:val="18"/>
            <w:u w:val="single" w:color="auto"/>
            <w:color w:val="0000EE"/>
          </w:rPr>
          <w:t>TO FINANCIAL STATEMENTS</w:t>
        </w:r>
      </w:hyperlink>
    </w:p>
    <w:p>
      <w:pPr>
        <w:spacing w:after="0" w:line="1" w:lineRule="exact"/>
        <w:rPr>
          <w:sz w:val="20"/>
          <w:szCs w:val="20"/>
          <w:color w:val="auto"/>
        </w:rPr>
      </w:pPr>
    </w:p>
    <w:p>
      <w:pPr>
        <w:ind w:right="100"/>
        <w:spacing w:after="0" w:line="250" w:lineRule="auto"/>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VALVINO LAMORE, LLC AND SUBSIDIARIES PRO FORMA UNAUDITED GUARANTOR CONSOLIDATING BALANCE SHEET INFORMATION As</w:t>
        </w:r>
      </w:hyperlink>
      <w:r>
        <w:rPr>
          <w:rFonts w:ascii="Arial" w:cs="Arial" w:eastAsia="Arial" w:hAnsi="Arial"/>
          <w:sz w:val="18"/>
          <w:szCs w:val="18"/>
          <w:u w:val="single" w:color="auto"/>
          <w:color w:val="0000EE"/>
        </w:rPr>
        <w:t xml:space="preserve"> </w:t>
      </w:r>
      <w:hyperlink w:anchor="page183">
        <w:r>
          <w:rPr>
            <w:rFonts w:ascii="Arial" w:cs="Arial" w:eastAsia="Arial" w:hAnsi="Arial"/>
            <w:sz w:val="18"/>
            <w:szCs w:val="18"/>
            <w:u w:val="single" w:color="auto"/>
            <w:color w:val="0000EE"/>
          </w:rPr>
          <w:t>of June 30, 2002 (In thousands) (Unaudited)</w:t>
        </w:r>
      </w:hyperlink>
    </w:p>
    <w:p>
      <w:pPr>
        <w:spacing w:after="0" w:line="1" w:lineRule="exact"/>
        <w:rPr>
          <w:sz w:val="20"/>
          <w:szCs w:val="20"/>
          <w:color w:val="auto"/>
        </w:rPr>
      </w:pPr>
    </w:p>
    <w:p>
      <w:pPr>
        <w:ind w:right="620"/>
        <w:spacing w:after="0" w:line="250" w:lineRule="auto"/>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VALVINO LAMORE, LLC AND SUBSIDIARIES PRO FORMA UNAUDITED GUARANTOR CONSOLIDATING STATEMENT OF OPERATIONS</w:t>
        </w:r>
      </w:hyperlink>
      <w:r>
        <w:rPr>
          <w:rFonts w:ascii="Arial" w:cs="Arial" w:eastAsia="Arial" w:hAnsi="Arial"/>
          <w:sz w:val="18"/>
          <w:szCs w:val="18"/>
          <w:u w:val="single" w:color="auto"/>
          <w:color w:val="0000EE"/>
        </w:rPr>
        <w:t xml:space="preserve"> </w:t>
      </w:r>
      <w:hyperlink w:anchor="page183">
        <w:r>
          <w:rPr>
            <w:rFonts w:ascii="Arial" w:cs="Arial" w:eastAsia="Arial" w:hAnsi="Arial"/>
            <w:sz w:val="18"/>
            <w:szCs w:val="18"/>
            <w:u w:val="single" w:color="auto"/>
            <w:color w:val="0000EE"/>
          </w:rPr>
          <w:t>INFORMATION Six Months Ended June 30, 2002 (In Thousands) (Unaudited)</w:t>
        </w:r>
      </w:hyperlink>
    </w:p>
    <w:p>
      <w:pPr>
        <w:spacing w:after="0" w:line="1" w:lineRule="exact"/>
        <w:rPr>
          <w:sz w:val="20"/>
          <w:szCs w:val="20"/>
          <w:color w:val="auto"/>
        </w:rPr>
      </w:pPr>
    </w:p>
    <w:p>
      <w:pPr>
        <w:ind w:right="620"/>
        <w:spacing w:after="0" w:line="250" w:lineRule="auto"/>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VALVINO LAMORE, LLC AND SUBSIDIARIES PRO FORMA UNAUDITED GUARANTOR CONSOLIDATING STATEMENT OF OPERATIONS</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INFORMATION Year Ended December 31, 2001 (In Thousands) (Unaudited)</w:t>
        </w:r>
      </w:hyperlink>
    </w:p>
    <w:p>
      <w:pPr>
        <w:spacing w:after="0" w:line="1" w:lineRule="exact"/>
        <w:rPr>
          <w:sz w:val="20"/>
          <w:szCs w:val="20"/>
          <w:color w:val="auto"/>
        </w:rPr>
      </w:pPr>
    </w:p>
    <w:p>
      <w:pPr>
        <w:ind w:right="680"/>
        <w:spacing w:after="0" w:line="250" w:lineRule="auto"/>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VALVINO LAMORE, LLC AND SUBSIDIARIES PRO FORMA UNAUDITED GUARANTOR CONSOLIDATING STATEMENT OF CASH FLOW</w:t>
        </w:r>
      </w:hyperlink>
      <w:r>
        <w:rPr>
          <w:rFonts w:ascii="Arial" w:cs="Arial" w:eastAsia="Arial" w:hAnsi="Arial"/>
          <w:sz w:val="18"/>
          <w:szCs w:val="18"/>
          <w:u w:val="single" w:color="auto"/>
          <w:color w:val="0000EE"/>
        </w:rPr>
        <w:t xml:space="preserve"> </w:t>
      </w:r>
      <w:hyperlink w:anchor="page185">
        <w:r>
          <w:rPr>
            <w:rFonts w:ascii="Arial" w:cs="Arial" w:eastAsia="Arial" w:hAnsi="Arial"/>
            <w:sz w:val="18"/>
            <w:szCs w:val="18"/>
            <w:u w:val="single" w:color="auto"/>
            <w:color w:val="0000EE"/>
          </w:rPr>
          <w:t>INFORMATION Six Months Ended June 30, 2002 (In thousands) (Unaudited)</w:t>
        </w:r>
      </w:hyperlink>
    </w:p>
    <w:p>
      <w:pPr>
        <w:spacing w:after="0" w:line="1" w:lineRule="exact"/>
        <w:rPr>
          <w:sz w:val="20"/>
          <w:szCs w:val="20"/>
          <w:color w:val="auto"/>
        </w:rPr>
      </w:pPr>
    </w:p>
    <w:p>
      <w:pPr>
        <w:ind w:right="680"/>
        <w:spacing w:after="0" w:line="255" w:lineRule="auto"/>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VALVINO LAMORE, LLC AND SUBSIDIARIES PRO FORMA UNAUDITED GUARANTOR CONSOLIDATING STATEMENT OF CASH FLOW</w:t>
        </w:r>
      </w:hyperlink>
      <w:r>
        <w:rPr>
          <w:rFonts w:ascii="Arial" w:cs="Arial" w:eastAsia="Arial" w:hAnsi="Arial"/>
          <w:sz w:val="18"/>
          <w:szCs w:val="18"/>
          <w:u w:val="single" w:color="auto"/>
          <w:color w:val="0000EE"/>
        </w:rPr>
        <w:t xml:space="preserve"> </w:t>
      </w:r>
      <w:hyperlink w:anchor="page186">
        <w:r>
          <w:rPr>
            <w:rFonts w:ascii="Arial" w:cs="Arial" w:eastAsia="Arial" w:hAnsi="Arial"/>
            <w:sz w:val="18"/>
            <w:szCs w:val="18"/>
            <w:u w:val="single" w:color="auto"/>
            <w:color w:val="0000EE"/>
          </w:rPr>
          <w:t>INFORMATION Year Ended December 31, 2001 (In thousands) (Unaudited)</w:t>
        </w:r>
      </w:hyperlink>
      <w:r>
        <w:rPr>
          <w:rFonts w:ascii="Arial" w:cs="Arial" w:eastAsia="Arial" w:hAnsi="Arial"/>
          <w:sz w:val="18"/>
          <w:szCs w:val="18"/>
          <w:u w:val="single" w:color="auto"/>
          <w:color w:val="0000EE"/>
        </w:rPr>
        <w:t xml:space="preserve"> </w:t>
      </w:r>
      <w:hyperlink w:anchor="page187">
        <w:r>
          <w:rPr>
            <w:rFonts w:ascii="Arial" w:cs="Arial" w:eastAsia="Arial" w:hAnsi="Arial"/>
            <w:sz w:val="18"/>
            <w:szCs w:val="18"/>
            <w:u w:val="single" w:color="auto"/>
            <w:color w:val="0000EE"/>
          </w:rPr>
          <w:t>Note to Pro Forma Unaudited Guarantor Financial Information</w:t>
        </w:r>
      </w:hyperlink>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A5D054"/>
    <w:multiLevelType w:val="hybridMultilevel"/>
    <w:lvl w:ilvl="0">
      <w:lvlJc w:val="left"/>
      <w:lvlText w:val="•"/>
      <w:numFmt w:val="bullet"/>
      <w:start w:val="1"/>
    </w:lvl>
  </w:abstractNum>
  <w:abstractNum w:abstractNumId="1">
    <w:nsid w:val="F3F09D8"/>
    <w:multiLevelType w:val="hybridMultilevel"/>
    <w:lvl w:ilvl="0">
      <w:lvlJc w:val="left"/>
      <w:lvlText w:val="•"/>
      <w:numFmt w:val="bullet"/>
      <w:start w:val="1"/>
    </w:lvl>
  </w:abstractNum>
  <w:abstractNum w:abstractNumId="2">
    <w:nsid w:val="4B793735"/>
    <w:multiLevelType w:val="hybridMultilevel"/>
    <w:lvl w:ilvl="0">
      <w:lvlJc w:val="left"/>
      <w:lvlText w:val="(%1)"/>
      <w:numFmt w:val="decimal"/>
      <w:start w:val="1"/>
    </w:lvl>
  </w:abstractNum>
  <w:abstractNum w:abstractNumId="3">
    <w:nsid w:val="4A10B4E8"/>
    <w:multiLevelType w:val="hybridMultilevel"/>
    <w:lvl w:ilvl="0">
      <w:lvlJc w:val="left"/>
      <w:lvlText w:val="•"/>
      <w:numFmt w:val="bullet"/>
      <w:start w:val="1"/>
    </w:lvl>
    <w:lvl w:ilvl="1">
      <w:lvlJc w:val="left"/>
      <w:lvlText w:val="•"/>
      <w:numFmt w:val="bullet"/>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lvl w:ilvl="1">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
      <w:numFmt w:val="bullet"/>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1)"/>
      <w:numFmt w:val="decimal"/>
      <w:start w:val="1"/>
    </w:lvl>
  </w:abstractNum>
  <w:abstractNum w:abstractNumId="11">
    <w:nsid w:val="4E0B9A87"/>
    <w:multiLevelType w:val="hybridMultilevel"/>
    <w:lvl w:ilvl="0">
      <w:lvlJc w:val="left"/>
      <w:lvlText w:val="(%1)"/>
      <w:numFmt w:val="decimal"/>
      <w:start w:val="4"/>
    </w:lvl>
  </w:abstractNum>
  <w:abstractNum w:abstractNumId="12">
    <w:nsid w:val="434BAE75"/>
    <w:multiLevelType w:val="hybridMultilevel"/>
    <w:lvl w:ilvl="0">
      <w:lvlJc w:val="left"/>
      <w:lvlText w:val="•"/>
      <w:numFmt w:val="bullet"/>
      <w:start w:val="1"/>
    </w:lvl>
  </w:abstractNum>
  <w:abstractNum w:abstractNumId="13">
    <w:nsid w:val="4F38F265"/>
    <w:multiLevelType w:val="hybridMultilevel"/>
    <w:lvl w:ilvl="0">
      <w:lvlJc w:val="left"/>
      <w:lvlText w:val="•"/>
      <w:numFmt w:val="bullet"/>
      <w:start w:val="1"/>
    </w:lvl>
  </w:abstractNum>
  <w:abstractNum w:abstractNumId="14">
    <w:nsid w:val="4C502870"/>
    <w:multiLevelType w:val="hybridMultilevel"/>
    <w:lvl w:ilvl="0">
      <w:lvlJc w:val="left"/>
      <w:lvlText w:val="•"/>
      <w:numFmt w:val="bullet"/>
      <w:start w:val="1"/>
    </w:lvl>
  </w:abstractNum>
  <w:abstractNum w:abstractNumId="15">
    <w:nsid w:val="1DE8725A"/>
    <w:multiLevelType w:val="hybridMultilevel"/>
    <w:lvl w:ilvl="0">
      <w:lvlJc w:val="left"/>
      <w:lvlText w:val="•"/>
      <w:numFmt w:val="bullet"/>
      <w:start w:val="1"/>
    </w:lvl>
  </w:abstractNum>
  <w:abstractNum w:abstractNumId="16">
    <w:nsid w:val="6A37288A"/>
    <w:multiLevelType w:val="hybridMultilevel"/>
    <w:lvl w:ilvl="0">
      <w:lvlJc w:val="left"/>
      <w:lvlText w:val="•"/>
      <w:numFmt w:val="bullet"/>
      <w:start w:val="1"/>
    </w:lvl>
  </w:abstractNum>
  <w:abstractNum w:abstractNumId="17">
    <w:nsid w:val="8F8B73F"/>
    <w:multiLevelType w:val="hybridMultilevel"/>
    <w:lvl w:ilvl="0">
      <w:lvlJc w:val="left"/>
      <w:lvlText w:val="•"/>
      <w:numFmt w:val="bullet"/>
      <w:start w:val="1"/>
    </w:lvl>
  </w:abstractNum>
  <w:abstractNum w:abstractNumId="18">
    <w:nsid w:val="CA6B462"/>
    <w:multiLevelType w:val="hybridMultilevel"/>
    <w:lvl w:ilvl="0">
      <w:lvlJc w:val="left"/>
      <w:lvlText w:val="•"/>
      <w:numFmt w:val="bullet"/>
      <w:start w:val="1"/>
    </w:lvl>
  </w:abstractNum>
  <w:abstractNum w:abstractNumId="19">
    <w:nsid w:val="763CB680"/>
    <w:multiLevelType w:val="hybridMultilevel"/>
    <w:lvl w:ilvl="0">
      <w:lvlJc w:val="left"/>
      <w:lvlText w:val="•"/>
      <w:numFmt w:val="bullet"/>
      <w:start w:val="1"/>
    </w:lvl>
    <w:lvl w:ilvl="1">
      <w:lvlJc w:val="left"/>
      <w:lvlText w:val="•"/>
      <w:numFmt w:val="bullet"/>
      <w:start w:val="1"/>
    </w:lvl>
  </w:abstractNum>
  <w:abstractNum w:abstractNumId="20">
    <w:nsid w:val="15B71329"/>
    <w:multiLevelType w:val="hybridMultilevel"/>
    <w:lvl w:ilvl="0">
      <w:lvlJc w:val="left"/>
      <w:lvlText w:val="•"/>
      <w:numFmt w:val="bullet"/>
      <w:start w:val="1"/>
    </w:lvl>
  </w:abstractNum>
  <w:abstractNum w:abstractNumId="21">
    <w:nsid w:val="3DA97044"/>
    <w:multiLevelType w:val="hybridMultilevel"/>
    <w:lvl w:ilvl="0">
      <w:lvlJc w:val="left"/>
      <w:lvlText w:val="•"/>
      <w:numFmt w:val="bullet"/>
      <w:start w:val="1"/>
    </w:lvl>
  </w:abstractNum>
  <w:abstractNum w:abstractNumId="22">
    <w:nsid w:val="1CDCE2DE"/>
    <w:multiLevelType w:val="hybridMultilevel"/>
    <w:lvl w:ilvl="0">
      <w:lvlJc w:val="left"/>
      <w:lvlText w:val="•"/>
      <w:numFmt w:val="bullet"/>
      <w:start w:val="1"/>
    </w:lvl>
  </w:abstractNum>
  <w:abstractNum w:abstractNumId="23">
    <w:nsid w:val="69D3947C"/>
    <w:multiLevelType w:val="hybridMultilevel"/>
    <w:lvl w:ilvl="0">
      <w:lvlJc w:val="left"/>
      <w:lvlText w:val="•"/>
      <w:numFmt w:val="bullet"/>
      <w:start w:val="1"/>
    </w:lvl>
  </w:abstractNum>
  <w:abstractNum w:abstractNumId="24">
    <w:nsid w:val="2539DFA5"/>
    <w:multiLevelType w:val="hybridMultilevel"/>
    <w:lvl w:ilvl="0">
      <w:lvlJc w:val="left"/>
      <w:lvlText w:val="•"/>
      <w:numFmt w:val="bullet"/>
      <w:start w:val="1"/>
    </w:lvl>
  </w:abstractNum>
  <w:abstractNum w:abstractNumId="25">
    <w:nsid w:val="2DB88089"/>
    <w:multiLevelType w:val="hybridMultilevel"/>
    <w:lvl w:ilvl="0">
      <w:lvlJc w:val="left"/>
      <w:lvlText w:val="•"/>
      <w:numFmt w:val="bullet"/>
      <w:start w:val="1"/>
    </w:lvl>
  </w:abstractNum>
  <w:abstractNum w:abstractNumId="26">
    <w:nsid w:val="706B674E"/>
    <w:multiLevelType w:val="hybridMultilevel"/>
    <w:lvl w:ilvl="0">
      <w:lvlJc w:val="left"/>
      <w:lvlText w:val="•"/>
      <w:numFmt w:val="bullet"/>
      <w:start w:val="1"/>
    </w:lvl>
  </w:abstractNum>
  <w:abstractNum w:abstractNumId="27">
    <w:nsid w:val="2C106A57"/>
    <w:multiLevelType w:val="hybridMultilevel"/>
    <w:lvl w:ilvl="0">
      <w:lvlJc w:val="left"/>
      <w:lvlText w:val="•"/>
      <w:numFmt w:val="bullet"/>
      <w:start w:val="1"/>
    </w:lvl>
  </w:abstractNum>
  <w:abstractNum w:abstractNumId="28">
    <w:nsid w:val="684EED59"/>
    <w:multiLevelType w:val="hybridMultilevel"/>
    <w:lvl w:ilvl="0">
      <w:lvlJc w:val="left"/>
      <w:lvlText w:val="•"/>
      <w:numFmt w:val="bullet"/>
      <w:start w:val="1"/>
    </w:lvl>
  </w:abstractNum>
  <w:abstractNum w:abstractNumId="29">
    <w:nsid w:val="545EE5D3"/>
    <w:multiLevelType w:val="hybridMultilevel"/>
    <w:lvl w:ilvl="0">
      <w:lvlJc w:val="left"/>
      <w:lvlText w:val="•"/>
      <w:numFmt w:val="bullet"/>
      <w:start w:val="1"/>
    </w:lvl>
  </w:abstractNum>
  <w:abstractNum w:abstractNumId="30">
    <w:nsid w:val="4A66051"/>
    <w:multiLevelType w:val="hybridMultilevel"/>
    <w:lvl w:ilvl="0">
      <w:lvlJc w:val="left"/>
      <w:lvlText w:val="•"/>
      <w:numFmt w:val="bullet"/>
      <w:start w:val="1"/>
    </w:lvl>
  </w:abstractNum>
  <w:abstractNum w:abstractNumId="31">
    <w:nsid w:val="20F4BDAD"/>
    <w:multiLevelType w:val="hybridMultilevel"/>
    <w:lvl w:ilvl="0">
      <w:lvlJc w:val="left"/>
      <w:lvlText w:val="•"/>
      <w:numFmt w:val="bullet"/>
      <w:start w:val="1"/>
    </w:lvl>
  </w:abstractNum>
  <w:abstractNum w:abstractNumId="32">
    <w:nsid w:val="639DEFAC"/>
    <w:multiLevelType w:val="hybridMultilevel"/>
    <w:lvl w:ilvl="0">
      <w:lvlJc w:val="left"/>
      <w:lvlText w:val="•"/>
      <w:numFmt w:val="bullet"/>
      <w:start w:val="1"/>
    </w:lvl>
  </w:abstractNum>
  <w:abstractNum w:abstractNumId="33">
    <w:nsid w:val="501F9786"/>
    <w:multiLevelType w:val="hybridMultilevel"/>
    <w:lvl w:ilvl="0">
      <w:lvlJc w:val="left"/>
      <w:lvlText w:val="•"/>
      <w:numFmt w:val="bullet"/>
      <w:start w:val="1"/>
    </w:lvl>
  </w:abstractNum>
  <w:abstractNum w:abstractNumId="34">
    <w:nsid w:val="6B057295"/>
    <w:multiLevelType w:val="hybridMultilevel"/>
    <w:lvl w:ilvl="0">
      <w:lvlJc w:val="left"/>
      <w:lvlText w:val="•"/>
      <w:numFmt w:val="bullet"/>
      <w:start w:val="1"/>
    </w:lvl>
  </w:abstractNum>
  <w:abstractNum w:abstractNumId="35">
    <w:nsid w:val="2771AC80"/>
    <w:multiLevelType w:val="hybridMultilevel"/>
    <w:lvl w:ilvl="0">
      <w:lvlJc w:val="left"/>
      <w:lvlText w:val="•"/>
      <w:numFmt w:val="bullet"/>
      <w:start w:val="1"/>
    </w:lvl>
  </w:abstractNum>
  <w:abstractNum w:abstractNumId="36">
    <w:nsid w:val="1C4A08EC"/>
    <w:multiLevelType w:val="hybridMultilevel"/>
    <w:lvl w:ilvl="0">
      <w:lvlJc w:val="left"/>
      <w:lvlText w:val="•"/>
      <w:numFmt w:val="bullet"/>
      <w:start w:val="1"/>
    </w:lvl>
  </w:abstractNum>
  <w:abstractNum w:abstractNumId="37">
    <w:nsid w:val="1958BD17"/>
    <w:multiLevelType w:val="hybridMultilevel"/>
    <w:lvl w:ilvl="0">
      <w:lvlJc w:val="left"/>
      <w:lvlText w:val="•"/>
      <w:numFmt w:val="bullet"/>
      <w:start w:val="1"/>
    </w:lvl>
  </w:abstractNum>
  <w:abstractNum w:abstractNumId="38">
    <w:nsid w:val="4E647FE4"/>
    <w:multiLevelType w:val="hybridMultilevel"/>
    <w:lvl w:ilvl="0">
      <w:lvlJc w:val="left"/>
      <w:lvlText w:val="•"/>
      <w:numFmt w:val="bullet"/>
      <w:start w:val="1"/>
    </w:lvl>
  </w:abstractNum>
  <w:abstractNum w:abstractNumId="39">
    <w:nsid w:val="E0BB885"/>
    <w:multiLevelType w:val="hybridMultilevel"/>
    <w:lvl w:ilvl="0">
      <w:lvlJc w:val="left"/>
      <w:lvlText w:val="•"/>
      <w:numFmt w:val="bullet"/>
      <w:start w:val="1"/>
    </w:lvl>
  </w:abstractNum>
  <w:abstractNum w:abstractNumId="40">
    <w:nsid w:val="565976F1"/>
    <w:multiLevelType w:val="hybridMultilevel"/>
    <w:lvl w:ilvl="0">
      <w:lvlJc w:val="left"/>
      <w:lvlText w:val="•"/>
      <w:numFmt w:val="bullet"/>
      <w:start w:val="1"/>
    </w:lvl>
  </w:abstractNum>
  <w:abstractNum w:abstractNumId="41">
    <w:nsid w:val="64212B8C"/>
    <w:multiLevelType w:val="hybridMultilevel"/>
    <w:lvl w:ilvl="0">
      <w:lvlJc w:val="left"/>
      <w:lvlText w:val="(%1)"/>
      <w:numFmt w:val="decimal"/>
      <w:start w:val="1"/>
    </w:lvl>
  </w:abstractNum>
  <w:abstractNum w:abstractNumId="42">
    <w:nsid w:val="5C17530C"/>
    <w:multiLevelType w:val="hybridMultilevel"/>
    <w:lvl w:ilvl="0">
      <w:lvlJc w:val="left"/>
      <w:lvlText w:val="(%1)"/>
      <w:numFmt w:val="decimal"/>
      <w:start w:val="1"/>
    </w:lvl>
  </w:abstractNum>
  <w:abstractNum w:abstractNumId="43">
    <w:nsid w:val="19A52566"/>
    <w:multiLevelType w:val="hybridMultilevel"/>
    <w:lvl w:ilvl="0">
      <w:lvlJc w:val="left"/>
      <w:lvlText w:val="(%1)"/>
      <w:numFmt w:val="decimal"/>
      <w:start w:val="4"/>
    </w:lvl>
  </w:abstractNum>
  <w:abstractNum w:abstractNumId="44">
    <w:nsid w:val="335A1DF1"/>
    <w:multiLevelType w:val="hybridMultilevel"/>
    <w:lvl w:ilvl="0">
      <w:lvlJc w:val="left"/>
      <w:lvlText w:val="•"/>
      <w:numFmt w:val="bullet"/>
      <w:start w:val="1"/>
    </w:lvl>
  </w:abstractNum>
  <w:abstractNum w:abstractNumId="45">
    <w:nsid w:val="28677B7C"/>
    <w:multiLevelType w:val="hybridMultilevel"/>
    <w:lvl w:ilvl="0">
      <w:lvlJc w:val="left"/>
      <w:lvlText w:val="(%1)"/>
      <w:numFmt w:val="decimal"/>
      <w:start w:val="1"/>
    </w:lvl>
  </w:abstractNum>
  <w:abstractNum w:abstractNumId="46">
    <w:nsid w:val="378D97C0"/>
    <w:multiLevelType w:val="hybridMultilevel"/>
    <w:lvl w:ilvl="0">
      <w:lvlJc w:val="left"/>
      <w:lvlText w:val="(%1)"/>
      <w:numFmt w:val="decimal"/>
      <w:start w:val="1"/>
    </w:lvl>
  </w:abstractNum>
  <w:abstractNum w:abstractNumId="47">
    <w:nsid w:val="1D91467C"/>
    <w:multiLevelType w:val="hybridMultilevel"/>
    <w:lvl w:ilvl="0">
      <w:lvlJc w:val="left"/>
      <w:lvlText w:val="•"/>
      <w:numFmt w:val="bullet"/>
      <w:start w:val="1"/>
    </w:lvl>
  </w:abstractNum>
  <w:abstractNum w:abstractNumId="48">
    <w:nsid w:val="316032BB"/>
    <w:multiLevelType w:val="hybridMultilevel"/>
    <w:lvl w:ilvl="0">
      <w:lvlJc w:val="left"/>
      <w:lvlText w:val="•"/>
      <w:numFmt w:val="bullet"/>
      <w:start w:val="1"/>
    </w:lvl>
  </w:abstractNum>
  <w:abstractNum w:abstractNumId="49">
    <w:nsid w:val="44344C22"/>
    <w:multiLevelType w:val="hybridMultilevel"/>
    <w:lvl w:ilvl="0">
      <w:lvlJc w:val="left"/>
      <w:lvlText w:val="(%1)"/>
      <w:numFmt w:val="decimal"/>
      <w:start w:val="1"/>
    </w:lvl>
  </w:abstractNum>
  <w:abstractNum w:abstractNumId="50">
    <w:nsid w:val="13CDFCFC"/>
    <w:multiLevelType w:val="hybridMultilevel"/>
    <w:lvl w:ilvl="0">
      <w:lvlJc w:val="left"/>
      <w:lvlText w:val="•"/>
      <w:numFmt w:val="bullet"/>
      <w:start w:val="1"/>
    </w:lvl>
  </w:abstractNum>
  <w:abstractNum w:abstractNumId="51">
    <w:nsid w:val="471745E4"/>
    <w:multiLevelType w:val="hybridMultilevel"/>
    <w:lvl w:ilvl="0">
      <w:lvlJc w:val="left"/>
      <w:lvlText w:val="(%1)"/>
      <w:numFmt w:val="decimal"/>
      <w:start w:val="1"/>
    </w:lvl>
  </w:abstractNum>
  <w:abstractNum w:abstractNumId="52">
    <w:nsid w:val="1DDBC66"/>
    <w:multiLevelType w:val="hybridMultilevel"/>
    <w:lvl w:ilvl="0">
      <w:lvlJc w:val="left"/>
      <w:lvlText w:val="(%1)"/>
      <w:numFmt w:val="decimal"/>
      <w:start w:val="4"/>
    </w:lvl>
  </w:abstractNum>
  <w:abstractNum w:abstractNumId="53">
    <w:nsid w:val="30AADFDA"/>
    <w:multiLevelType w:val="hybridMultilevel"/>
    <w:lvl w:ilvl="0">
      <w:lvlJc w:val="left"/>
      <w:lvlText w:val="•"/>
      <w:numFmt w:val="bullet"/>
      <w:start w:val="1"/>
    </w:lvl>
  </w:abstractNum>
  <w:abstractNum w:abstractNumId="54">
    <w:nsid w:val="30EADA61"/>
    <w:multiLevelType w:val="hybridMultilevel"/>
    <w:lvl w:ilvl="0">
      <w:lvlJc w:val="left"/>
      <w:lvlText w:val="•"/>
      <w:numFmt w:val="bullet"/>
      <w:start w:val="1"/>
    </w:lvl>
  </w:abstractNum>
  <w:abstractNum w:abstractNumId="55">
    <w:nsid w:val="27179C0B"/>
    <w:multiLevelType w:val="hybridMultilevel"/>
    <w:lvl w:ilvl="0">
      <w:lvlJc w:val="left"/>
      <w:lvlText w:val="(%1)"/>
      <w:numFmt w:val="decimal"/>
      <w:start w:val="1"/>
    </w:lvl>
  </w:abstractNum>
  <w:abstractNum w:abstractNumId="56">
    <w:nsid w:val="5E636063"/>
    <w:multiLevelType w:val="hybridMultilevel"/>
    <w:lvl w:ilvl="0">
      <w:lvlJc w:val="left"/>
      <w:lvlText w:val="(%1)"/>
      <w:numFmt w:val="decimal"/>
      <w:start w:val="8"/>
    </w:lvl>
  </w:abstractNum>
  <w:abstractNum w:abstractNumId="57">
    <w:nsid w:val="215641AF"/>
    <w:multiLevelType w:val="hybridMultilevel"/>
    <w:lvl w:ilvl="0">
      <w:lvlJc w:val="left"/>
      <w:lvlText w:val="•"/>
      <w:numFmt w:val="bullet"/>
      <w:start w:val="1"/>
    </w:lvl>
  </w:abstractNum>
  <w:abstractNum w:abstractNumId="58">
    <w:nsid w:val="53280662"/>
    <w:multiLevelType w:val="hybridMultilevel"/>
    <w:lvl w:ilvl="0">
      <w:lvlJc w:val="left"/>
      <w:lvlText w:val="•"/>
      <w:numFmt w:val="bullet"/>
      <w:start w:val="1"/>
    </w:lvl>
  </w:abstractNum>
  <w:abstractNum w:abstractNumId="59">
    <w:nsid w:val="46B24DBC"/>
    <w:multiLevelType w:val="hybridMultilevel"/>
    <w:lvl w:ilvl="0">
      <w:lvlJc w:val="left"/>
      <w:lvlText w:val="•"/>
      <w:numFmt w:val="bullet"/>
      <w:start w:val="1"/>
    </w:lvl>
  </w:abstractNum>
  <w:abstractNum w:abstractNumId="60">
    <w:nsid w:val="75B52783"/>
    <w:multiLevelType w:val="hybridMultilevel"/>
    <w:lvl w:ilvl="0">
      <w:lvlJc w:val="left"/>
      <w:lvlText w:val="•"/>
      <w:numFmt w:val="bullet"/>
      <w:start w:val="1"/>
    </w:lvl>
  </w:abstractNum>
  <w:abstractNum w:abstractNumId="61">
    <w:nsid w:val="57CE66B4"/>
    <w:multiLevelType w:val="hybridMultilevel"/>
    <w:lvl w:ilvl="0">
      <w:lvlJc w:val="left"/>
      <w:lvlText w:val="•"/>
      <w:numFmt w:val="bullet"/>
      <w:start w:val="1"/>
    </w:lvl>
  </w:abstractNum>
  <w:abstractNum w:abstractNumId="62">
    <w:nsid w:val="67A70B69"/>
    <w:multiLevelType w:val="hybridMultilevel"/>
    <w:lvl w:ilvl="0">
      <w:lvlJc w:val="left"/>
      <w:lvlText w:val="•"/>
      <w:numFmt w:val="bullet"/>
      <w:start w:val="1"/>
    </w:lvl>
  </w:abstractNum>
  <w:abstractNum w:abstractNumId="63">
    <w:nsid w:val="5953172F"/>
    <w:multiLevelType w:val="hybridMultilevel"/>
    <w:lvl w:ilvl="0">
      <w:lvlJc w:val="left"/>
      <w:lvlText w:val="•"/>
      <w:numFmt w:val="bullet"/>
      <w:start w:val="1"/>
    </w:lvl>
  </w:abstractNum>
  <w:abstractNum w:abstractNumId="64">
    <w:nsid w:val="27EDFE3A"/>
    <w:multiLevelType w:val="hybridMultilevel"/>
    <w:lvl w:ilvl="0">
      <w:lvlJc w:val="left"/>
      <w:lvlText w:val="•"/>
      <w:numFmt w:val="bullet"/>
      <w:start w:val="1"/>
    </w:lvl>
  </w:abstractNum>
  <w:abstractNum w:abstractNumId="65">
    <w:nsid w:val="52AC7DFF"/>
    <w:multiLevelType w:val="hybridMultilevel"/>
    <w:lvl w:ilvl="0">
      <w:lvlJc w:val="left"/>
      <w:lvlText w:val="•"/>
      <w:numFmt w:val="bullet"/>
      <w:start w:val="1"/>
    </w:lvl>
  </w:abstractNum>
  <w:abstractNum w:abstractNumId="66">
    <w:nsid w:val="C4C3AF"/>
    <w:multiLevelType w:val="hybridMultilevel"/>
    <w:lvl w:ilvl="0">
      <w:lvlJc w:val="left"/>
      <w:lvlText w:val="•"/>
      <w:numFmt w:val="bullet"/>
      <w:start w:val="1"/>
    </w:lvl>
  </w:abstractNum>
  <w:abstractNum w:abstractNumId="67">
    <w:nsid w:val="44380727"/>
    <w:multiLevelType w:val="hybridMultilevel"/>
    <w:lvl w:ilvl="0">
      <w:lvlJc w:val="left"/>
      <w:lvlText w:val="(%1)"/>
      <w:numFmt w:val="decimal"/>
      <w:start w:val="1"/>
    </w:lvl>
  </w:abstractNum>
  <w:abstractNum w:abstractNumId="68">
    <w:nsid w:val="6C053B16"/>
    <w:multiLevelType w:val="hybridMultilevel"/>
    <w:lvl w:ilvl="0">
      <w:lvlJc w:val="left"/>
      <w:lvlText w:val="•"/>
      <w:numFmt w:val="bullet"/>
      <w:start w:val="1"/>
    </w:lvl>
  </w:abstractNum>
  <w:abstractNum w:abstractNumId="69">
    <w:nsid w:val="4F294393"/>
    <w:multiLevelType w:val="hybridMultilevel"/>
    <w:lvl w:ilvl="0">
      <w:lvlJc w:val="left"/>
      <w:lvlText w:val="•"/>
      <w:numFmt w:val="bullet"/>
      <w:start w:val="1"/>
    </w:lvl>
  </w:abstractNum>
  <w:abstractNum w:abstractNumId="70">
    <w:nsid w:val="5243BFAC"/>
    <w:multiLevelType w:val="hybridMultilevel"/>
    <w:lvl w:ilvl="0">
      <w:lvlJc w:val="left"/>
      <w:lvlText w:val="•"/>
      <w:numFmt w:val="bullet"/>
      <w:start w:val="1"/>
    </w:lvl>
  </w:abstractNum>
  <w:abstractNum w:abstractNumId="71">
    <w:nsid w:val="425EB207"/>
    <w:multiLevelType w:val="hybridMultilevel"/>
    <w:lvl w:ilvl="0">
      <w:lvlJc w:val="left"/>
      <w:lvlText w:val="•"/>
      <w:numFmt w:val="bullet"/>
      <w:start w:val="1"/>
    </w:lvl>
  </w:abstractNum>
  <w:abstractNum w:abstractNumId="72">
    <w:nsid w:val="334A6F1F"/>
    <w:multiLevelType w:val="hybridMultilevel"/>
    <w:lvl w:ilvl="0">
      <w:lvlJc w:val="left"/>
      <w:lvlText w:val="•"/>
      <w:numFmt w:val="bullet"/>
      <w:start w:val="1"/>
    </w:lvl>
  </w:abstractNum>
  <w:abstractNum w:abstractNumId="73">
    <w:nsid w:val="2E5B12B8"/>
    <w:multiLevelType w:val="hybridMultilevel"/>
    <w:lvl w:ilvl="0">
      <w:lvlJc w:val="left"/>
      <w:lvlText w:val="•"/>
      <w:numFmt w:val="bullet"/>
      <w:start w:val="1"/>
    </w:lvl>
  </w:abstractNum>
  <w:abstractNum w:abstractNumId="74">
    <w:nsid w:val="5C03D76D"/>
    <w:multiLevelType w:val="hybridMultilevel"/>
    <w:lvl w:ilvl="0">
      <w:lvlJc w:val="left"/>
      <w:lvlText w:val="•"/>
      <w:numFmt w:val="bullet"/>
      <w:start w:val="1"/>
    </w:lvl>
  </w:abstractNum>
  <w:abstractNum w:abstractNumId="75">
    <w:nsid w:val="66A48D11"/>
    <w:multiLevelType w:val="hybridMultilevel"/>
    <w:lvl w:ilvl="0">
      <w:lvlJc w:val="left"/>
      <w:lvlText w:val="•"/>
      <w:numFmt w:val="bullet"/>
      <w:start w:val="1"/>
    </w:lvl>
  </w:abstractNum>
  <w:abstractNum w:abstractNumId="76">
    <w:nsid w:val="56C28E34"/>
    <w:multiLevelType w:val="hybridMultilevel"/>
    <w:lvl w:ilvl="0">
      <w:lvlJc w:val="left"/>
      <w:lvlText w:val="•"/>
      <w:numFmt w:val="bullet"/>
      <w:start w:val="1"/>
    </w:lvl>
  </w:abstractNum>
  <w:abstractNum w:abstractNumId="77">
    <w:nsid w:val="13916F2D"/>
    <w:multiLevelType w:val="hybridMultilevel"/>
    <w:lvl w:ilvl="0">
      <w:lvlJc w:val="left"/>
      <w:lvlText w:val="•"/>
      <w:numFmt w:val="bullet"/>
      <w:start w:val="1"/>
    </w:lvl>
  </w:abstractNum>
  <w:abstractNum w:abstractNumId="78">
    <w:nsid w:val="435D38D"/>
    <w:multiLevelType w:val="hybridMultilevel"/>
    <w:lvl w:ilvl="0">
      <w:lvlJc w:val="left"/>
      <w:lvlText w:val="•"/>
      <w:numFmt w:val="bullet"/>
      <w:start w:val="1"/>
    </w:lvl>
  </w:abstractNum>
  <w:abstractNum w:abstractNumId="79">
    <w:nsid w:val="822C0EF"/>
    <w:multiLevelType w:val="hybridMultilevel"/>
    <w:lvl w:ilvl="0">
      <w:lvlJc w:val="left"/>
      <w:lvlText w:val="•"/>
      <w:numFmt w:val="bullet"/>
      <w:start w:val="1"/>
    </w:lvl>
  </w:abstractNum>
  <w:abstractNum w:abstractNumId="80">
    <w:nsid w:val="57C5BB4F"/>
    <w:multiLevelType w:val="hybridMultilevel"/>
    <w:lvl w:ilvl="0">
      <w:lvlJc w:val="left"/>
      <w:lvlText w:val="•"/>
      <w:numFmt w:val="bullet"/>
      <w:start w:val="1"/>
    </w:lvl>
  </w:abstractNum>
  <w:abstractNum w:abstractNumId="81">
    <w:nsid w:val="1803D089"/>
    <w:multiLevelType w:val="hybridMultilevel"/>
    <w:lvl w:ilvl="0">
      <w:lvlJc w:val="left"/>
      <w:lvlText w:val="•"/>
      <w:numFmt w:val="bullet"/>
      <w:start w:val="1"/>
    </w:lvl>
  </w:abstractNum>
  <w:abstractNum w:abstractNumId="82">
    <w:nsid w:val="4F3A06D4"/>
    <w:multiLevelType w:val="hybridMultilevel"/>
    <w:lvl w:ilvl="0">
      <w:lvlJc w:val="left"/>
      <w:lvlText w:val="•"/>
      <w:numFmt w:val="bullet"/>
      <w:start w:val="1"/>
    </w:lvl>
  </w:abstractNum>
  <w:abstractNum w:abstractNumId="83">
    <w:nsid w:val="59A377B6"/>
    <w:multiLevelType w:val="hybridMultilevel"/>
    <w:lvl w:ilvl="0">
      <w:lvlJc w:val="left"/>
      <w:lvlText w:val="•"/>
      <w:numFmt w:val="bullet"/>
      <w:start w:val="1"/>
    </w:lvl>
  </w:abstractNum>
  <w:abstractNum w:abstractNumId="84">
    <w:nsid w:val="48AEB063"/>
    <w:multiLevelType w:val="hybridMultilevel"/>
    <w:lvl w:ilvl="0">
      <w:lvlJc w:val="left"/>
      <w:lvlText w:val="•"/>
      <w:numFmt w:val="bullet"/>
      <w:start w:val="1"/>
    </w:lvl>
  </w:abstractNum>
  <w:abstractNum w:abstractNumId="85">
    <w:nsid w:val="24E135"/>
    <w:multiLevelType w:val="hybridMultilevel"/>
    <w:lvl w:ilvl="0">
      <w:lvlJc w:val="left"/>
      <w:lvlText w:val="•"/>
      <w:numFmt w:val="bullet"/>
      <w:start w:val="1"/>
    </w:lvl>
  </w:abstractNum>
  <w:abstractNum w:abstractNumId="86">
    <w:nsid w:val="BB13C1"/>
    <w:multiLevelType w:val="hybridMultilevel"/>
    <w:lvl w:ilvl="0">
      <w:lvlJc w:val="left"/>
      <w:lvlText w:val="•"/>
      <w:numFmt w:val="bullet"/>
      <w:start w:val="1"/>
    </w:lvl>
  </w:abstractNum>
  <w:abstractNum w:abstractNumId="87">
    <w:nsid w:val="271210C7"/>
    <w:multiLevelType w:val="hybridMultilevel"/>
    <w:lvl w:ilvl="0">
      <w:lvlJc w:val="left"/>
      <w:lvlText w:val="•"/>
      <w:numFmt w:val="bullet"/>
      <w:start w:val="1"/>
    </w:lvl>
  </w:abstractNum>
  <w:abstractNum w:abstractNumId="88">
    <w:nsid w:val="217B22E4"/>
    <w:multiLevelType w:val="hybridMultilevel"/>
    <w:lvl w:ilvl="0">
      <w:lvlJc w:val="left"/>
      <w:lvlText w:val="•"/>
      <w:numFmt w:val="bullet"/>
      <w:start w:val="1"/>
    </w:lvl>
  </w:abstractNum>
  <w:abstractNum w:abstractNumId="89">
    <w:nsid w:val="53E31A24"/>
    <w:multiLevelType w:val="hybridMultilevel"/>
    <w:lvl w:ilvl="0">
      <w:lvlJc w:val="left"/>
      <w:lvlText w:val="(%1)"/>
      <w:numFmt w:val="decimal"/>
      <w:start w:val="1"/>
    </w:lvl>
  </w:abstractNum>
  <w:abstractNum w:abstractNumId="90">
    <w:nsid w:val="6DC45E83"/>
    <w:multiLevelType w:val="hybridMultilevel"/>
    <w:lvl w:ilvl="0">
      <w:lvlJc w:val="left"/>
      <w:lvlText w:val="(%1)"/>
      <w:numFmt w:val="decimal"/>
      <w:start w:val="6"/>
    </w:lvl>
  </w:abstractNum>
  <w:abstractNum w:abstractNumId="91">
    <w:nsid w:val="17304A67"/>
    <w:multiLevelType w:val="hybridMultilevel"/>
    <w:lvl w:ilvl="0">
      <w:lvlJc w:val="left"/>
      <w:lvlText w:val="(%1)"/>
      <w:numFmt w:val="decimal"/>
      <w:start w:val="1"/>
    </w:lvl>
  </w:abstractNum>
  <w:abstractNum w:abstractNumId="92">
    <w:nsid w:val="2BB180D8"/>
    <w:multiLevelType w:val="hybridMultilevel"/>
    <w:lvl w:ilvl="0">
      <w:lvlJc w:val="left"/>
      <w:lvlText w:val="•"/>
      <w:numFmt w:val="bullet"/>
      <w:start w:val="1"/>
    </w:lvl>
  </w:abstractNum>
  <w:abstractNum w:abstractNumId="93">
    <w:nsid w:val="556B69ED"/>
    <w:multiLevelType w:val="hybridMultilevel"/>
    <w:lvl w:ilvl="0">
      <w:lvlJc w:val="left"/>
      <w:lvlText w:val="•"/>
      <w:numFmt w:val="bullet"/>
      <w:start w:val="1"/>
    </w:lvl>
  </w:abstractNum>
  <w:abstractNum w:abstractNumId="94">
    <w:nsid w:val="70836196"/>
    <w:multiLevelType w:val="hybridMultilevel"/>
    <w:lvl w:ilvl="0">
      <w:lvlJc w:val="left"/>
      <w:lvlText w:val="•"/>
      <w:numFmt w:val="bullet"/>
      <w:start w:val="1"/>
    </w:lvl>
  </w:abstractNum>
  <w:abstractNum w:abstractNumId="95">
    <w:nsid w:val="539F7F12"/>
    <w:multiLevelType w:val="hybridMultilevel"/>
    <w:lvl w:ilvl="0">
      <w:lvlJc w:val="left"/>
      <w:lvlText w:val="*"/>
      <w:numFmt w:val="bullet"/>
      <w:start w:val="1"/>
    </w:lvl>
  </w:abstractNum>
  <w:abstractNum w:abstractNumId="96">
    <w:nsid w:val="2817E7EC"/>
    <w:multiLevelType w:val="hybridMultilevel"/>
    <w:lvl w:ilvl="0">
      <w:lvlJc w:val="left"/>
      <w:lvlText w:val="(%1)"/>
      <w:numFmt w:val="decimal"/>
      <w:start w:val="1"/>
    </w:lvl>
  </w:abstractNum>
  <w:abstractNum w:abstractNumId="97">
    <w:nsid w:val="71482545"/>
    <w:multiLevelType w:val="hybridMultilevel"/>
    <w:lvl w:ilvl="0">
      <w:lvlJc w:val="left"/>
      <w:lvlText w:val="(%1)"/>
      <w:numFmt w:val="decimal"/>
      <w:start w:val="2"/>
    </w:lvl>
  </w:abstractNum>
  <w:abstractNum w:abstractNumId="98">
    <w:nsid w:val="17D78639"/>
    <w:multiLevelType w:val="hybridMultilevel"/>
    <w:lvl w:ilvl="0">
      <w:lvlJc w:val="left"/>
      <w:lvlText w:val="•"/>
      <w:numFmt w:val="bullet"/>
      <w:start w:val="1"/>
    </w:lvl>
  </w:abstractNum>
  <w:abstractNum w:abstractNumId="99">
    <w:nsid w:val="141D2302"/>
    <w:multiLevelType w:val="hybridMultilevel"/>
    <w:lvl w:ilvl="0">
      <w:lvlJc w:val="left"/>
      <w:lvlText w:val="•"/>
      <w:numFmt w:val="bullet"/>
      <w:start w:val="1"/>
    </w:lvl>
  </w:abstractNum>
  <w:abstractNum w:abstractNumId="100">
    <w:nsid w:val="407168D8"/>
    <w:multiLevelType w:val="hybridMultilevel"/>
    <w:lvl w:ilvl="0">
      <w:lvlJc w:val="left"/>
      <w:lvlText w:val="•"/>
      <w:numFmt w:val="bullet"/>
      <w:start w:val="1"/>
    </w:lvl>
  </w:abstractNum>
  <w:abstractNum w:abstractNumId="101">
    <w:nsid w:val="6A1B45E5"/>
    <w:multiLevelType w:val="hybridMultilevel"/>
    <w:lvl w:ilvl="0">
      <w:lvlJc w:val="left"/>
      <w:lvlText w:val="•"/>
      <w:numFmt w:val="bullet"/>
      <w:start w:val="1"/>
    </w:lvl>
  </w:abstractNum>
  <w:abstractNum w:abstractNumId="102">
    <w:nsid w:val="567BD50A"/>
    <w:multiLevelType w:val="hybridMultilevel"/>
    <w:lvl w:ilvl="0">
      <w:lvlJc w:val="left"/>
      <w:lvlText w:val="•"/>
      <w:numFmt w:val="bullet"/>
      <w:start w:val="1"/>
    </w:lvl>
  </w:abstractNum>
  <w:abstractNum w:abstractNumId="103">
    <w:nsid w:val="73BBD7F8"/>
    <w:multiLevelType w:val="hybridMultilevel"/>
    <w:lvl w:ilvl="0">
      <w:lvlJc w:val="left"/>
      <w:lvlText w:val="•"/>
      <w:numFmt w:val="bullet"/>
      <w:start w:val="1"/>
    </w:lvl>
  </w:abstractNum>
  <w:abstractNum w:abstractNumId="104">
    <w:nsid w:val="1876589D"/>
    <w:multiLevelType w:val="hybridMultilevel"/>
    <w:lvl w:ilvl="0">
      <w:lvlJc w:val="left"/>
      <w:lvlText w:val="•"/>
      <w:numFmt w:val="bullet"/>
      <w:start w:val="1"/>
    </w:lvl>
  </w:abstractNum>
  <w:abstractNum w:abstractNumId="105">
    <w:nsid w:val="327FAC77"/>
    <w:multiLevelType w:val="hybridMultilevel"/>
    <w:lvl w:ilvl="0">
      <w:lvlJc w:val="left"/>
      <w:lvlText w:val="•"/>
      <w:numFmt w:val="bullet"/>
      <w:start w:val="1"/>
    </w:lvl>
  </w:abstractNum>
  <w:abstractNum w:abstractNumId="106">
    <w:nsid w:val="5A606509"/>
    <w:multiLevelType w:val="hybridMultilevel"/>
    <w:lvl w:ilvl="0">
      <w:lvlJc w:val="left"/>
      <w:lvlText w:val="•"/>
      <w:numFmt w:val="bullet"/>
      <w:start w:val="1"/>
    </w:lvl>
  </w:abstractNum>
  <w:abstractNum w:abstractNumId="107">
    <w:nsid w:val="6F38E6D1"/>
    <w:multiLevelType w:val="hybridMultilevel"/>
    <w:lvl w:ilvl="0">
      <w:lvlJc w:val="left"/>
      <w:lvlText w:val="•"/>
      <w:numFmt w:val="bullet"/>
      <w:start w:val="1"/>
    </w:lvl>
  </w:abstractNum>
  <w:abstractNum w:abstractNumId="108">
    <w:nsid w:val="46111BA5"/>
    <w:multiLevelType w:val="hybridMultilevel"/>
    <w:lvl w:ilvl="0">
      <w:lvlJc w:val="left"/>
      <w:lvlText w:val="•"/>
      <w:numFmt w:val="bullet"/>
      <w:start w:val="1"/>
    </w:lvl>
  </w:abstractNum>
  <w:abstractNum w:abstractNumId="109">
    <w:nsid w:val="5E963896"/>
    <w:multiLevelType w:val="hybridMultilevel"/>
    <w:lvl w:ilvl="0">
      <w:lvlJc w:val="left"/>
      <w:lvlText w:val="(%1)"/>
      <w:numFmt w:val="decimal"/>
      <w:start w:val="1"/>
    </w:lvl>
  </w:abstractNum>
  <w:abstractNum w:abstractNumId="110">
    <w:nsid w:val="775BA7C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1DD6D6F4"/>
    <w:multiLevelType w:val="hybridMultilevel"/>
    <w:lvl w:ilvl="0">
      <w:lvlJc w:val="left"/>
      <w:lvlText w:val="(%1)"/>
      <w:numFmt w:val="decimal"/>
      <w:start w:val="1"/>
    </w:lvl>
  </w:abstractNum>
  <w:abstractNum w:abstractNumId="112">
    <w:nsid w:val="769A091F"/>
    <w:multiLevelType w:val="hybridMultilevel"/>
    <w:lvl w:ilvl="0">
      <w:lvlJc w:val="left"/>
      <w:lvlText w:val="(%1)"/>
      <w:numFmt w:val="decimal"/>
      <w:start w:val="1"/>
    </w:lvl>
  </w:abstractNum>
  <w:abstractNum w:abstractNumId="113">
    <w:nsid w:val="4695AE95"/>
    <w:multiLevelType w:val="hybridMultilevel"/>
    <w:lvl w:ilvl="0">
      <w:lvlJc w:val="left"/>
      <w:lvlText w:val="•"/>
      <w:numFmt w:val="bullet"/>
      <w:start w:val="1"/>
    </w:lvl>
  </w:abstractNum>
  <w:abstractNum w:abstractNumId="114">
    <w:nsid w:val="777A4EAA"/>
    <w:multiLevelType w:val="hybridMultilevel"/>
    <w:lvl w:ilvl="0">
      <w:lvlJc w:val="left"/>
      <w:lvlText w:val="•"/>
      <w:numFmt w:val="bullet"/>
      <w:start w:val="1"/>
    </w:lvl>
  </w:abstractNum>
  <w:abstractNum w:abstractNumId="115">
    <w:nsid w:val="3F48B982"/>
    <w:multiLevelType w:val="hybridMultilevel"/>
    <w:lvl w:ilvl="0">
      <w:lvlJc w:val="left"/>
      <w:lvlText w:val="•"/>
      <w:numFmt w:val="bullet"/>
      <w:start w:val="1"/>
    </w:lvl>
  </w:abstractNum>
  <w:abstractNum w:abstractNumId="116">
    <w:nsid w:val="46BA8FCA"/>
    <w:multiLevelType w:val="hybridMultilevel"/>
    <w:lvl w:ilvl="0">
      <w:lvlJc w:val="left"/>
      <w:lvlText w:val="•"/>
      <w:numFmt w:val="bullet"/>
      <w:start w:val="1"/>
    </w:lvl>
  </w:abstractNum>
  <w:abstractNum w:abstractNumId="117">
    <w:nsid w:val="7835626C"/>
    <w:multiLevelType w:val="hybridMultilevel"/>
    <w:lvl w:ilvl="0">
      <w:lvlJc w:val="left"/>
      <w:lvlText w:val="(%1)"/>
      <w:numFmt w:val="lowerLetter"/>
      <w:start w:val="1"/>
    </w:lvl>
  </w:abstractNum>
  <w:abstractNum w:abstractNumId="118">
    <w:nsid w:val="665ACA49"/>
    <w:multiLevelType w:val="hybridMultilevel"/>
    <w:lvl w:ilvl="0">
      <w:lvlJc w:val="left"/>
      <w:lvlText w:val="(%1)"/>
      <w:numFmt w:val="lowerRoman"/>
      <w:start w:val="1"/>
    </w:lvl>
  </w:abstractNum>
  <w:abstractNum w:abstractNumId="119">
    <w:nsid w:val="6835B2AE"/>
    <w:multiLevelType w:val="hybridMultilevel"/>
    <w:lvl w:ilvl="0">
      <w:lvlJc w:val="left"/>
      <w:lvlText w:val="%1"/>
      <w:numFmt w:val="lowerLetter"/>
      <w:start w:val="1"/>
    </w:lvl>
    <w:lvl w:ilvl="1">
      <w:lvlJc w:val="left"/>
      <w:lvlText w:val="(%2)"/>
      <w:numFmt w:val="lowerLetter"/>
      <w:start w:val="61"/>
    </w:lvl>
  </w:abstractNum>
  <w:abstractNum w:abstractNumId="120">
    <w:nsid w:val="4C187C90"/>
    <w:multiLevelType w:val="hybridMultilevel"/>
    <w:lvl w:ilvl="0">
      <w:lvlJc w:val="left"/>
      <w:lvlText w:val="(%1)"/>
      <w:numFmt w:val="lowerLetter"/>
      <w:start w:val="2"/>
    </w:lvl>
    <w:lvl w:ilvl="1">
      <w:lvlJc w:val="left"/>
      <w:lvlText w:val="%2"/>
      <w:numFmt w:val="lowerLetter"/>
      <w:start w:val="1"/>
    </w:lvl>
  </w:abstractNum>
  <w:abstractNum w:abstractNumId="121">
    <w:nsid w:val="541F28CD"/>
    <w:multiLevelType w:val="hybridMultilevel"/>
    <w:lvl w:ilvl="0">
      <w:lvlJc w:val="left"/>
      <w:lvlText w:val="(%1)"/>
      <w:numFmt w:val="lowerLetter"/>
      <w:start w:val="1"/>
    </w:lvl>
  </w:abstractNum>
  <w:abstractNum w:abstractNumId="122">
    <w:nsid w:val="7F65FD16"/>
    <w:multiLevelType w:val="hybridMultilevel"/>
    <w:lvl w:ilvl="0">
      <w:lvlJc w:val="left"/>
      <w:lvlText w:val="(%1)"/>
      <w:numFmt w:val="lowerLetter"/>
      <w:start w:val="5"/>
    </w:lvl>
    <w:lvl w:ilvl="1">
      <w:lvlJc w:val="left"/>
      <w:lvlText w:val="(%2)"/>
      <w:numFmt w:val="lowerRoman"/>
      <w:start w:val="1"/>
    </w:lvl>
  </w:abstractNum>
  <w:abstractNum w:abstractNumId="123">
    <w:nsid w:val="77C9FD68"/>
    <w:multiLevelType w:val="hybridMultilevel"/>
    <w:lvl w:ilvl="0">
      <w:lvlJc w:val="left"/>
      <w:lvlText w:val="(%1)"/>
      <w:numFmt w:val="lowerLetter"/>
      <w:start w:val="8"/>
    </w:lvl>
  </w:abstractNum>
  <w:abstractNum w:abstractNumId="124">
    <w:nsid w:val="298A92BA"/>
    <w:multiLevelType w:val="hybridMultilevel"/>
    <w:lvl w:ilvl="0">
      <w:lvlJc w:val="left"/>
      <w:lvlText w:val="(%1)"/>
      <w:numFmt w:val="decimal"/>
      <w:start w:val="1"/>
    </w:lvl>
  </w:abstractNum>
  <w:abstractNum w:abstractNumId="125">
    <w:nsid w:val="6FE95EAC"/>
    <w:multiLevelType w:val="hybridMultilevel"/>
    <w:lvl w:ilvl="0">
      <w:lvlJc w:val="left"/>
      <w:lvlText w:val="(%1)"/>
      <w:numFmt w:val="decimal"/>
      <w:start w:val="1"/>
    </w:lvl>
  </w:abstractNum>
  <w:abstractNum w:abstractNumId="126">
    <w:nsid w:val="4B697C7A"/>
    <w:multiLevelType w:val="hybridMultilevel"/>
    <w:lvl w:ilvl="0">
      <w:lvlJc w:val="left"/>
      <w:lvlText w:val="(%1)"/>
      <w:numFmt w:val="lowerLetter"/>
      <w:start w:val="1"/>
    </w:lvl>
  </w:abstractNum>
  <w:abstractNum w:abstractNumId="127">
    <w:nsid w:val="51A27AA6"/>
    <w:multiLevelType w:val="hybridMultilevel"/>
    <w:lvl w:ilvl="0">
      <w:lvlJc w:val="left"/>
      <w:lvlText w:val="(%1)"/>
      <w:numFmt w:val="lowerLetter"/>
      <w:start w:val="1"/>
    </w:lvl>
  </w:abstractNum>
  <w:abstractNum w:abstractNumId="128">
    <w:nsid w:val="613183F2"/>
    <w:multiLevelType w:val="hybridMultilevel"/>
    <w:lvl w:ilvl="0">
      <w:lvlJc w:val="left"/>
      <w:lvlText w:val="(%1)"/>
      <w:numFmt w:val="decimal"/>
      <w:start w:val="1"/>
    </w:lvl>
  </w:abstractNum>
  <w:abstractNum w:abstractNumId="129">
    <w:nsid w:val="634102B4"/>
    <w:multiLevelType w:val="hybridMultilevel"/>
    <w:lvl w:ilvl="0">
      <w:lvlJc w:val="left"/>
      <w:lvlText w:val="(%1)"/>
      <w:numFmt w:val="decimal"/>
      <w:start w:val="2"/>
    </w:lvl>
  </w:abstractNum>
  <w:abstractNum w:abstractNumId="130">
    <w:nsid w:val="65BF9DA8"/>
    <w:multiLevelType w:val="hybridMultilevel"/>
    <w:lvl w:ilvl="0">
      <w:lvlJc w:val="left"/>
      <w:lvlText w:val="(%1)"/>
      <w:numFmt w:val="decimal"/>
      <w:start w:val="1"/>
    </w:lvl>
  </w:abstractNum>
  <w:abstractNum w:abstractNumId="131">
    <w:nsid w:val="21A2ECCA"/>
    <w:multiLevelType w:val="hybridMultilevel"/>
    <w:lvl w:ilvl="0">
      <w:lvlJc w:val="left"/>
      <w:lvlText w:val="(%1)"/>
      <w:numFmt w:val="decimal"/>
      <w:start w:val="1"/>
    </w:lvl>
  </w:abstractNum>
  <w:abstractNum w:abstractNumId="132">
    <w:nsid w:val="4D5C4899"/>
    <w:multiLevelType w:val="hybridMultilevel"/>
    <w:lvl w:ilvl="0">
      <w:lvlJc w:val="left"/>
      <w:lvlText w:val="(%1)"/>
      <w:numFmt w:val="decimal"/>
      <w:start w:val="2"/>
    </w:lvl>
  </w:abstractNum>
  <w:abstractNum w:abstractNumId="133">
    <w:nsid w:val="3C3B72B2"/>
    <w:multiLevelType w:val="hybridMultilevel"/>
    <w:lvl w:ilvl="0">
      <w:lvlJc w:val="left"/>
      <w:lvlText w:val="(%1)"/>
      <w:numFmt w:val="decimal"/>
      <w:start w:val="3"/>
    </w:lvl>
  </w:abstractNum>
  <w:abstractNum w:abstractNumId="134">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5">
    <w:nsid w:val="65D2A137"/>
    <w:multiLevelType w:val="hybridMultilevel"/>
    <w:lvl w:ilvl="0">
      <w:lvlJc w:val="left"/>
      <w:lvlText w:val="%1"/>
      <w:numFmt w:val="lowerLetter"/>
      <w:start w:val="1"/>
    </w:lvl>
    <w:lvl w:ilvl="1">
      <w:lvlJc w:val="left"/>
      <w:lvlText w:val="(%2)"/>
      <w:numFmt w:val="lowerRoman"/>
      <w:start w:val="4"/>
    </w:lvl>
  </w:abstractNum>
  <w:abstractNum w:abstractNumId="136">
    <w:nsid w:val="6EBB1F2A"/>
    <w:multiLevelType w:val="hybridMultilevel"/>
    <w:lvl w:ilvl="0">
      <w:lvlJc w:val="left"/>
      <w:lvlText w:val="(%1)"/>
      <w:numFmt w:val="lowerLetter"/>
      <w:start w:val="3"/>
    </w:lvl>
    <w:lvl w:ilvl="1">
      <w:lvlJc w:val="left"/>
      <w:lvlText w:val="%2"/>
      <w:numFmt w:val="lowerRoman"/>
      <w:start w:val="1"/>
    </w:lvl>
  </w:abstractNum>
  <w:abstractNum w:abstractNumId="137">
    <w:nsid w:val="6FBF29CB"/>
    <w:multiLevelType w:val="hybridMultilevel"/>
    <w:lvl w:ilvl="0">
      <w:lvlJc w:val="left"/>
      <w:lvlText w:val="(%1)"/>
      <w:numFmt w:val="lowerLetter"/>
      <w:start w:val="4"/>
    </w:lvl>
  </w:abstractNum>
  <w:abstractNum w:abstractNumId="138">
    <w:nsid w:val="550B8808"/>
    <w:multiLevelType w:val="hybridMultilevel"/>
    <w:lvl w:ilvl="0">
      <w:lvlJc w:val="left"/>
      <w:lvlText w:val="(%1)"/>
      <w:numFmt w:val="decimal"/>
      <w:start w:val="1"/>
    </w:lvl>
  </w:abstractNum>
  <w:abstractNum w:abstractNumId="139">
    <w:nsid w:val="34CC3ACF"/>
    <w:multiLevelType w:val="hybridMultilevel"/>
    <w:lvl w:ilvl="0">
      <w:lvlJc w:val="left"/>
      <w:lvlText w:val="(%1)"/>
      <w:numFmt w:val="decimal"/>
      <w:start w:val="5"/>
    </w:lvl>
  </w:abstractNum>
  <w:abstractNum w:abstractNumId="140">
    <w:nsid w:val="4E556261"/>
    <w:multiLevelType w:val="hybridMultilevel"/>
    <w:lvl w:ilvl="0">
      <w:lvlJc w:val="left"/>
      <w:lvlText w:val="(%1)"/>
      <w:numFmt w:val="decimal"/>
      <w:start w:val="14"/>
    </w:lvl>
  </w:abstractNum>
  <w:abstractNum w:abstractNumId="141">
    <w:nsid w:val="4C672FC9"/>
    <w:multiLevelType w:val="hybridMultilevel"/>
    <w:lvl w:ilvl="0">
      <w:lvlJc w:val="left"/>
      <w:lvlText w:val="%1"/>
      <w:numFmt w:val="decimal"/>
      <w:start w:val="1"/>
    </w:lvl>
    <w:lvl w:ilvl="1">
      <w:lvlJc w:val="left"/>
      <w:lvlText w:val="(%2)"/>
      <w:numFmt w:val="lowerLetter"/>
      <w:start w:val="1"/>
    </w:lvl>
  </w:abstractNum>
  <w:abstractNum w:abstractNumId="142">
    <w:nsid w:val="52A311C3"/>
    <w:multiLevelType w:val="hybridMultilevel"/>
    <w:lvl w:ilvl="0">
      <w:lvlJc w:val="left"/>
      <w:lvlText w:val="(%1)"/>
      <w:numFmt w:val="decimal"/>
      <w:start w:val="15"/>
    </w:lvl>
    <w:lvl w:ilvl="1">
      <w:lvlJc w:val="left"/>
      <w:lvlText w:val="%2"/>
      <w:numFmt w:val="lowerLetter"/>
      <w:start w:val="1"/>
    </w:lvl>
  </w:abstractNum>
  <w:abstractNum w:abstractNumId="143">
    <w:nsid w:val="44EF6B80"/>
    <w:multiLevelType w:val="hybridMultilevel"/>
    <w:lvl w:ilvl="0">
      <w:lvlJc w:val="left"/>
      <w:lvlText w:val="(%1)"/>
      <w:numFmt w:val="decimal"/>
      <w:start w:val="1"/>
    </w:lvl>
    <w:lvl w:ilvl="1">
      <w:lvlJc w:val="left"/>
      <w:lvlText w:val="(%2)"/>
      <w:numFmt w:val="lowerLetter"/>
      <w:start w:val="1"/>
    </w:lvl>
  </w:abstractNum>
  <w:abstractNum w:abstractNumId="144">
    <w:nsid w:val="12FCDE5E"/>
    <w:multiLevelType w:val="hybridMultilevel"/>
    <w:lvl w:ilvl="0">
      <w:lvlJc w:val="left"/>
      <w:lvlText w:val="(%1)"/>
      <w:numFmt w:val="lowerLetter"/>
      <w:start w:val="3"/>
    </w:lvl>
  </w:abstractNum>
  <w:abstractNum w:abstractNumId="145">
    <w:nsid w:val="4A1D606E"/>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46">
    <w:nsid w:val="4382503"/>
    <w:multiLevelType w:val="hybridMultilevel"/>
    <w:lvl w:ilvl="0">
      <w:lvlJc w:val="left"/>
      <w:lvlText w:val="(%1)"/>
      <w:numFmt w:val="decimal"/>
      <w:start w:val="9"/>
    </w:lvl>
    <w:lvl w:ilvl="1">
      <w:lvlJc w:val="left"/>
      <w:lvlText w:val="(%2)"/>
      <w:numFmt w:val="lowerLetter"/>
      <w:start w:val="1"/>
    </w:lvl>
  </w:abstractNum>
  <w:abstractNum w:abstractNumId="147">
    <w:nsid w:val="59B76E28"/>
    <w:multiLevelType w:val="hybridMultilevel"/>
    <w:lvl w:ilvl="0">
      <w:lvlJc w:val="left"/>
      <w:lvlText w:val="%1"/>
      <w:numFmt w:val="decimal"/>
      <w:start w:val="1"/>
    </w:lvl>
    <w:lvl w:ilvl="1">
      <w:lvlJc w:val="left"/>
      <w:lvlText w:val="(%2)"/>
      <w:numFmt w:val="lowerLetter"/>
      <w:start w:val="3"/>
    </w:lvl>
  </w:abstractNum>
  <w:abstractNum w:abstractNumId="148">
    <w:nsid w:val="4252C2DA"/>
    <w:multiLevelType w:val="hybridMultilevel"/>
    <w:lvl w:ilvl="0">
      <w:lvlJc w:val="left"/>
      <w:lvlText w:val="(%1)"/>
      <w:numFmt w:val="decimal"/>
      <w:start w:val="12"/>
    </w:lvl>
    <w:lvl w:ilvl="1">
      <w:lvlJc w:val="left"/>
      <w:lvlText w:val="(%2)"/>
      <w:numFmt w:val="lowerLetter"/>
      <w:start w:val="1"/>
    </w:lvl>
  </w:abstractNum>
  <w:abstractNum w:abstractNumId="149">
    <w:nsid w:val="6A92EF4C"/>
    <w:multiLevelType w:val="hybridMultilevel"/>
    <w:lvl w:ilvl="0">
      <w:lvlJc w:val="left"/>
      <w:lvlText w:val="(%1)"/>
      <w:numFmt w:val="lowerLetter"/>
      <w:start w:val="1"/>
    </w:lvl>
  </w:abstractNum>
  <w:abstractNum w:abstractNumId="150">
    <w:nsid w:val="41ED20D7"/>
    <w:multiLevelType w:val="hybridMultilevel"/>
    <w:lvl w:ilvl="0">
      <w:lvlJc w:val="left"/>
      <w:lvlText w:val="(%1)"/>
      <w:numFmt w:val="decimal"/>
      <w:start w:val="1"/>
    </w:lvl>
  </w:abstractNum>
  <w:abstractNum w:abstractNumId="151">
    <w:nsid w:val="E6B3F6A"/>
    <w:multiLevelType w:val="hybridMultilevel"/>
    <w:lvl w:ilvl="0">
      <w:lvlJc w:val="left"/>
      <w:lvlText w:val="(%1)"/>
      <w:numFmt w:val="decimal"/>
      <w:start w:val="3"/>
    </w:lvl>
  </w:abstractNum>
  <w:abstractNum w:abstractNumId="152">
    <w:nsid w:val="3EB21819"/>
    <w:multiLevelType w:val="hybridMultilevel"/>
    <w:lvl w:ilvl="0">
      <w:lvlJc w:val="left"/>
      <w:lvlText w:val="(%1)"/>
      <w:numFmt w:val="decimal"/>
      <w:start w:val="2"/>
    </w:lvl>
  </w:abstractNum>
  <w:abstractNum w:abstractNumId="153">
    <w:nsid w:val="41531DED"/>
    <w:multiLevelType w:val="hybridMultilevel"/>
    <w:lvl w:ilvl="0">
      <w:lvlJc w:val="left"/>
      <w:lvlText w:val="(%1)"/>
      <w:numFmt w:val="decimal"/>
      <w:start w:val="1"/>
    </w:lvl>
  </w:abstractNum>
  <w:abstractNum w:abstractNumId="154">
    <w:nsid w:val="6353CD2"/>
    <w:multiLevelType w:val="hybridMultilevel"/>
    <w:lvl w:ilvl="0">
      <w:lvlJc w:val="left"/>
      <w:lvlText w:val="(%1)"/>
      <w:numFmt w:val="decimal"/>
      <w:start w:val="1"/>
    </w:lvl>
  </w:abstractNum>
  <w:abstractNum w:abstractNumId="155">
    <w:nsid w:val="683CAAD3"/>
    <w:multiLevelType w:val="hybridMultilevel"/>
    <w:lvl w:ilvl="0">
      <w:lvlJc w:val="left"/>
      <w:lvlText w:val="(%1)"/>
      <w:numFmt w:val="decimal"/>
      <w:start w:val="1"/>
    </w:lvl>
    <w:lvl w:ilvl="1">
      <w:lvlJc w:val="left"/>
      <w:lvlText w:val="(%2)"/>
      <w:numFmt w:val="lowerLetter"/>
      <w:start w:val="1"/>
    </w:lvl>
  </w:abstractNum>
  <w:abstractNum w:abstractNumId="156">
    <w:nsid w:val="313C7C99"/>
    <w:multiLevelType w:val="hybridMultilevel"/>
    <w:lvl w:ilvl="0">
      <w:lvlJc w:val="left"/>
      <w:lvlText w:val="(%1)"/>
      <w:numFmt w:val="decimal"/>
      <w:start w:val="1"/>
    </w:lvl>
  </w:abstractNum>
  <w:abstractNum w:abstractNumId="157">
    <w:nsid w:val="519EB94C"/>
    <w:multiLevelType w:val="hybridMultilevel"/>
    <w:lvl w:ilvl="0">
      <w:lvlJc w:val="left"/>
      <w:lvlText w:val="(%1)"/>
      <w:numFmt w:val="decimal"/>
      <w:start w:val="2"/>
    </w:lvl>
    <w:lvl w:ilvl="1">
      <w:lvlJc w:val="left"/>
      <w:lvlText w:val="(%2)"/>
      <w:numFmt w:val="lowerLetter"/>
      <w:start w:val="1"/>
    </w:lvl>
  </w:abstractNum>
  <w:abstractNum w:abstractNumId="158">
    <w:nsid w:val="39DF2579"/>
    <w:multiLevelType w:val="hybridMultilevel"/>
    <w:lvl w:ilvl="0">
      <w:lvlJc w:val="left"/>
      <w:lvlText w:val="(%1)"/>
      <w:numFmt w:val="decimal"/>
      <w:start w:val="1"/>
    </w:lvl>
  </w:abstractNum>
  <w:abstractNum w:abstractNumId="159">
    <w:nsid w:val="126E008B"/>
    <w:multiLevelType w:val="hybridMultilevel"/>
    <w:lvl w:ilvl="0">
      <w:lvlJc w:val="left"/>
      <w:lvlText w:val="(%1)"/>
      <w:numFmt w:val="decimal"/>
      <w:start w:val="1"/>
    </w:lvl>
  </w:abstractNum>
  <w:abstractNum w:abstractNumId="160">
    <w:nsid w:val="34DFBC00"/>
    <w:multiLevelType w:val="hybridMultilevel"/>
    <w:lvl w:ilvl="0">
      <w:lvlJc w:val="left"/>
      <w:lvlText w:val="(%1)"/>
      <w:numFmt w:val="decimal"/>
      <w:start w:val="3"/>
    </w:lvl>
  </w:abstractNum>
  <w:abstractNum w:abstractNumId="161">
    <w:nsid w:val="1F9EC322"/>
    <w:multiLevelType w:val="hybridMultilevel"/>
    <w:lvl w:ilvl="0">
      <w:lvlJc w:val="left"/>
      <w:lvlText w:val="(%1)"/>
      <w:numFmt w:val="decimal"/>
      <w:start w:val="1"/>
    </w:lvl>
  </w:abstractNum>
  <w:abstractNum w:abstractNumId="162">
    <w:nsid w:val="3410ED56"/>
    <w:multiLevelType w:val="hybridMultilevel"/>
    <w:lvl w:ilvl="0">
      <w:lvlJc w:val="left"/>
      <w:lvlText w:val="(%1)"/>
      <w:numFmt w:val="decimal"/>
      <w:start w:val="1"/>
    </w:lvl>
  </w:abstractNum>
  <w:abstractNum w:abstractNumId="163">
    <w:nsid w:val="23C049A"/>
    <w:multiLevelType w:val="hybridMultilevel"/>
    <w:lvl w:ilvl="0">
      <w:lvlJc w:val="left"/>
      <w:lvlText w:val="(%1)"/>
      <w:numFmt w:val="decimal"/>
      <w:start w:val="1"/>
    </w:lvl>
  </w:abstractNum>
  <w:abstractNum w:abstractNumId="164">
    <w:nsid w:val="5BDA35D4"/>
    <w:multiLevelType w:val="hybridMultilevel"/>
    <w:lvl w:ilvl="0">
      <w:lvlJc w:val="left"/>
      <w:lvlText w:val="(%1)"/>
      <w:numFmt w:val="decimal"/>
      <w:start w:val="4"/>
    </w:lvl>
  </w:abstractNum>
  <w:abstractNum w:abstractNumId="165">
    <w:nsid w:val="496FB218"/>
    <w:multiLevelType w:val="hybridMultilevel"/>
    <w:lvl w:ilvl="0">
      <w:lvlJc w:val="left"/>
      <w:lvlText w:val="(%1)"/>
      <w:numFmt w:val="decimal"/>
      <w:start w:val="1"/>
    </w:lvl>
    <w:lvl w:ilvl="1">
      <w:lvlJc w:val="left"/>
      <w:lvlText w:val="(%2)"/>
      <w:numFmt w:val="lowerLetter"/>
      <w:start w:val="1"/>
    </w:lvl>
  </w:abstractNum>
  <w:abstractNum w:abstractNumId="166">
    <w:nsid w:val="680EA5D1"/>
    <w:multiLevelType w:val="hybridMultilevel"/>
    <w:lvl w:ilvl="0">
      <w:lvlJc w:val="left"/>
      <w:lvlText w:val="(%1)"/>
      <w:numFmt w:val="decimal"/>
      <w:start w:val="1"/>
    </w:lvl>
  </w:abstractNum>
  <w:abstractNum w:abstractNumId="167">
    <w:nsid w:val="4A9554FE"/>
    <w:multiLevelType w:val="hybridMultilevel"/>
    <w:lvl w:ilvl="0">
      <w:lvlJc w:val="left"/>
      <w:lvlText w:val="(%1)"/>
      <w:numFmt w:val="decimal"/>
      <w:start w:val="1"/>
    </w:lvl>
  </w:abstractNum>
  <w:abstractNum w:abstractNumId="168">
    <w:nsid w:val="392EDBE4"/>
    <w:multiLevelType w:val="hybridMultilevel"/>
    <w:lvl w:ilvl="0">
      <w:lvlJc w:val="left"/>
      <w:lvlText w:val="(%1)"/>
      <w:numFmt w:val="decimal"/>
      <w:start w:val="1"/>
    </w:lvl>
  </w:abstractNum>
  <w:abstractNum w:abstractNumId="169">
    <w:nsid w:val="3D1A2DD9"/>
    <w:multiLevelType w:val="hybridMultilevel"/>
    <w:lvl w:ilvl="0">
      <w:lvlJc w:val="left"/>
      <w:lvlText w:val="(%1)"/>
      <w:numFmt w:val="decimal"/>
      <w:start w:val="1"/>
    </w:lvl>
  </w:abstractNum>
  <w:abstractNum w:abstractNumId="170">
    <w:nsid w:val="7F618FCD"/>
    <w:multiLevelType w:val="hybridMultilevel"/>
    <w:lvl w:ilvl="0">
      <w:lvlJc w:val="left"/>
      <w:lvlText w:val="(%1)"/>
      <w:numFmt w:val="decimal"/>
      <w:start w:val="3"/>
    </w:lvl>
  </w:abstractNum>
  <w:abstractNum w:abstractNumId="171">
    <w:nsid w:val="7843E45"/>
    <w:multiLevelType w:val="hybridMultilevel"/>
    <w:lvl w:ilvl="0">
      <w:lvlJc w:val="left"/>
      <w:lvlText w:val="(%1)"/>
      <w:numFmt w:val="decimal"/>
      <w:start w:val="1"/>
    </w:lvl>
    <w:lvl w:ilvl="1">
      <w:lvlJc w:val="left"/>
      <w:lvlText w:val="(%2)"/>
      <w:numFmt w:val="lowerLetter"/>
      <w:start w:val="2"/>
    </w:lvl>
  </w:abstractNum>
  <w:abstractNum w:abstractNumId="172">
    <w:nsid w:val="9815DA3"/>
    <w:multiLevelType w:val="hybridMultilevel"/>
    <w:lvl w:ilvl="0">
      <w:lvlJc w:val="left"/>
      <w:lvlText w:val="(%1)"/>
      <w:numFmt w:val="decimal"/>
      <w:start w:val="3"/>
    </w:lvl>
    <w:lvl w:ilvl="1">
      <w:lvlJc w:val="left"/>
      <w:lvlText w:val="(%2)"/>
      <w:numFmt w:val="lowerLetter"/>
      <w:start w:val="1"/>
    </w:lvl>
  </w:abstractNum>
  <w:abstractNum w:abstractNumId="173">
    <w:nsid w:val="5204A191"/>
    <w:multiLevelType w:val="hybridMultilevel"/>
    <w:lvl w:ilvl="0">
      <w:lvlJc w:val="left"/>
      <w:lvlText w:val="(%1)"/>
      <w:numFmt w:val="decimal"/>
      <w:start w:val="1"/>
    </w:lvl>
  </w:abstractNum>
  <w:abstractNum w:abstractNumId="174">
    <w:nsid w:val="4C73A9C6"/>
    <w:multiLevelType w:val="hybridMultilevel"/>
    <w:lvl w:ilvl="0">
      <w:lvlJc w:val="left"/>
      <w:lvlText w:val="%1"/>
      <w:numFmt w:val="decimal"/>
      <w:start w:val="1"/>
    </w:lvl>
    <w:lvl w:ilvl="1">
      <w:lvlJc w:val="left"/>
      <w:lvlText w:val="(%2)"/>
      <w:numFmt w:val="lowerLetter"/>
      <w:start w:val="1"/>
    </w:lvl>
  </w:abstractNum>
  <w:abstractNum w:abstractNumId="175">
    <w:nsid w:val="1C7E3C01"/>
    <w:multiLevelType w:val="hybridMultilevel"/>
    <w:lvl w:ilvl="0">
      <w:lvlJc w:val="left"/>
      <w:lvlText w:val="(%1)"/>
      <w:numFmt w:val="decimal"/>
      <w:start w:val="3"/>
    </w:lvl>
    <w:lvl w:ilvl="1">
      <w:lvlJc w:val="left"/>
      <w:lvlText w:val="%2"/>
      <w:numFmt w:val="lowerLetter"/>
      <w:start w:val="1"/>
    </w:lvl>
  </w:abstractNum>
  <w:abstractNum w:abstractNumId="176">
    <w:nsid w:val="1C2201FF"/>
    <w:multiLevelType w:val="hybridMultilevel"/>
    <w:lvl w:ilvl="0">
      <w:lvlJc w:val="left"/>
      <w:lvlText w:val="(%1)"/>
      <w:numFmt w:val="decimal"/>
      <w:start w:val="1"/>
    </w:lvl>
  </w:abstractNum>
  <w:abstractNum w:abstractNumId="177">
    <w:nsid w:val="50ABCEC9"/>
    <w:multiLevelType w:val="hybridMultilevel"/>
    <w:lvl w:ilvl="0">
      <w:lvlJc w:val="left"/>
      <w:lvlText w:val="(%1)"/>
      <w:numFmt w:val="decimal"/>
      <w:start w:val="1"/>
    </w:lvl>
  </w:abstractNum>
  <w:abstractNum w:abstractNumId="178">
    <w:nsid w:val="7635AA2A"/>
    <w:multiLevelType w:val="hybridMultilevel"/>
    <w:lvl w:ilvl="0">
      <w:lvlJc w:val="left"/>
      <w:lvlText w:val="(%1)"/>
      <w:numFmt w:val="decimal"/>
      <w:start w:val="2"/>
    </w:lvl>
  </w:abstractNum>
  <w:abstractNum w:abstractNumId="179">
    <w:nsid w:val="5E74C4D9"/>
    <w:multiLevelType w:val="hybridMultilevel"/>
    <w:lvl w:ilvl="0">
      <w:lvlJc w:val="left"/>
      <w:lvlText w:val="(%1)"/>
      <w:numFmt w:val="lowerLetter"/>
      <w:start w:val="35"/>
    </w:lvl>
    <w:lvl w:ilvl="1">
      <w:lvlJc w:val="left"/>
      <w:lvlText w:val="(%2)"/>
      <w:numFmt w:val="lowerLetter"/>
      <w:start w:val="1"/>
    </w:lvl>
  </w:abstractNum>
  <w:abstractNum w:abstractNumId="180">
    <w:nsid w:val="3B3EBE15"/>
    <w:multiLevelType w:val="hybridMultilevel"/>
    <w:lvl w:ilvl="0">
      <w:lvlJc w:val="left"/>
      <w:lvlText w:val="(%1)"/>
      <w:numFmt w:val="decimal"/>
      <w:start w:val="1"/>
    </w:lvl>
  </w:abstractNum>
  <w:abstractNum w:abstractNumId="181">
    <w:nsid w:val="3822CB01"/>
    <w:multiLevelType w:val="hybridMultilevel"/>
    <w:lvl w:ilvl="0">
      <w:lvlJc w:val="left"/>
      <w:lvlText w:val="(%1)"/>
      <w:numFmt w:val="decimal"/>
      <w:start w:val="1"/>
    </w:lvl>
  </w:abstractNum>
  <w:abstractNum w:abstractNumId="182">
    <w:nsid w:val="6CE00443"/>
    <w:multiLevelType w:val="hybridMultilevel"/>
    <w:lvl w:ilvl="0">
      <w:lvlJc w:val="left"/>
      <w:lvlText w:val="(%1)"/>
      <w:numFmt w:val="decimal"/>
      <w:start w:val="1"/>
    </w:lvl>
  </w:abstractNum>
  <w:abstractNum w:abstractNumId="183">
    <w:nsid w:val="79F0D62F"/>
    <w:multiLevelType w:val="hybridMultilevel"/>
    <w:lvl w:ilvl="0">
      <w:lvlJc w:val="left"/>
      <w:lvlText w:val="%1"/>
      <w:numFmt w:val="decimal"/>
      <w:start w:val="1"/>
    </w:lvl>
    <w:lvl w:ilvl="1">
      <w:lvlJc w:val="left"/>
      <w:lvlText w:val="(%2)"/>
      <w:numFmt w:val="lowerLetter"/>
      <w:start w:val="2"/>
    </w:lvl>
  </w:abstractNum>
  <w:abstractNum w:abstractNumId="184">
    <w:nsid w:val="7975E8EE"/>
    <w:multiLevelType w:val="hybridMultilevel"/>
    <w:lvl w:ilvl="0">
      <w:lvlJc w:val="left"/>
      <w:lvlText w:val="(%1)"/>
      <w:numFmt w:val="decimal"/>
      <w:start w:val="4"/>
    </w:lvl>
    <w:lvl w:ilvl="1">
      <w:lvlJc w:val="left"/>
      <w:lvlText w:val="(%2)"/>
      <w:numFmt w:val="lowerLetter"/>
      <w:start w:val="1"/>
    </w:lvl>
  </w:abstractNum>
  <w:abstractNum w:abstractNumId="185">
    <w:nsid w:val="73154115"/>
    <w:multiLevelType w:val="hybridMultilevel"/>
    <w:lvl w:ilvl="0">
      <w:lvlJc w:val="left"/>
      <w:lvlText w:val="(%1)"/>
      <w:numFmt w:val="decimal"/>
      <w:start w:val="8"/>
    </w:lvl>
  </w:abstractNum>
  <w:abstractNum w:abstractNumId="186">
    <w:nsid w:val="622D8102"/>
    <w:multiLevelType w:val="hybridMultilevel"/>
    <w:lvl w:ilvl="0">
      <w:lvlJc w:val="left"/>
      <w:lvlText w:val="(%1)"/>
      <w:numFmt w:val="decimal"/>
      <w:start w:val="9"/>
    </w:lvl>
  </w:abstractNum>
  <w:abstractNum w:abstractNumId="187">
    <w:nsid w:val="2AB26587"/>
    <w:multiLevelType w:val="hybridMultilevel"/>
    <w:lvl w:ilvl="0">
      <w:lvlJc w:val="left"/>
      <w:lvlText w:val="(%1)"/>
      <w:numFmt w:val="decimal"/>
      <w:start w:val="1"/>
    </w:lvl>
  </w:abstractNum>
  <w:abstractNum w:abstractNumId="188">
    <w:nsid w:val="44B3FA61"/>
    <w:multiLevelType w:val="hybridMultilevel"/>
    <w:lvl w:ilvl="0">
      <w:lvlJc w:val="left"/>
      <w:lvlText w:val="(%1)"/>
      <w:numFmt w:val="decimal"/>
      <w:start w:val="1"/>
    </w:lvl>
  </w:abstractNum>
  <w:abstractNum w:abstractNumId="189">
    <w:nsid w:val="1C0CA67C"/>
    <w:multiLevelType w:val="hybridMultilevel"/>
    <w:lvl w:ilvl="0">
      <w:lvlJc w:val="left"/>
      <w:lvlText w:val="(%1)"/>
      <w:numFmt w:val="decimal"/>
      <w:start w:val="1"/>
    </w:lvl>
  </w:abstractNum>
  <w:abstractNum w:abstractNumId="190">
    <w:nsid w:val="3D206613"/>
    <w:multiLevelType w:val="hybridMultilevel"/>
    <w:lvl w:ilvl="0">
      <w:lvlJc w:val="left"/>
      <w:lvlText w:val="(%1)"/>
      <w:numFmt w:val="decimal"/>
      <w:start w:val="2"/>
    </w:lvl>
  </w:abstractNum>
  <w:abstractNum w:abstractNumId="191">
    <w:nsid w:val="7993B662"/>
    <w:multiLevelType w:val="hybridMultilevel"/>
    <w:lvl w:ilvl="0">
      <w:lvlJc w:val="left"/>
      <w:lvlText w:val="(%1)"/>
      <w:numFmt w:val="lowerLetter"/>
      <w:start w:val="1"/>
    </w:lvl>
  </w:abstractNum>
  <w:abstractNum w:abstractNumId="192">
    <w:nsid w:val="3BAB699E"/>
    <w:multiLevelType w:val="hybridMultilevel"/>
    <w:lvl w:ilvl="0">
      <w:lvlJc w:val="left"/>
      <w:lvlText w:val="%1"/>
      <w:numFmt w:val="decimal"/>
      <w:start w:val="1"/>
    </w:lvl>
    <w:lvl w:ilvl="1">
      <w:lvlJc w:val="left"/>
      <w:lvlText w:val="(%2)"/>
      <w:numFmt w:val="lowerLetter"/>
      <w:start w:val="2"/>
    </w:lvl>
  </w:abstractNum>
  <w:abstractNum w:abstractNumId="193">
    <w:nsid w:val="71315369"/>
    <w:multiLevelType w:val="hybridMultilevel"/>
    <w:lvl w:ilvl="0">
      <w:lvlJc w:val="left"/>
      <w:lvlText w:val="(%1)"/>
      <w:numFmt w:val="decimal"/>
      <w:start w:val="5"/>
    </w:lvl>
    <w:lvl w:ilvl="1">
      <w:lvlJc w:val="left"/>
      <w:lvlText w:val="%2"/>
      <w:numFmt w:val="lowerLetter"/>
      <w:start w:val="1"/>
    </w:lvl>
  </w:abstractNum>
  <w:abstractNum w:abstractNumId="194">
    <w:nsid w:val="7BCFBAFC"/>
    <w:multiLevelType w:val="hybridMultilevel"/>
    <w:lvl w:ilvl="0">
      <w:lvlJc w:val="left"/>
      <w:lvlText w:val="(%1)"/>
      <w:numFmt w:val="decimal"/>
      <w:start w:val="1"/>
    </w:lvl>
  </w:abstractNum>
  <w:abstractNum w:abstractNumId="195">
    <w:nsid w:val="17859F72"/>
    <w:multiLevelType w:val="hybridMultilevel"/>
    <w:lvl w:ilvl="0">
      <w:lvlJc w:val="left"/>
      <w:lvlText w:val="(%1)"/>
      <w:numFmt w:val="decimal"/>
      <w:start w:val="1"/>
    </w:lvl>
  </w:abstractNum>
  <w:abstractNum w:abstractNumId="196">
    <w:nsid w:val="3AA10581"/>
    <w:multiLevelType w:val="hybridMultilevel"/>
    <w:lvl w:ilvl="0">
      <w:lvlJc w:val="left"/>
      <w:lvlText w:val="(%1)"/>
      <w:numFmt w:val="decimal"/>
      <w:start w:val="3"/>
    </w:lvl>
  </w:abstractNum>
  <w:abstractNum w:abstractNumId="197">
    <w:nsid w:val="63DE60CD"/>
    <w:multiLevelType w:val="hybridMultilevel"/>
    <w:lvl w:ilvl="0">
      <w:lvlJc w:val="left"/>
      <w:lvlText w:val="(%1)"/>
      <w:numFmt w:val="decimal"/>
      <w:start w:val="1"/>
    </w:lvl>
  </w:abstractNum>
  <w:abstractNum w:abstractNumId="198">
    <w:nsid w:val="621AF471"/>
    <w:multiLevelType w:val="hybridMultilevel"/>
    <w:lvl w:ilvl="0">
      <w:lvlJc w:val="left"/>
      <w:lvlText w:val="(%1)"/>
      <w:numFmt w:val="decimal"/>
      <w:start w:val="7"/>
    </w:lvl>
  </w:abstractNum>
  <w:abstractNum w:abstractNumId="199">
    <w:nsid w:val="73CFE165"/>
    <w:multiLevelType w:val="hybridMultilevel"/>
    <w:lvl w:ilvl="0">
      <w:lvlJc w:val="left"/>
      <w:lvlText w:val="(%1)"/>
      <w:numFmt w:val="decimal"/>
      <w:start w:val="1"/>
    </w:lvl>
    <w:lvl w:ilvl="1">
      <w:lvlJc w:val="left"/>
      <w:lvlText w:val="(%2)"/>
      <w:numFmt w:val="lowerLetter"/>
      <w:start w:val="1"/>
    </w:lvl>
  </w:abstractNum>
  <w:abstractNum w:abstractNumId="200">
    <w:nsid w:val="20F88EA6"/>
    <w:multiLevelType w:val="hybridMultilevel"/>
    <w:lvl w:ilvl="0">
      <w:lvlJc w:val="left"/>
      <w:lvlText w:val="(%1)"/>
      <w:numFmt w:val="decimal"/>
      <w:start w:val="1"/>
    </w:lvl>
  </w:abstractNum>
  <w:abstractNum w:abstractNumId="201">
    <w:nsid w:val="617C843E"/>
    <w:multiLevelType w:val="hybridMultilevel"/>
    <w:lvl w:ilvl="0">
      <w:lvlJc w:val="left"/>
      <w:lvlText w:val="(%1)"/>
      <w:numFmt w:val="decimal"/>
      <w:start w:val="2"/>
    </w:lvl>
  </w:abstractNum>
  <w:abstractNum w:abstractNumId="202">
    <w:nsid w:val="7B541FAB"/>
    <w:multiLevelType w:val="hybridMultilevel"/>
    <w:lvl w:ilvl="0">
      <w:lvlJc w:val="left"/>
      <w:lvlText w:val="(%1)"/>
      <w:numFmt w:val="decimal"/>
      <w:start w:val="2"/>
    </w:lvl>
  </w:abstractNum>
  <w:abstractNum w:abstractNumId="203">
    <w:nsid w:val="2A79EC49"/>
    <w:multiLevelType w:val="hybridMultilevel"/>
    <w:lvl w:ilvl="0">
      <w:lvlJc w:val="left"/>
      <w:lvlText w:val="(%1)"/>
      <w:numFmt w:val="decimal"/>
      <w:start w:val="1"/>
    </w:lvl>
  </w:abstractNum>
  <w:abstractNum w:abstractNumId="204">
    <w:nsid w:val="338125CF"/>
    <w:multiLevelType w:val="hybridMultilevel"/>
    <w:lvl w:ilvl="0">
      <w:lvlJc w:val="left"/>
      <w:lvlText w:val="(%1)"/>
      <w:numFmt w:val="decimal"/>
      <w:start w:val="1"/>
    </w:lvl>
  </w:abstractNum>
  <w:abstractNum w:abstractNumId="205">
    <w:nsid w:val="47C7C971"/>
    <w:multiLevelType w:val="hybridMultilevel"/>
    <w:lvl w:ilvl="0">
      <w:lvlJc w:val="left"/>
      <w:lvlText w:val="(%1)"/>
      <w:numFmt w:val="decimal"/>
      <w:start w:val="1"/>
    </w:lvl>
  </w:abstractNum>
  <w:abstractNum w:abstractNumId="206">
    <w:nsid w:val="46F8284B"/>
    <w:multiLevelType w:val="hybridMultilevel"/>
    <w:lvl w:ilvl="0">
      <w:lvlJc w:val="left"/>
      <w:lvlText w:val="(%1)"/>
      <w:numFmt w:val="decimal"/>
      <w:start w:val="8"/>
    </w:lvl>
  </w:abstractNum>
  <w:abstractNum w:abstractNumId="207">
    <w:nsid w:val="4FA327CE"/>
    <w:multiLevelType w:val="hybridMultilevel"/>
    <w:lvl w:ilvl="0">
      <w:lvlJc w:val="left"/>
      <w:lvlText w:val="(%1)"/>
      <w:numFmt w:val="decimal"/>
      <w:start w:val="1"/>
    </w:lvl>
    <w:lvl w:ilvl="1">
      <w:lvlJc w:val="left"/>
      <w:lvlText w:val="(%2)"/>
      <w:numFmt w:val="lowerLetter"/>
      <w:start w:val="1"/>
    </w:lvl>
  </w:abstractNum>
  <w:abstractNum w:abstractNumId="208">
    <w:nsid w:val="1873983A"/>
    <w:multiLevelType w:val="hybridMultilevel"/>
    <w:lvl w:ilvl="0">
      <w:lvlJc w:val="left"/>
      <w:lvlText w:val="(%1)"/>
      <w:numFmt w:val="lowerLetter"/>
      <w:start w:val="1"/>
    </w:lvl>
  </w:abstractNum>
  <w:abstractNum w:abstractNumId="209">
    <w:nsid w:val="3D2DD275"/>
    <w:multiLevelType w:val="hybridMultilevel"/>
    <w:lvl w:ilvl="0">
      <w:lvlJc w:val="left"/>
      <w:lvlText w:val="(%1)"/>
      <w:numFmt w:val="lowerLetter"/>
      <w:start w:val="2"/>
    </w:lvl>
  </w:abstractNum>
  <w:abstractNum w:abstractNumId="210">
    <w:nsid w:val="2E17ECA7"/>
    <w:multiLevelType w:val="hybridMultilevel"/>
    <w:lvl w:ilvl="0">
      <w:lvlJc w:val="left"/>
      <w:lvlText w:val="(%1)"/>
      <w:numFmt w:val="decimal"/>
      <w:start w:val="1"/>
    </w:lvl>
  </w:abstractNum>
  <w:abstractNum w:abstractNumId="211">
    <w:nsid w:val="53B2564F"/>
    <w:multiLevelType w:val="hybridMultilevel"/>
    <w:lvl w:ilvl="0">
      <w:lvlJc w:val="left"/>
      <w:lvlText w:val="(%1)"/>
      <w:numFmt w:val="decimal"/>
      <w:start w:val="1"/>
    </w:lvl>
  </w:abstractNum>
  <w:abstractNum w:abstractNumId="212">
    <w:nsid w:val="75509D76"/>
    <w:multiLevelType w:val="hybridMultilevel"/>
    <w:lvl w:ilvl="0">
      <w:lvlJc w:val="left"/>
      <w:lvlText w:val="%1"/>
      <w:numFmt w:val="decimal"/>
      <w:start w:val="1"/>
    </w:lvl>
    <w:lvl w:ilvl="1">
      <w:lvlJc w:val="left"/>
      <w:lvlText w:val="(%2)"/>
      <w:numFmt w:val="lowerLetter"/>
      <w:start w:val="1"/>
    </w:lvl>
  </w:abstractNum>
  <w:abstractNum w:abstractNumId="213">
    <w:nsid w:val="1AF7F0EA"/>
    <w:multiLevelType w:val="hybridMultilevel"/>
    <w:lvl w:ilvl="0">
      <w:lvlJc w:val="left"/>
      <w:lvlText w:val="(%1)"/>
      <w:numFmt w:val="decimal"/>
      <w:start w:val="3"/>
    </w:lvl>
    <w:lvl w:ilvl="1">
      <w:lvlJc w:val="left"/>
      <w:lvlText w:val="%2"/>
      <w:numFmt w:val="lowerLetter"/>
      <w:start w:val="1"/>
    </w:lvl>
  </w:abstractNum>
  <w:abstractNum w:abstractNumId="214">
    <w:nsid w:val="4DA32C7E"/>
    <w:multiLevelType w:val="hybridMultilevel"/>
    <w:lvl w:ilvl="0">
      <w:lvlJc w:val="left"/>
      <w:lvlText w:val="(%1)"/>
      <w:numFmt w:val="decimal"/>
      <w:start w:val="6"/>
    </w:lvl>
  </w:abstractNum>
  <w:abstractNum w:abstractNumId="215">
    <w:nsid w:val="6EC68664"/>
    <w:multiLevelType w:val="hybridMultilevel"/>
    <w:lvl w:ilvl="0">
      <w:lvlJc w:val="left"/>
      <w:lvlText w:val="(%1)"/>
      <w:numFmt w:val="decimal"/>
      <w:start w:val="1"/>
    </w:lvl>
  </w:abstractNum>
  <w:abstractNum w:abstractNumId="216">
    <w:nsid w:val="E0D31FF"/>
    <w:multiLevelType w:val="hybridMultilevel"/>
    <w:lvl w:ilvl="0">
      <w:lvlJc w:val="left"/>
      <w:lvlText w:val="(%1)"/>
      <w:numFmt w:val="decimal"/>
      <w:start w:val="1"/>
    </w:lvl>
  </w:abstractNum>
  <w:abstractNum w:abstractNumId="217">
    <w:nsid w:val="2FD0AD81"/>
    <w:multiLevelType w:val="hybridMultilevel"/>
    <w:lvl w:ilvl="0">
      <w:lvlJc w:val="left"/>
      <w:lvlText w:val="(%1)"/>
      <w:numFmt w:val="lowerLetter"/>
      <w:start w:val="1"/>
    </w:lvl>
  </w:abstractNum>
  <w:abstractNum w:abstractNumId="218">
    <w:nsid w:val="1978EBEB"/>
    <w:multiLevelType w:val="hybridMultilevel"/>
    <w:lvl w:ilvl="0">
      <w:lvlJc w:val="left"/>
      <w:lvlText w:val="%1"/>
      <w:numFmt w:val="decimal"/>
      <w:start w:val="1"/>
    </w:lvl>
    <w:lvl w:ilvl="1">
      <w:lvlJc w:val="left"/>
      <w:lvlText w:val="(%2)"/>
      <w:numFmt w:val="lowerLetter"/>
      <w:start w:val="2"/>
    </w:lvl>
  </w:abstractNum>
  <w:abstractNum w:abstractNumId="219">
    <w:nsid w:val="52C12C61"/>
    <w:multiLevelType w:val="hybridMultilevel"/>
    <w:lvl w:ilvl="0">
      <w:lvlJc w:val="left"/>
      <w:lvlText w:val="(%1)"/>
      <w:numFmt w:val="decimal"/>
      <w:start w:val="4"/>
    </w:lvl>
    <w:lvl w:ilvl="1">
      <w:lvlJc w:val="left"/>
      <w:lvlText w:val="%2"/>
      <w:numFmt w:val="lowerLetter"/>
      <w:start w:val="1"/>
    </w:lvl>
  </w:abstractNum>
  <w:abstractNum w:abstractNumId="220">
    <w:nsid w:val="4BDD53FD"/>
    <w:multiLevelType w:val="hybridMultilevel"/>
    <w:lvl w:ilvl="0">
      <w:lvlJc w:val="left"/>
      <w:lvlText w:val="(%1)"/>
      <w:numFmt w:val="decimal"/>
      <w:start w:val="6"/>
    </w:lvl>
  </w:abstractNum>
  <w:abstractNum w:abstractNumId="221">
    <w:nsid w:val="569951FE"/>
    <w:multiLevelType w:val="hybridMultilevel"/>
    <w:lvl w:ilvl="0">
      <w:lvlJc w:val="left"/>
      <w:lvlText w:val="(%1)"/>
      <w:numFmt w:val="decimal"/>
      <w:start w:val="1"/>
    </w:lvl>
  </w:abstractNum>
  <w:abstractNum w:abstractNumId="222">
    <w:nsid w:val="4C54E2C3"/>
    <w:multiLevelType w:val="hybridMultilevel"/>
    <w:lvl w:ilvl="0">
      <w:lvlJc w:val="left"/>
      <w:lvlText w:val="(%1)"/>
      <w:numFmt w:val="decimal"/>
      <w:start w:val="1"/>
    </w:lvl>
  </w:abstractNum>
  <w:abstractNum w:abstractNumId="223">
    <w:nsid w:val="788BD9B"/>
    <w:multiLevelType w:val="hybridMultilevel"/>
    <w:lvl w:ilvl="0">
      <w:lvlJc w:val="left"/>
      <w:lvlText w:val="(%1)"/>
      <w:numFmt w:val="lowerLetter"/>
      <w:start w:val="1"/>
    </w:lvl>
  </w:abstractNum>
  <w:abstractNum w:abstractNumId="224">
    <w:nsid w:val="47CAA567"/>
    <w:multiLevelType w:val="hybridMultilevel"/>
    <w:lvl w:ilvl="0">
      <w:lvlJc w:val="left"/>
      <w:lvlText w:val="(%1)"/>
      <w:numFmt w:val="lowerLetter"/>
      <w:start w:val="2"/>
    </w:lvl>
  </w:abstractNum>
  <w:abstractNum w:abstractNumId="225">
    <w:nsid w:val="48249DBF"/>
    <w:multiLevelType w:val="hybridMultilevel"/>
    <w:lvl w:ilvl="0">
      <w:lvlJc w:val="left"/>
      <w:lvlText w:val="(%1)"/>
      <w:numFmt w:val="decimal"/>
      <w:start w:val="4"/>
    </w:lvl>
    <w:lvl w:ilvl="1">
      <w:lvlJc w:val="left"/>
      <w:lvlText w:val="(%2)"/>
      <w:numFmt w:val="lowerLetter"/>
      <w:start w:val="1"/>
    </w:lvl>
  </w:abstractNum>
  <w:abstractNum w:abstractNumId="226">
    <w:nsid w:val="1F0E5D0D"/>
    <w:multiLevelType w:val="hybridMultilevel"/>
    <w:lvl w:ilvl="0">
      <w:lvlJc w:val="left"/>
      <w:lvlText w:val="(%1)"/>
      <w:numFmt w:val="decimal"/>
      <w:start w:val="1"/>
    </w:lvl>
  </w:abstractNum>
  <w:abstractNum w:abstractNumId="227">
    <w:nsid w:val="26BAAE9"/>
    <w:multiLevelType w:val="hybridMultilevel"/>
    <w:lvl w:ilvl="0">
      <w:lvlJc w:val="left"/>
      <w:lvlText w:val="(%1)"/>
      <w:numFmt w:val="decimal"/>
      <w:start w:val="4"/>
    </w:lvl>
    <w:lvl w:ilvl="1">
      <w:lvlJc w:val="left"/>
      <w:lvlText w:val="(%2)"/>
      <w:numFmt w:val="lowerLetter"/>
      <w:start w:val="1"/>
    </w:lvl>
  </w:abstractNum>
  <w:abstractNum w:abstractNumId="228">
    <w:nsid w:val="2C02FE8C"/>
    <w:multiLevelType w:val="hybridMultilevel"/>
    <w:lvl w:ilvl="0">
      <w:lvlJc w:val="left"/>
      <w:lvlText w:val="(%1)"/>
      <w:numFmt w:val="decimal"/>
      <w:start w:val="1"/>
    </w:lvl>
  </w:abstractNum>
  <w:abstractNum w:abstractNumId="229">
    <w:nsid w:val="129517E"/>
    <w:multiLevelType w:val="hybridMultilevel"/>
    <w:lvl w:ilvl="0">
      <w:lvlJc w:val="left"/>
      <w:lvlText w:val="(%1)"/>
      <w:numFmt w:val="lowerLetter"/>
      <w:start w:val="2"/>
    </w:lvl>
  </w:abstractNum>
  <w:abstractNum w:abstractNumId="230">
    <w:nsid w:val="763B8C4E"/>
    <w:multiLevelType w:val="hybridMultilevel"/>
    <w:lvl w:ilvl="0">
      <w:lvlJc w:val="left"/>
      <w:lvlText w:val="(%1)"/>
      <w:numFmt w:val="decimal"/>
      <w:start w:val="1"/>
    </w:lvl>
  </w:abstractNum>
  <w:abstractNum w:abstractNumId="231">
    <w:nsid w:val="4CFB8D32"/>
    <w:multiLevelType w:val="hybridMultilevel"/>
    <w:lvl w:ilvl="0">
      <w:lvlJc w:val="left"/>
      <w:lvlText w:val="(%1)"/>
      <w:numFmt w:val="decimal"/>
      <w:start w:val="4"/>
    </w:lvl>
  </w:abstractNum>
  <w:abstractNum w:abstractNumId="232">
    <w:nsid w:val="62A5D5BD"/>
    <w:multiLevelType w:val="hybridMultilevel"/>
    <w:lvl w:ilvl="0">
      <w:lvlJc w:val="left"/>
      <w:lvlText w:val="(%1)"/>
      <w:numFmt w:val="decimal"/>
      <w:start w:val="1"/>
    </w:lvl>
  </w:abstractNum>
  <w:abstractNum w:abstractNumId="233">
    <w:nsid w:val="718FABF9"/>
    <w:multiLevelType w:val="hybridMultilevel"/>
    <w:lvl w:ilvl="0">
      <w:lvlJc w:val="left"/>
      <w:lvlText w:val="(%1)"/>
      <w:numFmt w:val="decimal"/>
      <w:start w:val="1"/>
    </w:lvl>
  </w:abstractNum>
  <w:abstractNum w:abstractNumId="234">
    <w:nsid w:val="7775797C"/>
    <w:multiLevelType w:val="hybridMultilevel"/>
    <w:lvl w:ilvl="0">
      <w:lvlJc w:val="left"/>
      <w:lvlText w:val="(%1)"/>
      <w:numFmt w:val="decimal"/>
      <w:start w:val="1"/>
    </w:lvl>
  </w:abstractNum>
  <w:abstractNum w:abstractNumId="235">
    <w:nsid w:val="1626FB8C"/>
    <w:multiLevelType w:val="hybridMultilevel"/>
    <w:lvl w:ilvl="0">
      <w:lvlJc w:val="left"/>
      <w:lvlText w:val="(%1)"/>
      <w:numFmt w:val="decimal"/>
      <w:start w:val="1"/>
    </w:lvl>
  </w:abstractNum>
  <w:abstractNum w:abstractNumId="236">
    <w:nsid w:val="3957756A"/>
    <w:multiLevelType w:val="hybridMultilevel"/>
    <w:lvl w:ilvl="0">
      <w:lvlJc w:val="left"/>
      <w:lvlText w:val="(%1)"/>
      <w:numFmt w:val="decimal"/>
      <w:start w:val="8"/>
    </w:lvl>
  </w:abstractNum>
  <w:abstractNum w:abstractNumId="237">
    <w:nsid w:val="3E6DA1C7"/>
    <w:multiLevelType w:val="hybridMultilevel"/>
    <w:lvl w:ilvl="0">
      <w:lvlJc w:val="left"/>
      <w:lvlText w:val="(%1)"/>
      <w:numFmt w:val="decimal"/>
      <w:start w:val="2"/>
    </w:lvl>
  </w:abstractNum>
  <w:abstractNum w:abstractNumId="238">
    <w:nsid w:val="65CA235B"/>
    <w:multiLevelType w:val="hybridMultilevel"/>
    <w:lvl w:ilvl="0">
      <w:lvlJc w:val="left"/>
      <w:lvlText w:val="(%1)"/>
      <w:numFmt w:val="decimal"/>
      <w:start w:val="1"/>
    </w:lvl>
  </w:abstractNum>
  <w:abstractNum w:abstractNumId="239">
    <w:nsid w:val="51CB0DA4"/>
    <w:multiLevelType w:val="hybridMultilevel"/>
    <w:lvl w:ilvl="0">
      <w:lvlJc w:val="left"/>
      <w:lvlText w:val="(%1)"/>
      <w:numFmt w:val="decimal"/>
      <w:start w:val="3"/>
    </w:lvl>
  </w:abstractNum>
  <w:abstractNum w:abstractNumId="240">
    <w:nsid w:val="7B9B743C"/>
    <w:multiLevelType w:val="hybridMultilevel"/>
    <w:lvl w:ilvl="0">
      <w:lvlJc w:val="left"/>
      <w:lvlText w:val="(%1)"/>
      <w:numFmt w:val="decimal"/>
      <w:start w:val="1"/>
    </w:lvl>
  </w:abstractNum>
  <w:abstractNum w:abstractNumId="241">
    <w:nsid w:val="13E21002"/>
    <w:multiLevelType w:val="hybridMultilevel"/>
    <w:lvl w:ilvl="0">
      <w:lvlJc w:val="left"/>
      <w:lvlText w:val="(%1)"/>
      <w:numFmt w:val="decimal"/>
      <w:start w:val="1"/>
    </w:lvl>
  </w:abstractNum>
  <w:abstractNum w:abstractNumId="242">
    <w:nsid w:val="257D63F4"/>
    <w:multiLevelType w:val="hybridMultilevel"/>
    <w:lvl w:ilvl="0">
      <w:lvlJc w:val="left"/>
      <w:lvlText w:val="(%1)"/>
      <w:numFmt w:val="decimal"/>
      <w:start w:val="1"/>
    </w:lvl>
  </w:abstractNum>
  <w:abstractNum w:abstractNumId="243">
    <w:nsid w:val="70EC11B2"/>
    <w:multiLevelType w:val="hybridMultilevel"/>
    <w:lvl w:ilvl="0">
      <w:lvlJc w:val="left"/>
      <w:lvlText w:val="(%1)"/>
      <w:numFmt w:val="decimal"/>
      <w:start w:val="1"/>
    </w:lvl>
  </w:abstractNum>
  <w:abstractNum w:abstractNumId="244">
    <w:nsid w:val="2EDA00ED"/>
    <w:multiLevelType w:val="hybridMultilevel"/>
    <w:lvl w:ilvl="0">
      <w:lvlJc w:val="left"/>
      <w:lvlText w:val="(%1)"/>
      <w:numFmt w:val="decimal"/>
      <w:start w:val="1"/>
    </w:lvl>
  </w:abstractNum>
  <w:abstractNum w:abstractNumId="245">
    <w:nsid w:val="73209072"/>
    <w:multiLevelType w:val="hybridMultilevel"/>
    <w:lvl w:ilvl="0">
      <w:lvlJc w:val="left"/>
      <w:lvlText w:val="(%1)"/>
      <w:numFmt w:val="decimal"/>
      <w:start w:val="2"/>
    </w:lvl>
  </w:abstractNum>
  <w:abstractNum w:abstractNumId="246">
    <w:nsid w:val="5FB29816"/>
    <w:multiLevelType w:val="hybridMultilevel"/>
    <w:lvl w:ilvl="0">
      <w:lvlJc w:val="left"/>
      <w:lvlText w:val="(%1)"/>
      <w:numFmt w:val="decimal"/>
      <w:start w:val="4"/>
    </w:lvl>
  </w:abstractNum>
  <w:abstractNum w:abstractNumId="247">
    <w:nsid w:val="3CE732EC"/>
    <w:multiLevelType w:val="hybridMultilevel"/>
    <w:lvl w:ilvl="0">
      <w:lvlJc w:val="left"/>
      <w:lvlText w:val="(%1)"/>
      <w:numFmt w:val="decimal"/>
      <w:start w:val="1"/>
    </w:lvl>
    <w:lvl w:ilvl="1">
      <w:lvlJc w:val="left"/>
      <w:lvlText w:val="(%2)"/>
      <w:numFmt w:val="lowerLetter"/>
      <w:start w:val="1"/>
    </w:lvl>
  </w:abstractNum>
  <w:abstractNum w:abstractNumId="248">
    <w:nsid w:val="22F13DF3"/>
    <w:multiLevelType w:val="hybridMultilevel"/>
    <w:lvl w:ilvl="0">
      <w:lvlJc w:val="left"/>
      <w:lvlText w:val="(%1)"/>
      <w:numFmt w:val="decimal"/>
      <w:start w:val="1"/>
    </w:lvl>
  </w:abstractNum>
  <w:abstractNum w:abstractNumId="249">
    <w:nsid w:val="792B8401"/>
    <w:multiLevelType w:val="hybridMultilevel"/>
    <w:lvl w:ilvl="0">
      <w:lvlJc w:val="left"/>
      <w:lvlText w:val="(%1)"/>
      <w:numFmt w:val="decimal"/>
      <w:start w:val="1"/>
    </w:lvl>
  </w:abstractNum>
  <w:abstractNum w:abstractNumId="250">
    <w:nsid w:val="FA85F4D"/>
    <w:multiLevelType w:val="hybridMultilevel"/>
    <w:lvl w:ilvl="0">
      <w:lvlJc w:val="left"/>
      <w:lvlText w:val="(%1)"/>
      <w:numFmt w:val="decimal"/>
      <w:start w:val="3"/>
    </w:lvl>
  </w:abstractNum>
  <w:abstractNum w:abstractNumId="251">
    <w:nsid w:val="6ECE91F0"/>
    <w:multiLevelType w:val="hybridMultilevel"/>
    <w:lvl w:ilvl="0">
      <w:lvlJc w:val="left"/>
      <w:lvlText w:val="(%1)"/>
      <w:numFmt w:val="decimal"/>
      <w:start w:val="1"/>
    </w:lvl>
  </w:abstractNum>
  <w:abstractNum w:abstractNumId="252">
    <w:nsid w:val="4FC4D600"/>
    <w:multiLevelType w:val="hybridMultilevel"/>
    <w:lvl w:ilvl="0">
      <w:lvlJc w:val="left"/>
      <w:lvlText w:val="(%1)"/>
      <w:numFmt w:val="decimal"/>
      <w:start w:val="1"/>
    </w:lvl>
  </w:abstractNum>
  <w:abstractNum w:abstractNumId="253">
    <w:nsid w:val="5BFD4210"/>
    <w:multiLevelType w:val="hybridMultilevel"/>
    <w:lvl w:ilvl="0">
      <w:lvlJc w:val="left"/>
      <w:lvlText w:val="(%1)"/>
      <w:numFmt w:val="decimal"/>
      <w:start w:val="1"/>
    </w:lvl>
  </w:abstractNum>
  <w:abstractNum w:abstractNumId="254">
    <w:nsid w:val="76574F8B"/>
    <w:multiLevelType w:val="hybridMultilevel"/>
    <w:lvl w:ilvl="0">
      <w:lvlJc w:val="left"/>
      <w:lvlText w:val="(%1)"/>
      <w:numFmt w:val="decimal"/>
      <w:start w:val="1"/>
    </w:lvl>
  </w:abstractNum>
  <w:abstractNum w:abstractNumId="255">
    <w:nsid w:val="178F7B67"/>
    <w:multiLevelType w:val="hybridMultilevel"/>
    <w:lvl w:ilvl="0">
      <w:lvlJc w:val="left"/>
      <w:lvlText w:val="(%1)"/>
      <w:numFmt w:val="decimal"/>
      <w:start w:val="1"/>
    </w:lvl>
  </w:abstractNum>
  <w:abstractNum w:abstractNumId="256">
    <w:nsid w:val="2421DFCF"/>
    <w:multiLevelType w:val="hybridMultilevel"/>
    <w:lvl w:ilvl="0">
      <w:lvlJc w:val="left"/>
      <w:lvlText w:val="(%1)"/>
      <w:numFmt w:val="decimal"/>
      <w:start w:val="1"/>
    </w:lvl>
  </w:abstractNum>
  <w:abstractNum w:abstractNumId="257">
    <w:nsid w:val="1565AC99"/>
    <w:multiLevelType w:val="hybridMultilevel"/>
    <w:lvl w:ilvl="0">
      <w:lvlJc w:val="left"/>
      <w:lvlText w:val="(%1)"/>
      <w:numFmt w:val="decimal"/>
      <w:start w:val="1"/>
    </w:lvl>
  </w:abstractNum>
  <w:abstractNum w:abstractNumId="258">
    <w:nsid w:val="19FB2650"/>
    <w:multiLevelType w:val="hybridMultilevel"/>
    <w:lvl w:ilvl="0">
      <w:lvlJc w:val="left"/>
      <w:lvlText w:val="(%1)"/>
      <w:numFmt w:val="decimal"/>
      <w:start w:val="2"/>
    </w:lvl>
  </w:abstractNum>
  <w:abstractNum w:abstractNumId="259">
    <w:nsid w:val="5024DE5B"/>
    <w:multiLevelType w:val="hybridMultilevel"/>
    <w:lvl w:ilvl="0">
      <w:lvlJc w:val="left"/>
      <w:lvlText w:val="(%1)"/>
      <w:numFmt w:val="decimal"/>
      <w:start w:val="1"/>
    </w:lvl>
  </w:abstractNum>
  <w:abstractNum w:abstractNumId="260">
    <w:nsid w:val="168EFE17"/>
    <w:multiLevelType w:val="hybridMultilevel"/>
    <w:lvl w:ilvl="0">
      <w:lvlJc w:val="left"/>
      <w:lvlText w:val="(%1)"/>
      <w:numFmt w:val="decimal"/>
      <w:start w:val="1"/>
    </w:lvl>
  </w:abstractNum>
  <w:abstractNum w:abstractNumId="261">
    <w:nsid w:val="1036B29F"/>
    <w:multiLevelType w:val="hybridMultilevel"/>
    <w:lvl w:ilvl="0">
      <w:lvlJc w:val="left"/>
      <w:lvlText w:val="(%1)"/>
      <w:numFmt w:val="decimal"/>
      <w:start w:val="2"/>
    </w:lvl>
  </w:abstractNum>
  <w:abstractNum w:abstractNumId="262">
    <w:nsid w:val="1D206B8E"/>
    <w:multiLevelType w:val="hybridMultilevel"/>
    <w:lvl w:ilvl="0">
      <w:lvlJc w:val="left"/>
      <w:lvlText w:val="(%1)"/>
      <w:numFmt w:val="decimal"/>
      <w:start w:val="1"/>
    </w:lvl>
  </w:abstractNum>
  <w:abstractNum w:abstractNumId="263">
    <w:nsid w:val="7934D3D4"/>
    <w:multiLevelType w:val="hybridMultilevel"/>
    <w:lvl w:ilvl="0">
      <w:lvlJc w:val="left"/>
      <w:lvlText w:val="(%1)"/>
      <w:numFmt w:val="decimal"/>
      <w:start w:val="1"/>
    </w:lvl>
  </w:abstractNum>
  <w:abstractNum w:abstractNumId="264">
    <w:nsid w:val="1C65E98"/>
    <w:multiLevelType w:val="hybridMultilevel"/>
    <w:lvl w:ilvl="0">
      <w:lvlJc w:val="left"/>
      <w:lvlText w:val="(%1)"/>
      <w:numFmt w:val="decimal"/>
      <w:start w:val="1"/>
    </w:lvl>
  </w:abstractNum>
  <w:abstractNum w:abstractNumId="265">
    <w:nsid w:val="1495E50A"/>
    <w:multiLevelType w:val="hybridMultilevel"/>
    <w:lvl w:ilvl="0">
      <w:lvlJc w:val="left"/>
      <w:lvlText w:val="(%1)"/>
      <w:numFmt w:val="decimal"/>
      <w:start w:val="1"/>
    </w:lvl>
  </w:abstractNum>
  <w:abstractNum w:abstractNumId="266">
    <w:nsid w:val="F5BCF61"/>
    <w:multiLevelType w:val="hybridMultilevel"/>
    <w:lvl w:ilvl="0">
      <w:lvlJc w:val="left"/>
      <w:lvlText w:val="(%1)"/>
      <w:numFmt w:val="decimal"/>
      <w:start w:val="6"/>
    </w:lvl>
  </w:abstractNum>
  <w:abstractNum w:abstractNumId="267">
    <w:nsid w:val="3B1DD403"/>
    <w:multiLevelType w:val="hybridMultilevel"/>
    <w:lvl w:ilvl="0">
      <w:lvlJc w:val="left"/>
      <w:lvlText w:val="(%1)"/>
      <w:numFmt w:val="decimal"/>
      <w:start w:val="1"/>
    </w:lvl>
    <w:lvl w:ilvl="1">
      <w:lvlJc w:val="left"/>
      <w:lvlText w:val="(%2)"/>
      <w:numFmt w:val="lowerLetter"/>
      <w:start w:val="1"/>
    </w:lvl>
  </w:abstractNum>
  <w:abstractNum w:abstractNumId="268">
    <w:nsid w:val="530386D1"/>
    <w:multiLevelType w:val="hybridMultilevel"/>
    <w:lvl w:ilvl="0">
      <w:lvlJc w:val="left"/>
      <w:lvlText w:val="(%1)"/>
      <w:numFmt w:val="decimal"/>
      <w:start w:val="3"/>
    </w:lvl>
    <w:lvl w:ilvl="1">
      <w:lvlJc w:val="left"/>
      <w:lvlText w:val="(%2)"/>
      <w:numFmt w:val="lowerLetter"/>
      <w:start w:val="1"/>
    </w:lvl>
  </w:abstractNum>
  <w:abstractNum w:abstractNumId="269">
    <w:nsid w:val="7525F2BC"/>
    <w:multiLevelType w:val="hybridMultilevel"/>
    <w:lvl w:ilvl="0">
      <w:lvlJc w:val="left"/>
      <w:lvlText w:val="(%1)"/>
      <w:numFmt w:val="decimal"/>
      <w:start w:val="5"/>
    </w:lvl>
  </w:abstractNum>
  <w:abstractNum w:abstractNumId="270">
    <w:nsid w:val="CE8E1A7"/>
    <w:multiLevelType w:val="hybridMultilevel"/>
    <w:lvl w:ilvl="0">
      <w:lvlJc w:val="left"/>
      <w:lvlText w:val="(%1)"/>
      <w:numFmt w:val="decimal"/>
      <w:start w:val="1"/>
    </w:lvl>
    <w:lvl w:ilvl="1">
      <w:lvlJc w:val="left"/>
      <w:lvlText w:val="(%2)"/>
      <w:numFmt w:val="lowerLetter"/>
      <w:start w:val="1"/>
    </w:lvl>
  </w:abstractNum>
  <w:abstractNum w:abstractNumId="271">
    <w:nsid w:val="4E9EFB0D"/>
    <w:multiLevelType w:val="hybridMultilevel"/>
    <w:lvl w:ilvl="0">
      <w:lvlJc w:val="left"/>
      <w:lvlText w:val="(%1)"/>
      <w:numFmt w:val="decimal"/>
      <w:start w:val="4"/>
    </w:lvl>
  </w:abstractNum>
  <w:abstractNum w:abstractNumId="272">
    <w:nsid w:val="90802BE"/>
    <w:multiLevelType w:val="hybridMultilevel"/>
    <w:lvl w:ilvl="0">
      <w:lvlJc w:val="left"/>
      <w:lvlText w:val="(%1)"/>
      <w:numFmt w:val="decimal"/>
      <w:start w:val="6"/>
    </w:lvl>
    <w:lvl w:ilvl="1">
      <w:lvlJc w:val="left"/>
      <w:lvlText w:val="(%2)"/>
      <w:numFmt w:val="lowerLetter"/>
      <w:start w:val="1"/>
    </w:lvl>
  </w:abstractNum>
  <w:abstractNum w:abstractNumId="273">
    <w:nsid w:val="3266459B"/>
    <w:multiLevelType w:val="hybridMultilevel"/>
    <w:lvl w:ilvl="0">
      <w:lvlJc w:val="left"/>
      <w:lvlText w:val="(%1)"/>
      <w:numFmt w:val="decimal"/>
      <w:start w:val="20"/>
    </w:lvl>
  </w:abstractNum>
  <w:abstractNum w:abstractNumId="274">
    <w:nsid w:val="3F8B0CBF"/>
    <w:multiLevelType w:val="hybridMultilevel"/>
    <w:lvl w:ilvl="0">
      <w:lvlJc w:val="left"/>
      <w:lvlText w:val="%1"/>
      <w:numFmt w:val="decimal"/>
      <w:start w:val="1"/>
    </w:lvl>
    <w:lvl w:ilvl="1">
      <w:lvlJc w:val="left"/>
      <w:lvlText w:val="(%2)"/>
      <w:numFmt w:val="lowerLetter"/>
      <w:start w:val="1"/>
    </w:lvl>
  </w:abstractNum>
  <w:abstractNum w:abstractNumId="275">
    <w:nsid w:val="37E203AB"/>
    <w:multiLevelType w:val="hybridMultilevel"/>
    <w:lvl w:ilvl="0">
      <w:lvlJc w:val="left"/>
      <w:lvlText w:val="(%1)"/>
      <w:numFmt w:val="decimal"/>
      <w:start w:val="23"/>
    </w:lvl>
    <w:lvl w:ilvl="1">
      <w:lvlJc w:val="left"/>
      <w:lvlText w:val="%2"/>
      <w:numFmt w:val="lowerLetter"/>
      <w:start w:val="1"/>
    </w:lvl>
  </w:abstractNum>
  <w:abstractNum w:abstractNumId="276">
    <w:nsid w:val="2586D60E"/>
    <w:multiLevelType w:val="hybridMultilevel"/>
    <w:lvl w:ilvl="0">
      <w:lvlJc w:val="left"/>
      <w:lvlText w:val="(%1)"/>
      <w:numFmt w:val="decimal"/>
      <w:start w:val="1"/>
    </w:lvl>
  </w:abstractNum>
  <w:abstractNum w:abstractNumId="277">
    <w:nsid w:val="1F3DA4D5"/>
    <w:multiLevelType w:val="hybridMultilevel"/>
    <w:lvl w:ilvl="0">
      <w:lvlJc w:val="left"/>
      <w:lvlText w:val="(%1)"/>
      <w:numFmt w:val="decimal"/>
      <w:start w:val="1"/>
    </w:lvl>
  </w:abstractNum>
  <w:abstractNum w:abstractNumId="278">
    <w:nsid w:val="74C93698"/>
    <w:multiLevelType w:val="hybridMultilevel"/>
    <w:lvl w:ilvl="0">
      <w:lvlJc w:val="left"/>
      <w:lvlText w:val="(%1)"/>
      <w:numFmt w:val="decimal"/>
      <w:start w:val="1"/>
    </w:lvl>
  </w:abstractNum>
  <w:abstractNum w:abstractNumId="279">
    <w:nsid w:val="48781401"/>
    <w:multiLevelType w:val="hybridMultilevel"/>
    <w:lvl w:ilvl="0">
      <w:lvlJc w:val="left"/>
      <w:lvlText w:val="(%1)"/>
      <w:numFmt w:val="decimal"/>
      <w:start w:val="1"/>
    </w:lvl>
  </w:abstractNum>
  <w:abstractNum w:abstractNumId="280">
    <w:nsid w:val="186928D6"/>
    <w:multiLevelType w:val="hybridMultilevel"/>
    <w:lvl w:ilvl="0">
      <w:lvlJc w:val="left"/>
      <w:lvlText w:val="(%1)"/>
      <w:numFmt w:val="decimal"/>
      <w:start w:val="1"/>
    </w:lvl>
  </w:abstractNum>
  <w:abstractNum w:abstractNumId="281">
    <w:nsid w:val="47195E5"/>
    <w:multiLevelType w:val="hybridMultilevel"/>
    <w:lvl w:ilvl="0">
      <w:lvlJc w:val="left"/>
      <w:lvlText w:val="(%1)"/>
      <w:numFmt w:val="decimal"/>
      <w:start w:val="1"/>
    </w:lvl>
    <w:lvl w:ilvl="1">
      <w:lvlJc w:val="left"/>
      <w:lvlText w:val="(%2)"/>
      <w:numFmt w:val="lowerLetter"/>
      <w:start w:val="1"/>
    </w:lvl>
  </w:abstractNum>
  <w:abstractNum w:abstractNumId="282">
    <w:nsid w:val="3746A5F2"/>
    <w:multiLevelType w:val="hybridMultilevel"/>
    <w:lvl w:ilvl="0">
      <w:lvlJc w:val="left"/>
      <w:lvlText w:val="(%1)"/>
      <w:numFmt w:val="decimal"/>
      <w:start w:val="1"/>
    </w:lvl>
  </w:abstractNum>
  <w:abstractNum w:abstractNumId="283">
    <w:nsid w:val="682DFED6"/>
    <w:multiLevelType w:val="hybridMultilevel"/>
    <w:lvl w:ilvl="0">
      <w:lvlJc w:val="left"/>
      <w:lvlText w:val="(%1)"/>
      <w:numFmt w:val="decimal"/>
      <w:start w:val="1"/>
    </w:lvl>
  </w:abstractNum>
  <w:abstractNum w:abstractNumId="284">
    <w:nsid w:val="606ED7F6"/>
    <w:multiLevelType w:val="hybridMultilevel"/>
    <w:lvl w:ilvl="0">
      <w:lvlJc w:val="left"/>
      <w:lvlText w:val="(%1)"/>
      <w:numFmt w:val="decimal"/>
      <w:start w:val="1"/>
    </w:lvl>
  </w:abstractNum>
  <w:abstractNum w:abstractNumId="285">
    <w:nsid w:val="2D9DF57D"/>
    <w:multiLevelType w:val="hybridMultilevel"/>
    <w:lvl w:ilvl="0">
      <w:lvlJc w:val="left"/>
      <w:lvlText w:val="(%1)"/>
      <w:numFmt w:val="decimal"/>
      <w:start w:val="1"/>
    </w:lvl>
  </w:abstractNum>
  <w:abstractNum w:abstractNumId="286">
    <w:nsid w:val="7FBD7A3E"/>
    <w:multiLevelType w:val="hybridMultilevel"/>
    <w:lvl w:ilvl="0">
      <w:lvlJc w:val="left"/>
      <w:lvlText w:val="(%1)"/>
      <w:numFmt w:val="decimal"/>
      <w:start w:val="1"/>
    </w:lvl>
  </w:abstractNum>
  <w:abstractNum w:abstractNumId="287">
    <w:nsid w:val="490B7C5"/>
    <w:multiLevelType w:val="hybridMultilevel"/>
    <w:lvl w:ilvl="0">
      <w:lvlJc w:val="left"/>
      <w:lvlText w:val="(%1)"/>
      <w:numFmt w:val="decimal"/>
      <w:start w:val="1"/>
    </w:lvl>
  </w:abstractNum>
  <w:abstractNum w:abstractNumId="288">
    <w:nsid w:val="4303A216"/>
    <w:multiLevelType w:val="hybridMultilevel"/>
    <w:lvl w:ilvl="0">
      <w:lvlJc w:val="left"/>
      <w:lvlText w:val="%1"/>
      <w:numFmt w:val="decimal"/>
      <w:start w:val="1"/>
    </w:lvl>
    <w:lvl w:ilvl="1">
      <w:lvlJc w:val="left"/>
      <w:lvlText w:val="(%2)"/>
      <w:numFmt w:val="lowerLetter"/>
      <w:start w:val="1"/>
    </w:lvl>
  </w:abstractNum>
  <w:abstractNum w:abstractNumId="289">
    <w:nsid w:val="19B8A08E"/>
    <w:multiLevelType w:val="hybridMultilevel"/>
    <w:lvl w:ilvl="0">
      <w:lvlJc w:val="left"/>
      <w:lvlText w:val="(%1)"/>
      <w:numFmt w:val="decimal"/>
      <w:start w:val="3"/>
    </w:lvl>
    <w:lvl w:ilvl="1">
      <w:lvlJc w:val="left"/>
      <w:lvlText w:val="%2"/>
      <w:numFmt w:val="lowerLetter"/>
      <w:start w:val="1"/>
    </w:lvl>
  </w:abstractNum>
  <w:abstractNum w:abstractNumId="290">
    <w:nsid w:val="54B59621"/>
    <w:multiLevelType w:val="hybridMultilevel"/>
    <w:lvl w:ilvl="0">
      <w:lvlJc w:val="left"/>
      <w:lvlText w:val="(%1)"/>
      <w:numFmt w:val="decimal"/>
      <w:start w:val="1"/>
    </w:lvl>
  </w:abstractNum>
  <w:abstractNum w:abstractNumId="291">
    <w:nsid w:val="5992A02E"/>
    <w:multiLevelType w:val="hybridMultilevel"/>
    <w:lvl w:ilvl="0">
      <w:lvlJc w:val="left"/>
      <w:lvlText w:val="(%1)"/>
      <w:numFmt w:val="decimal"/>
      <w:start w:val="1"/>
    </w:lvl>
  </w:abstractNum>
  <w:abstractNum w:abstractNumId="292">
    <w:nsid w:val="29EF532D"/>
    <w:multiLevelType w:val="hybridMultilevel"/>
    <w:lvl w:ilvl="0">
      <w:lvlJc w:val="left"/>
      <w:lvlText w:val="•"/>
      <w:numFmt w:val="bullet"/>
      <w:start w:val="1"/>
    </w:lvl>
  </w:abstractNum>
  <w:abstractNum w:abstractNumId="293">
    <w:nsid w:val="71D601AF"/>
    <w:multiLevelType w:val="hybridMultilevel"/>
    <w:lvl w:ilvl="0">
      <w:lvlJc w:val="left"/>
      <w:lvlText w:val="•"/>
      <w:numFmt w:val="bullet"/>
      <w:start w:val="1"/>
    </w:lvl>
  </w:abstractNum>
  <w:abstractNum w:abstractNumId="294">
    <w:nsid w:val="52C77402"/>
    <w:multiLevelType w:val="hybridMultilevel"/>
    <w:lvl w:ilvl="0">
      <w:lvlJc w:val="left"/>
      <w:lvlText w:val="•"/>
      <w:numFmt w:val="bullet"/>
      <w:start w:val="1"/>
    </w:lvl>
  </w:abstractNum>
  <w:abstractNum w:abstractNumId="295">
    <w:nsid w:val="2BB5B1C6"/>
    <w:multiLevelType w:val="hybridMultilevel"/>
    <w:lvl w:ilvl="0">
      <w:lvlJc w:val="left"/>
      <w:lvlText w:val="•"/>
      <w:numFmt w:val="bullet"/>
      <w:start w:val="1"/>
    </w:lvl>
  </w:abstractNum>
  <w:abstractNum w:abstractNumId="296">
    <w:nsid w:val="66BE6B9"/>
    <w:multiLevelType w:val="hybridMultilevel"/>
    <w:lvl w:ilvl="0">
      <w:lvlJc w:val="left"/>
      <w:lvlText w:val="•"/>
      <w:numFmt w:val="bullet"/>
      <w:start w:val="1"/>
    </w:lvl>
  </w:abstractNum>
  <w:abstractNum w:abstractNumId="297">
    <w:nsid w:val="62234363"/>
    <w:multiLevelType w:val="hybridMultilevel"/>
    <w:lvl w:ilvl="0">
      <w:lvlJc w:val="left"/>
      <w:lvlText w:val="•"/>
      <w:numFmt w:val="bullet"/>
      <w:start w:val="1"/>
    </w:lvl>
  </w:abstractNum>
  <w:abstractNum w:abstractNumId="298">
    <w:nsid w:val="66D385C9"/>
    <w:multiLevelType w:val="hybridMultilevel"/>
    <w:lvl w:ilvl="0">
      <w:lvlJc w:val="left"/>
      <w:lvlText w:val="•"/>
      <w:numFmt w:val="bullet"/>
      <w:start w:val="1"/>
    </w:lvl>
  </w:abstractNum>
  <w:abstractNum w:abstractNumId="299">
    <w:nsid w:val="596F6D8A"/>
    <w:multiLevelType w:val="hybridMultilevel"/>
    <w:lvl w:ilvl="0">
      <w:lvlJc w:val="left"/>
      <w:lvlText w:val="•"/>
      <w:numFmt w:val="bullet"/>
      <w:start w:val="1"/>
    </w:lvl>
  </w:abstractNum>
  <w:abstractNum w:abstractNumId="300">
    <w:nsid w:val="5749361F"/>
    <w:multiLevelType w:val="hybridMultilevel"/>
    <w:lvl w:ilvl="0">
      <w:lvlJc w:val="left"/>
      <w:lvlText w:val="•"/>
      <w:numFmt w:val="bullet"/>
      <w:start w:val="1"/>
    </w:lvl>
  </w:abstractNum>
  <w:abstractNum w:abstractNumId="301">
    <w:nsid w:val="73BC6770"/>
    <w:multiLevelType w:val="hybridMultilevel"/>
    <w:lvl w:ilvl="0">
      <w:lvlJc w:val="left"/>
      <w:lvlText w:val="•"/>
      <w:numFmt w:val="bullet"/>
      <w:start w:val="1"/>
    </w:lvl>
  </w:abstractNum>
  <w:abstractNum w:abstractNumId="302">
    <w:nsid w:val="280E6897"/>
    <w:multiLevelType w:val="hybridMultilevel"/>
    <w:lvl w:ilvl="0">
      <w:lvlJc w:val="left"/>
      <w:lvlText w:val="•"/>
      <w:numFmt w:val="bullet"/>
      <w:start w:val="1"/>
    </w:lvl>
  </w:abstractNum>
  <w:abstractNum w:abstractNumId="303">
    <w:nsid w:val="605138DE"/>
    <w:multiLevelType w:val="hybridMultilevel"/>
    <w:lvl w:ilvl="0">
      <w:lvlJc w:val="left"/>
      <w:lvlText w:val="•"/>
      <w:numFmt w:val="bullet"/>
      <w:start w:val="1"/>
    </w:lvl>
    <w:lvl w:ilvl="1">
      <w:lvlJc w:val="left"/>
      <w:lvlText w:val="(%2)"/>
      <w:numFmt w:val="decimal"/>
      <w:start w:val="1"/>
    </w:lvl>
  </w:abstractNum>
  <w:abstractNum w:abstractNumId="304">
    <w:nsid w:val="2622AD0C"/>
    <w:multiLevelType w:val="hybridMultilevel"/>
    <w:lvl w:ilvl="0">
      <w:lvlJc w:val="left"/>
      <w:lvlText w:val="•"/>
      <w:numFmt w:val="bullet"/>
      <w:start w:val="1"/>
    </w:lvl>
    <w:lvl w:ilvl="1">
      <w:lvlJc w:val="left"/>
      <w:lvlText w:val="(%2)"/>
      <w:numFmt w:val="decimal"/>
      <w:start w:val="1"/>
    </w:lvl>
  </w:abstractNum>
  <w:abstractNum w:abstractNumId="305">
    <w:nsid w:val="67997556"/>
    <w:multiLevelType w:val="hybridMultilevel"/>
    <w:lvl w:ilvl="0">
      <w:lvlJc w:val="left"/>
      <w:lvlText w:val="•"/>
      <w:numFmt w:val="bullet"/>
      <w:start w:val="1"/>
    </w:lvl>
    <w:lvl w:ilvl="1">
      <w:lvlJc w:val="left"/>
      <w:lvlText w:val="(%2)"/>
      <w:numFmt w:val="decimal"/>
      <w:start w:val="3"/>
    </w:lvl>
  </w:abstractNum>
  <w:abstractNum w:abstractNumId="306">
    <w:nsid w:val="18333C89"/>
    <w:multiLevelType w:val="hybridMultilevel"/>
    <w:lvl w:ilvl="0">
      <w:lvlJc w:val="left"/>
      <w:lvlText w:val="•"/>
      <w:numFmt w:val="bullet"/>
      <w:start w:val="1"/>
    </w:lvl>
  </w:abstractNum>
  <w:abstractNum w:abstractNumId="307">
    <w:nsid w:val="4BA9831A"/>
    <w:multiLevelType w:val="hybridMultilevel"/>
    <w:lvl w:ilvl="0">
      <w:lvlJc w:val="left"/>
      <w:lvlText w:val="•"/>
      <w:numFmt w:val="bullet"/>
      <w:start w:val="1"/>
    </w:lvl>
  </w:abstractNum>
  <w:abstractNum w:abstractNumId="308">
    <w:nsid w:val="6D71A2B"/>
    <w:multiLevelType w:val="hybridMultilevel"/>
    <w:lvl w:ilvl="0">
      <w:lvlJc w:val="left"/>
      <w:lvlText w:val="•"/>
      <w:numFmt w:val="bullet"/>
      <w:start w:val="1"/>
    </w:lvl>
  </w:abstractNum>
  <w:abstractNum w:abstractNumId="309">
    <w:nsid w:val="CFC7321"/>
    <w:multiLevelType w:val="hybridMultilevel"/>
    <w:lvl w:ilvl="0">
      <w:lvlJc w:val="left"/>
      <w:lvlText w:val="•"/>
      <w:numFmt w:val="bullet"/>
      <w:start w:val="1"/>
    </w:lvl>
  </w:abstractNum>
  <w:abstractNum w:abstractNumId="310">
    <w:nsid w:val="1421971B"/>
    <w:multiLevelType w:val="hybridMultilevel"/>
    <w:lvl w:ilvl="0">
      <w:lvlJc w:val="left"/>
      <w:lvlText w:val="•"/>
      <w:numFmt w:val="bullet"/>
      <w:start w:val="1"/>
    </w:lvl>
    <w:lvl w:ilvl="1">
      <w:lvlJc w:val="left"/>
      <w:lvlText w:val="•"/>
      <w:numFmt w:val="bullet"/>
      <w:start w:val="1"/>
    </w:lvl>
  </w:abstractNum>
  <w:abstractNum w:abstractNumId="311">
    <w:nsid w:val="1F404301"/>
    <w:multiLevelType w:val="hybridMultilevel"/>
    <w:lvl w:ilvl="0">
      <w:lvlJc w:val="left"/>
      <w:lvlText w:val="•"/>
      <w:numFmt w:val="bullet"/>
      <w:start w:val="1"/>
    </w:lvl>
  </w:abstractNum>
  <w:abstractNum w:abstractNumId="312">
    <w:nsid w:val="116E0907"/>
    <w:multiLevelType w:val="hybridMultilevel"/>
    <w:lvl w:ilvl="0">
      <w:lvlJc w:val="left"/>
      <w:lvlText w:val="•"/>
      <w:numFmt w:val="bullet"/>
      <w:start w:val="1"/>
    </w:lvl>
  </w:abstractNum>
  <w:abstractNum w:abstractNumId="313">
    <w:nsid w:val="4B683D0D"/>
    <w:multiLevelType w:val="hybridMultilevel"/>
    <w:lvl w:ilvl="0">
      <w:lvlJc w:val="left"/>
      <w:lvlText w:val="•"/>
      <w:numFmt w:val="bullet"/>
      <w:start w:val="1"/>
    </w:lvl>
  </w:abstractNum>
  <w:abstractNum w:abstractNumId="314">
    <w:nsid w:val="76E41D8"/>
    <w:multiLevelType w:val="hybridMultilevel"/>
    <w:lvl w:ilvl="0">
      <w:lvlJc w:val="left"/>
      <w:lvlText w:val="•"/>
      <w:numFmt w:val="bullet"/>
      <w:start w:val="1"/>
    </w:lvl>
  </w:abstractNum>
  <w:abstractNum w:abstractNumId="315">
    <w:nsid w:val="71DCE0FD"/>
    <w:multiLevelType w:val="hybridMultilevel"/>
    <w:lvl w:ilvl="0">
      <w:lvlJc w:val="left"/>
      <w:lvlText w:val="•"/>
      <w:numFmt w:val="bullet"/>
      <w:start w:val="1"/>
    </w:lvl>
  </w:abstractNum>
  <w:abstractNum w:abstractNumId="316">
    <w:nsid w:val="7906328B"/>
    <w:multiLevelType w:val="hybridMultilevel"/>
    <w:lvl w:ilvl="0">
      <w:lvlJc w:val="left"/>
      <w:lvlText w:val="•"/>
      <w:numFmt w:val="bullet"/>
      <w:start w:val="1"/>
    </w:lvl>
  </w:abstractNum>
  <w:abstractNum w:abstractNumId="317">
    <w:nsid w:val="72BBC16"/>
    <w:multiLevelType w:val="hybridMultilevel"/>
    <w:lvl w:ilvl="0">
      <w:lvlJc w:val="left"/>
      <w:lvlText w:val="•"/>
      <w:numFmt w:val="bullet"/>
      <w:start w:val="1"/>
    </w:lvl>
  </w:abstractNum>
  <w:abstractNum w:abstractNumId="318">
    <w:nsid w:val="766D98C2"/>
    <w:multiLevelType w:val="hybridMultilevel"/>
    <w:lvl w:ilvl="0">
      <w:lvlJc w:val="left"/>
      <w:lvlText w:val="•"/>
      <w:numFmt w:val="bullet"/>
      <w:start w:val="1"/>
    </w:lvl>
    <w:lvl w:ilvl="1">
      <w:lvlJc w:val="left"/>
      <w:lvlText w:val="(%2)"/>
      <w:numFmt w:val="decimal"/>
      <w:start w:val="1"/>
    </w:lvl>
  </w:abstractNum>
  <w:abstractNum w:abstractNumId="319">
    <w:nsid w:val="3C09D4A1"/>
    <w:multiLevelType w:val="hybridMultilevel"/>
    <w:lvl w:ilvl="0">
      <w:lvlJc w:val="left"/>
      <w:lvlText w:val="•"/>
      <w:numFmt w:val="bullet"/>
      <w:start w:val="1"/>
    </w:lvl>
    <w:lvl w:ilvl="1">
      <w:lvlJc w:val="left"/>
      <w:lvlText w:val="(%2)"/>
      <w:numFmt w:val="decimal"/>
      <w:start w:val="4"/>
    </w:lvl>
  </w:abstractNum>
  <w:abstractNum w:abstractNumId="320">
    <w:nsid w:val="20E45CA4"/>
    <w:multiLevelType w:val="hybridMultilevel"/>
    <w:lvl w:ilvl="0">
      <w:lvlJc w:val="left"/>
      <w:lvlText w:val="•"/>
      <w:numFmt w:val="bullet"/>
      <w:start w:val="1"/>
    </w:lvl>
  </w:abstractNum>
  <w:abstractNum w:abstractNumId="321">
    <w:nsid w:val="4B232EE3"/>
    <w:multiLevelType w:val="hybridMultilevel"/>
    <w:lvl w:ilvl="0">
      <w:lvlJc w:val="left"/>
      <w:lvlText w:val="•"/>
      <w:numFmt w:val="bullet"/>
      <w:start w:val="1"/>
    </w:lvl>
  </w:abstractNum>
  <w:abstractNum w:abstractNumId="322">
    <w:nsid w:val="159C74CF"/>
    <w:multiLevelType w:val="hybridMultilevel"/>
    <w:lvl w:ilvl="0">
      <w:lvlJc w:val="left"/>
      <w:lvlText w:val="•"/>
      <w:numFmt w:val="bullet"/>
      <w:start w:val="1"/>
    </w:lvl>
  </w:abstractNum>
  <w:abstractNum w:abstractNumId="323">
    <w:nsid w:val="4AD3AFD2"/>
    <w:multiLevelType w:val="hybridMultilevel"/>
    <w:lvl w:ilvl="0">
      <w:lvlJc w:val="left"/>
      <w:lvlText w:val="•"/>
      <w:numFmt w:val="bullet"/>
      <w:start w:val="1"/>
    </w:lvl>
  </w:abstractNum>
  <w:abstractNum w:abstractNumId="324">
    <w:nsid w:val="3CF93092"/>
    <w:multiLevelType w:val="hybridMultilevel"/>
    <w:lvl w:ilvl="0">
      <w:lvlJc w:val="left"/>
      <w:lvlText w:val="•"/>
      <w:numFmt w:val="bullet"/>
      <w:start w:val="1"/>
    </w:lvl>
  </w:abstractNum>
  <w:abstractNum w:abstractNumId="325">
    <w:nsid w:val="6863E8D2"/>
    <w:multiLevelType w:val="hybridMultilevel"/>
    <w:lvl w:ilvl="0">
      <w:lvlJc w:val="left"/>
      <w:lvlText w:val="•"/>
      <w:numFmt w:val="bullet"/>
      <w:start w:val="1"/>
    </w:lvl>
    <w:lvl w:ilvl="1">
      <w:lvlJc w:val="left"/>
      <w:lvlText w:val="(%2)"/>
      <w:numFmt w:val="decimal"/>
      <w:start w:val="1"/>
    </w:lvl>
  </w:abstractNum>
  <w:abstractNum w:abstractNumId="326">
    <w:nsid w:val="76896198"/>
    <w:multiLevelType w:val="hybridMultilevel"/>
    <w:lvl w:ilvl="0">
      <w:lvlJc w:val="left"/>
      <w:lvlText w:val="•"/>
      <w:numFmt w:val="bullet"/>
      <w:start w:val="1"/>
    </w:lvl>
  </w:abstractNum>
  <w:abstractNum w:abstractNumId="327">
    <w:nsid w:val="4365174B"/>
    <w:multiLevelType w:val="hybridMultilevel"/>
    <w:lvl w:ilvl="0">
      <w:lvlJc w:val="left"/>
      <w:lvlText w:val="•"/>
      <w:numFmt w:val="bullet"/>
      <w:start w:val="1"/>
    </w:lvl>
  </w:abstractNum>
  <w:abstractNum w:abstractNumId="328">
    <w:nsid w:val="4A872C35"/>
    <w:multiLevelType w:val="hybridMultilevel"/>
    <w:lvl w:ilvl="0">
      <w:lvlJc w:val="left"/>
      <w:lvlText w:val="•"/>
      <w:numFmt w:val="bullet"/>
      <w:start w:val="1"/>
    </w:lvl>
  </w:abstractNum>
  <w:abstractNum w:abstractNumId="329">
    <w:nsid w:val="5D5CE761"/>
    <w:multiLevelType w:val="hybridMultilevel"/>
    <w:lvl w:ilvl="0">
      <w:lvlJc w:val="left"/>
      <w:lvlText w:val="•"/>
      <w:numFmt w:val="bullet"/>
      <w:start w:val="1"/>
    </w:lvl>
  </w:abstractNum>
  <w:abstractNum w:abstractNumId="330">
    <w:nsid w:val="1CD484D5"/>
    <w:multiLevelType w:val="hybridMultilevel"/>
    <w:lvl w:ilvl="0">
      <w:lvlJc w:val="left"/>
      <w:lvlText w:val="•"/>
      <w:numFmt w:val="bullet"/>
      <w:start w:val="1"/>
    </w:lvl>
  </w:abstractNum>
  <w:abstractNum w:abstractNumId="331">
    <w:nsid w:val="21D06255"/>
    <w:multiLevelType w:val="hybridMultilevel"/>
    <w:lvl w:ilvl="0">
      <w:lvlJc w:val="left"/>
      <w:lvlText w:val="(%1)"/>
      <w:numFmt w:val="decimal"/>
      <w:start w:val="1"/>
    </w:lvl>
  </w:abstractNum>
  <w:abstractNum w:abstractNumId="332">
    <w:nsid w:val="51194ED1"/>
    <w:multiLevelType w:val="hybridMultilevel"/>
    <w:lvl w:ilvl="0">
      <w:lvlJc w:val="left"/>
      <w:lvlText w:val="(%1)"/>
      <w:numFmt w:val="decimal"/>
      <w:start w:val="1"/>
    </w:lvl>
  </w:abstractNum>
  <w:abstractNum w:abstractNumId="333">
    <w:nsid w:val="44E2ED6C"/>
    <w:multiLevelType w:val="hybridMultilevel"/>
    <w:lvl w:ilvl="0">
      <w:lvlJc w:val="left"/>
      <w:lvlText w:val="(%1)"/>
      <w:numFmt w:val="lowerRoman"/>
      <w:start w:val="2"/>
    </w:lvl>
  </w:abstractNum>
  <w:abstractNum w:abstractNumId="334">
    <w:nsid w:val="2219B33"/>
    <w:multiLevelType w:val="hybridMultilevel"/>
    <w:lvl w:ilvl="0">
      <w:lvlJc w:val="left"/>
      <w:lvlText w:val="(%1)"/>
      <w:numFmt w:val="lowerLetter"/>
      <w:start w:val="1"/>
    </w:lvl>
    <w:lvl w:ilvl="1">
      <w:lvlJc w:val="left"/>
      <w:lvlText w:val="(%2)"/>
      <w:numFmt w:val="lowerRoman"/>
      <w:start w:val="1"/>
    </w:lvl>
  </w:abstractNum>
  <w:abstractNum w:abstractNumId="335">
    <w:nsid w:val="773BFBDD"/>
    <w:multiLevelType w:val="hybridMultilevel"/>
    <w:lvl w:ilvl="0">
      <w:lvlJc w:val="left"/>
      <w:lvlText w:val="(%1)"/>
      <w:numFmt w:val="lowerRoman"/>
      <w:start w:val="2"/>
    </w:lvl>
  </w:abstractNum>
  <w:abstractNum w:abstractNumId="336">
    <w:nsid w:val="2C7C62C2"/>
    <w:multiLevelType w:val="hybridMultilevel"/>
    <w:lvl w:ilvl="0">
      <w:lvlJc w:val="left"/>
      <w:lvlText w:val="%1."/>
      <w:numFmt w:val="decimal"/>
      <w:start w:val="1"/>
    </w:lvl>
  </w:abstractNum>
  <w:abstractNum w:abstractNumId="337">
    <w:nsid w:val="1A54D7BC"/>
    <w:multiLevelType w:val="hybridMultilevel"/>
    <w:lvl w:ilvl="0">
      <w:lvlJc w:val="left"/>
      <w:lvlText w:val="%1."/>
      <w:numFmt w:val="lowerLetter"/>
      <w:start w:val="1"/>
    </w:lvl>
  </w:abstractNum>
  <w:abstractNum w:abstractNumId="338">
    <w:nsid w:val="42E57EF7"/>
    <w:multiLevelType w:val="hybridMultilevel"/>
    <w:lvl w:ilvl="0">
      <w:lvlJc w:val="left"/>
      <w:lvlText w:val="%1."/>
      <w:numFmt w:val="lowerLetter"/>
      <w:start w:val="2"/>
    </w:lvl>
  </w:abstractNum>
  <w:abstractNum w:abstractNumId="339">
    <w:nsid w:val="33537CED"/>
    <w:multiLevelType w:val="hybridMultilevel"/>
    <w:lvl w:ilvl="0">
      <w:lvlJc w:val="left"/>
      <w:lvlText w:val="%1."/>
      <w:numFmt w:val="lowerLetter"/>
      <w:start w:val="3"/>
    </w:lvl>
  </w:abstractNum>
  <w:abstractNum w:abstractNumId="340">
    <w:nsid w:val="27514ADE"/>
    <w:multiLevelType w:val="hybridMultilevel"/>
    <w:lvl w:ilvl="0">
      <w:lvlJc w:val="left"/>
      <w:lvlText w:val="%1."/>
      <w:numFmt w:val="lowerLetter"/>
      <w:start w:val="4"/>
    </w:lvl>
  </w:abstractNum>
  <w:abstractNum w:abstractNumId="341">
    <w:nsid w:val="57071613"/>
    <w:multiLevelType w:val="hybridMultilevel"/>
    <w:lvl w:ilvl="0">
      <w:lvlJc w:val="left"/>
      <w:lvlText w:val="%1."/>
      <w:numFmt w:val="lowerLetter"/>
      <w:start w:val="5"/>
    </w:lvl>
  </w:abstractNum>
  <w:abstractNum w:abstractNumId="342">
    <w:nsid w:val="5293BFEF"/>
    <w:multiLevelType w:val="hybridMultilevel"/>
    <w:lvl w:ilvl="0">
      <w:lvlJc w:val="left"/>
      <w:lvlText w:val="%1."/>
      <w:numFmt w:val="lowerLetter"/>
      <w:start w:val="6"/>
    </w:lvl>
  </w:abstractNum>
  <w:abstractNum w:abstractNumId="343">
    <w:nsid w:val="38BF53E5"/>
    <w:multiLevelType w:val="hybridMultilevel"/>
    <w:lvl w:ilvl="0">
      <w:lvlJc w:val="left"/>
      <w:lvlText w:val="%1."/>
      <w:numFmt w:val="lowerLetter"/>
      <w:start w:val="7"/>
    </w:lvl>
  </w:abstractNum>
  <w:abstractNum w:abstractNumId="344">
    <w:nsid w:val="226F5320"/>
    <w:multiLevelType w:val="hybridMultilevel"/>
    <w:lvl w:ilvl="0">
      <w:lvlJc w:val="left"/>
      <w:lvlText w:val="%1."/>
      <w:numFmt w:val="lowerLetter"/>
      <w:start w:val="8"/>
    </w:lvl>
  </w:abstractNum>
  <w:abstractNum w:abstractNumId="345">
    <w:nsid w:val="5A0201C7"/>
    <w:multiLevelType w:val="hybridMultilevel"/>
    <w:lvl w:ilvl="0">
      <w:lvlJc w:val="left"/>
      <w:lvlText w:val="%1."/>
      <w:numFmt w:val="lowerRoman"/>
      <w:start w:val="1"/>
    </w:lvl>
  </w:abstractNum>
  <w:abstractNum w:abstractNumId="346">
    <w:nsid w:val="2A9C34E2"/>
    <w:multiLevelType w:val="hybridMultilevel"/>
    <w:lvl w:ilvl="0">
      <w:lvlJc w:val="left"/>
      <w:lvlText w:val="%1."/>
      <w:numFmt w:val="lowerLetter"/>
      <w:start w:val="10"/>
    </w:lvl>
  </w:abstractNum>
  <w:abstractNum w:abstractNumId="347">
    <w:nsid w:val="1B7585AB"/>
    <w:multiLevelType w:val="hybridMultilevel"/>
    <w:lvl w:ilvl="0">
      <w:lvlJc w:val="left"/>
      <w:lvlText w:val="%1."/>
      <w:numFmt w:val="lowerLetter"/>
      <w:start w:val="11"/>
    </w:lvl>
  </w:abstractNum>
  <w:abstractNum w:abstractNumId="348">
    <w:nsid w:val="612DBDDD"/>
    <w:multiLevelType w:val="hybridMultilevel"/>
    <w:lvl w:ilvl="0">
      <w:lvlJc w:val="left"/>
      <w:lvlText w:val="%1."/>
      <w:numFmt w:val="lowerLetter"/>
      <w:start w:val="12"/>
    </w:lvl>
  </w:abstractNum>
  <w:abstractNum w:abstractNumId="349">
    <w:nsid w:val="2109CDA4"/>
    <w:multiLevelType w:val="hybridMultilevel"/>
    <w:lvl w:ilvl="0">
      <w:lvlJc w:val="left"/>
      <w:lvlText w:val="%1."/>
      <w:numFmt w:val="lowerLetter"/>
      <w:start w:val="13"/>
    </w:lvl>
  </w:abstractNum>
  <w:abstractNum w:abstractNumId="350">
    <w:nsid w:val="577F5A4D"/>
    <w:multiLevelType w:val="hybridMultilevel"/>
    <w:lvl w:ilvl="0">
      <w:lvlJc w:val="left"/>
      <w:lvlText w:val="%1."/>
      <w:numFmt w:val="lowerLetter"/>
      <w:start w:val="14"/>
    </w:lvl>
  </w:abstractNum>
  <w:abstractNum w:abstractNumId="351">
    <w:nsid w:val="2121A81"/>
    <w:multiLevelType w:val="hybridMultilevel"/>
    <w:lvl w:ilvl="0">
      <w:lvlJc w:val="left"/>
      <w:lvlText w:val="%1."/>
      <w:numFmt w:val="lowerLetter"/>
      <w:start w:val="15"/>
    </w:lvl>
  </w:abstractNum>
  <w:abstractNum w:abstractNumId="352">
    <w:nsid w:val="6C2CFC88"/>
    <w:multiLevelType w:val="hybridMultilevel"/>
    <w:lvl w:ilvl="0">
      <w:lvlJc w:val="left"/>
      <w:lvlText w:val="%1."/>
      <w:numFmt w:val="lowerLetter"/>
      <w:start w:val="16"/>
    </w:lvl>
  </w:abstractNum>
  <w:abstractNum w:abstractNumId="353">
    <w:nsid w:val="6D1BCF1C"/>
    <w:multiLevelType w:val="hybridMultilevel"/>
    <w:lvl w:ilvl="0">
      <w:lvlJc w:val="left"/>
      <w:lvlText w:val="%1."/>
      <w:numFmt w:val="lowerLetter"/>
      <w:start w:val="17"/>
    </w:lvl>
  </w:abstractNum>
  <w:abstractNum w:abstractNumId="354">
    <w:nsid w:val="4CE5CA53"/>
    <w:multiLevelType w:val="hybridMultilevel"/>
    <w:lvl w:ilvl="0">
      <w:lvlJc w:val="left"/>
      <w:lvlText w:val="%1."/>
      <w:numFmt w:val="lowerLetter"/>
      <w:start w:val="18"/>
    </w:lvl>
  </w:abstractNum>
  <w:abstractNum w:abstractNumId="355">
    <w:nsid w:val="29262D1A"/>
    <w:multiLevelType w:val="hybridMultilevel"/>
    <w:lvl w:ilvl="0">
      <w:lvlJc w:val="left"/>
      <w:lvlText w:val="%1."/>
      <w:numFmt w:val="decimal"/>
      <w:start w:val="2"/>
    </w:lvl>
  </w:abstractNum>
  <w:abstractNum w:abstractNumId="356">
    <w:nsid w:val="557FB7EE"/>
    <w:multiLevelType w:val="hybridMultilevel"/>
    <w:lvl w:ilvl="0">
      <w:lvlJc w:val="left"/>
      <w:lvlText w:val="%1."/>
      <w:numFmt w:val="decimal"/>
      <w:start w:val="5"/>
    </w:lvl>
  </w:abstractNum>
  <w:abstractNum w:abstractNumId="357">
    <w:nsid w:val="436F2BEB"/>
    <w:multiLevelType w:val="hybridMultilevel"/>
    <w:lvl w:ilvl="0">
      <w:lvlJc w:val="left"/>
      <w:lvlText w:val="%1."/>
      <w:numFmt w:val="decimal"/>
      <w:start w:val="6"/>
    </w:lvl>
  </w:abstractNum>
  <w:abstractNum w:abstractNumId="358">
    <w:nsid w:val="6C8B4466"/>
    <w:multiLevelType w:val="hybridMultilevel"/>
    <w:lvl w:ilvl="0">
      <w:lvlJc w:val="left"/>
      <w:lvlText w:val="%1."/>
      <w:numFmt w:val="decimal"/>
      <w:start w:val="7"/>
    </w:lvl>
  </w:abstractNum>
  <w:abstractNum w:abstractNumId="359">
    <w:nsid w:val="2006E424"/>
    <w:multiLevelType w:val="hybridMultilevel"/>
    <w:lvl w:ilvl="0">
      <w:lvlJc w:val="left"/>
      <w:lvlText w:val="%1."/>
      <w:numFmt w:val="decimal"/>
      <w:start w:val="8"/>
    </w:lvl>
  </w:abstractNum>
  <w:abstractNum w:abstractNumId="360">
    <w:nsid w:val="20CC134C"/>
    <w:multiLevelType w:val="hybridMultilevel"/>
    <w:lvl w:ilvl="0">
      <w:lvlJc w:val="left"/>
      <w:lvlText w:val="%1."/>
      <w:numFmt w:val="lowerLetter"/>
      <w:start w:val="1"/>
    </w:lvl>
  </w:abstractNum>
  <w:abstractNum w:abstractNumId="361">
    <w:nsid w:val="95FC93B"/>
    <w:multiLevelType w:val="hybridMultilevel"/>
    <w:lvl w:ilvl="0">
      <w:lvlJc w:val="left"/>
      <w:lvlText w:val="%1."/>
      <w:numFmt w:val="lowerLetter"/>
      <w:start w:val="2"/>
    </w:lvl>
  </w:abstractNum>
  <w:abstractNum w:abstractNumId="362">
    <w:nsid w:val="41D74679"/>
    <w:multiLevelType w:val="hybridMultilevel"/>
    <w:lvl w:ilvl="0">
      <w:lvlJc w:val="left"/>
      <w:lvlText w:val="%1."/>
      <w:numFmt w:val="lowerLetter"/>
      <w:start w:val="3"/>
    </w:lvl>
  </w:abstractNum>
  <w:abstractNum w:abstractNumId="363">
    <w:nsid w:val="71E5621E"/>
    <w:multiLevelType w:val="hybridMultilevel"/>
    <w:lvl w:ilvl="0">
      <w:lvlJc w:val="left"/>
      <w:lvlText w:val="%1."/>
      <w:numFmt w:val="lowerLetter"/>
      <w:start w:val="4"/>
    </w:lvl>
  </w:abstractNum>
  <w:abstractNum w:abstractNumId="364">
    <w:nsid w:val="4E42B6A8"/>
    <w:multiLevelType w:val="hybridMultilevel"/>
    <w:lvl w:ilvl="0">
      <w:lvlJc w:val="left"/>
      <w:lvlText w:val="%1."/>
      <w:numFmt w:val="lowerLetter"/>
      <w:start w:val="5"/>
    </w:lvl>
  </w:abstractNum>
  <w:abstractNum w:abstractNumId="365">
    <w:nsid w:val="43F8E1AC"/>
    <w:multiLevelType w:val="hybridMultilevel"/>
    <w:lvl w:ilvl="0">
      <w:lvlJc w:val="left"/>
      <w:lvlText w:val="%1."/>
      <w:numFmt w:val="lowerLetter"/>
      <w:start w:val="6"/>
    </w:lvl>
  </w:abstractNum>
  <w:abstractNum w:abstractNumId="366">
    <w:nsid w:val="69215DFB"/>
    <w:multiLevelType w:val="hybridMultilevel"/>
    <w:lvl w:ilvl="0">
      <w:lvlJc w:val="left"/>
      <w:lvlText w:val="%1."/>
      <w:numFmt w:val="decimal"/>
      <w:start w:val="9"/>
    </w:lvl>
  </w:abstractNum>
  <w:abstractNum w:abstractNumId="367">
    <w:nsid w:val="7ABF196A"/>
    <w:multiLevelType w:val="hybridMultilevel"/>
    <w:lvl w:ilvl="0">
      <w:lvlJc w:val="left"/>
      <w:lvlText w:val="%1."/>
      <w:numFmt w:val="decimal"/>
      <w:start w:val="10"/>
    </w:lvl>
  </w:abstractNum>
  <w:abstractNum w:abstractNumId="368">
    <w:nsid w:val="5E4DB968"/>
    <w:multiLevelType w:val="hybridMultilevel"/>
    <w:lvl w:ilvl="0">
      <w:lvlJc w:val="left"/>
      <w:lvlText w:val="%1."/>
      <w:numFmt w:val="lowerLetter"/>
      <w:start w:val="1"/>
    </w:lvl>
  </w:abstractNum>
  <w:abstractNum w:abstractNumId="369">
    <w:nsid w:val="2C06DCF3"/>
    <w:multiLevelType w:val="hybridMultilevel"/>
    <w:lvl w:ilvl="0">
      <w:lvlJc w:val="left"/>
      <w:lvlText w:val="%1."/>
      <w:numFmt w:val="lowerLetter"/>
      <w:start w:val="2"/>
    </w:lvl>
  </w:abstractNum>
  <w:abstractNum w:abstractNumId="370">
    <w:nsid w:val="2E129658"/>
    <w:multiLevelType w:val="hybridMultilevel"/>
    <w:lvl w:ilvl="0">
      <w:lvlJc w:val="left"/>
      <w:lvlText w:val="%1."/>
      <w:numFmt w:val="lowerLetter"/>
      <w:start w:val="3"/>
    </w:lvl>
  </w:abstractNum>
  <w:abstractNum w:abstractNumId="371">
    <w:nsid w:val="59F0446"/>
    <w:multiLevelType w:val="hybridMultilevel"/>
    <w:lvl w:ilvl="0">
      <w:lvlJc w:val="left"/>
      <w:lvlText w:val="%1."/>
      <w:numFmt w:val="lowerLetter"/>
      <w:start w:val="4"/>
    </w:lvl>
  </w:abstractNum>
  <w:abstractNum w:abstractNumId="372">
    <w:nsid w:val="30DF306"/>
    <w:multiLevelType w:val="hybridMultilevel"/>
    <w:lvl w:ilvl="0">
      <w:lvlJc w:val="left"/>
      <w:lvlText w:val="%1."/>
      <w:numFmt w:val="lowerLetter"/>
      <w:start w:val="5"/>
    </w:lvl>
  </w:abstractNum>
  <w:abstractNum w:abstractNumId="373">
    <w:nsid w:val="A65647"/>
    <w:multiLevelType w:val="hybridMultilevel"/>
    <w:lvl w:ilvl="0">
      <w:lvlJc w:val="left"/>
      <w:lvlText w:val="%1."/>
      <w:numFmt w:val="decimal"/>
      <w:start w:val="11"/>
    </w:lvl>
  </w:abstractNum>
  <w:abstractNum w:abstractNumId="374">
    <w:nsid w:val="3E5E582B"/>
    <w:multiLevelType w:val="hybridMultilevel"/>
    <w:lvl w:ilvl="0">
      <w:lvlJc w:val="left"/>
      <w:lvlText w:val="%1."/>
      <w:numFmt w:val="decimal"/>
      <w:start w:val="12"/>
    </w:lvl>
  </w:abstractNum>
  <w:abstractNum w:abstractNumId="375">
    <w:nsid w:val="257D4626"/>
    <w:multiLevelType w:val="hybridMultilevel"/>
    <w:lvl w:ilvl="0">
      <w:lvlJc w:val="left"/>
      <w:lvlText w:val="%1."/>
      <w:numFmt w:val="lowerLetter"/>
      <w:start w:val="1"/>
    </w:lvl>
  </w:abstractNum>
  <w:abstractNum w:abstractNumId="376">
    <w:nsid w:val="5AA8580E"/>
    <w:multiLevelType w:val="hybridMultilevel"/>
    <w:lvl w:ilvl="0">
      <w:lvlJc w:val="left"/>
      <w:lvlText w:val="%1."/>
      <w:numFmt w:val="lowerLetter"/>
      <w:start w:val="2"/>
    </w:lvl>
  </w:abstractNum>
  <w:abstractNum w:abstractNumId="377">
    <w:nsid w:val="68FA8D0D"/>
    <w:multiLevelType w:val="hybridMultilevel"/>
    <w:lvl w:ilvl="0">
      <w:lvlJc w:val="left"/>
      <w:lvlText w:val="%1."/>
      <w:numFmt w:val="lowerLetter"/>
      <w:start w:val="3"/>
    </w:lvl>
  </w:abstractNum>
  <w:abstractNum w:abstractNumId="378">
    <w:nsid w:val="40F2CBD2"/>
    <w:multiLevelType w:val="hybridMultilevel"/>
    <w:lvl w:ilvl="0">
      <w:lvlJc w:val="left"/>
      <w:lvlText w:val="%1."/>
      <w:numFmt w:val="lowerLetter"/>
      <w:start w:val="4"/>
    </w:lvl>
  </w:abstractNum>
  <w:abstractNum w:abstractNumId="379">
    <w:nsid w:val="3BD615EB"/>
    <w:multiLevelType w:val="hybridMultilevel"/>
    <w:lvl w:ilvl="0">
      <w:lvlJc w:val="left"/>
      <w:lvlText w:val="%1."/>
      <w:numFmt w:val="lowerLetter"/>
      <w:start w:val="5"/>
    </w:lvl>
  </w:abstractNum>
  <w:abstractNum w:abstractNumId="380">
    <w:nsid w:val="A045AB2"/>
    <w:multiLevelType w:val="hybridMultilevel"/>
    <w:lvl w:ilvl="0">
      <w:lvlJc w:val="left"/>
      <w:lvlText w:val="%1."/>
      <w:numFmt w:val="lowerLetter"/>
      <w:start w:val="6"/>
    </w:lvl>
  </w:abstractNum>
  <w:abstractNum w:abstractNumId="381">
    <w:nsid w:val="1872261F"/>
    <w:multiLevelType w:val="hybridMultilevel"/>
    <w:lvl w:ilvl="0">
      <w:lvlJc w:val="left"/>
      <w:lvlText w:val="%1."/>
      <w:numFmt w:val="lowerLetter"/>
      <w:start w:val="7"/>
    </w:lvl>
  </w:abstractNum>
  <w:abstractNum w:abstractNumId="382">
    <w:nsid w:val="3DE8306C"/>
    <w:multiLevelType w:val="hybridMultilevel"/>
    <w:lvl w:ilvl="0">
      <w:lvlJc w:val="left"/>
      <w:lvlText w:val="%1."/>
      <w:numFmt w:val="lowerLetter"/>
      <w:start w:val="8"/>
    </w:lvl>
  </w:abstractNum>
  <w:abstractNum w:abstractNumId="383">
    <w:nsid w:val="7631573A"/>
    <w:multiLevelType w:val="hybridMultilevel"/>
    <w:lvl w:ilvl="0">
      <w:lvlJc w:val="left"/>
      <w:lvlText w:val="%1."/>
      <w:numFmt w:val="lowerRoman"/>
      <w:start w:val="1"/>
    </w:lvl>
  </w:abstractNum>
  <w:abstractNum w:abstractNumId="384">
    <w:nsid w:val="58DF53B"/>
    <w:multiLevelType w:val="hybridMultilevel"/>
    <w:lvl w:ilvl="0">
      <w:lvlJc w:val="left"/>
      <w:lvlText w:val="%1."/>
      <w:numFmt w:val="lowerLetter"/>
      <w:start w:val="10"/>
    </w:lvl>
  </w:abstractNum>
  <w:abstractNum w:abstractNumId="385">
    <w:nsid w:val="ACDFAC0"/>
    <w:multiLevelType w:val="hybridMultilevel"/>
    <w:lvl w:ilvl="0">
      <w:lvlJc w:val="left"/>
      <w:lvlText w:val="%1."/>
      <w:numFmt w:val="lowerLetter"/>
      <w:start w:val="10"/>
    </w:lvl>
  </w:abstractNum>
  <w:abstractNum w:abstractNumId="386">
    <w:nsid w:val="1F578454"/>
    <w:multiLevelType w:val="hybridMultilevel"/>
    <w:lvl w:ilvl="0">
      <w:lvlJc w:val="left"/>
      <w:lvlText w:val="%1."/>
      <w:numFmt w:val="lowerLetter"/>
      <w:start w:val="11"/>
    </w:lvl>
  </w:abstractNum>
  <w:abstractNum w:abstractNumId="387">
    <w:nsid w:val="5B0DAD2A"/>
    <w:multiLevelType w:val="hybridMultilevel"/>
    <w:lvl w:ilvl="0">
      <w:lvlJc w:val="left"/>
      <w:lvlText w:val="%1."/>
      <w:numFmt w:val="lowerLetter"/>
      <w:start w:val="12"/>
    </w:lvl>
  </w:abstractNum>
  <w:abstractNum w:abstractNumId="388">
    <w:nsid w:val="4E3D26AB"/>
    <w:multiLevelType w:val="hybridMultilevel"/>
    <w:lvl w:ilvl="0">
      <w:lvlJc w:val="left"/>
      <w:lvlText w:val="%1."/>
      <w:numFmt w:val="lowerLetter"/>
      <w:start w:val="16"/>
    </w:lvl>
  </w:abstractNum>
  <w:abstractNum w:abstractNumId="389">
    <w:nsid w:val="BE2C8BA"/>
    <w:multiLevelType w:val="hybridMultilevel"/>
    <w:lvl w:ilvl="0">
      <w:lvlJc w:val="left"/>
      <w:lvlText w:val="%1."/>
      <w:numFmt w:val="decimal"/>
      <w:start w:val="2"/>
    </w:lvl>
  </w:abstractNum>
  <w:abstractNum w:abstractNumId="390">
    <w:nsid w:val="7B14914E"/>
    <w:multiLevelType w:val="hybridMultilevel"/>
    <w:lvl w:ilvl="0">
      <w:lvlJc w:val="left"/>
      <w:lvlText w:val="%1."/>
      <w:numFmt w:val="decimal"/>
      <w:start w:val="3"/>
    </w:lvl>
  </w:abstractNum>
  <w:abstractNum w:abstractNumId="391">
    <w:nsid w:val="6F0939F8"/>
    <w:multiLevelType w:val="hybridMultilevel"/>
    <w:lvl w:ilvl="0">
      <w:lvlJc w:val="left"/>
      <w:lvlText w:val="%1."/>
      <w:numFmt w:val="decimal"/>
      <w:start w:val="4"/>
    </w:lvl>
  </w:abstractNum>
  <w:abstractNum w:abstractNumId="392">
    <w:nsid w:val="154291F6"/>
    <w:multiLevelType w:val="hybridMultilevel"/>
    <w:lvl w:ilvl="0">
      <w:lvlJc w:val="left"/>
      <w:lvlText w:val="%1."/>
      <w:numFmt w:val="lowerLetter"/>
      <w:start w:val="1"/>
    </w:lvl>
  </w:abstractNum>
  <w:abstractNum w:abstractNumId="393">
    <w:nsid w:val="3CEBD7C7"/>
    <w:multiLevelType w:val="hybridMultilevel"/>
    <w:lvl w:ilvl="0">
      <w:lvlJc w:val="left"/>
      <w:lvlText w:val="%1."/>
      <w:numFmt w:val="lowerLetter"/>
      <w:start w:val="2"/>
    </w:lvl>
  </w:abstractNum>
  <w:abstractNum w:abstractNumId="394">
    <w:nsid w:val="60EE9C16"/>
    <w:multiLevelType w:val="hybridMultilevel"/>
    <w:lvl w:ilvl="0">
      <w:lvlJc w:val="left"/>
      <w:lvlText w:val="%1."/>
      <w:numFmt w:val="lowerLetter"/>
      <w:start w:val="3"/>
    </w:lvl>
  </w:abstractNum>
  <w:abstractNum w:abstractNumId="395">
    <w:nsid w:val="6385489E"/>
    <w:multiLevelType w:val="hybridMultilevel"/>
    <w:lvl w:ilvl="0">
      <w:lvlJc w:val="left"/>
      <w:lvlText w:val="%1."/>
      <w:numFmt w:val="lowerLetter"/>
      <w:start w:val="6"/>
    </w:lvl>
  </w:abstractNum>
  <w:abstractNum w:abstractNumId="396">
    <w:nsid w:val="E4B973"/>
    <w:multiLevelType w:val="hybridMultilevel"/>
    <w:lvl w:ilvl="0">
      <w:lvlJc w:val="left"/>
      <w:lvlText w:val="%1."/>
      <w:numFmt w:val="decimal"/>
      <w:start w:val="5"/>
    </w:lvl>
  </w:abstractNum>
  <w:abstractNum w:abstractNumId="397">
    <w:nsid w:val="4A0FFA11"/>
    <w:multiLevelType w:val="hybridMultilevel"/>
    <w:lvl w:ilvl="0">
      <w:lvlJc w:val="left"/>
      <w:lvlText w:val="%1."/>
      <w:numFmt w:val="decimal"/>
      <w:start w:val="6"/>
    </w:lvl>
  </w:abstractNum>
  <w:abstractNum w:abstractNumId="398">
    <w:nsid w:val="5E44620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2019-12-15T07:06:45Z</dcterms:created>
  <dcterms:modified xsi:type="dcterms:W3CDTF">2019-12-15T07:06:45Z</dcterms:modified>
</cp:coreProperties>
</file>