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374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7400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Sinatra Kimmarie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WYNN RESORTS LIMITED</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WYNN RESORTS LTD</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WYNN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05/25/2011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26"/>
        <w:spacing w:after="0"/>
        <w:rPr>
          <w:sz w:val="20"/>
          <w:szCs w:val="20"/>
          <w:color w:val="auto"/>
        </w:rPr>
      </w:pPr>
      <w:r>
        <w:rPr>
          <w:rFonts w:ascii="Arial" w:cs="Arial" w:eastAsia="Arial" w:hAnsi="Arial"/>
          <w:sz w:val="17"/>
          <w:szCs w:val="17"/>
          <w:color w:val="0000FF"/>
        </w:rPr>
        <w:t>SVP/General Counsel/Secretary</w:t>
      </w:r>
    </w:p>
    <w:p>
      <w:pPr>
        <w:spacing w:after="0" w:line="407"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620" w:type="dxa"/>
            <w:vAlign w:val="bottom"/>
            <w:gridSpan w:val="7"/>
          </w:tcPr>
          <w:p>
            <w:pPr>
              <w:jc w:val="center"/>
              <w:ind w:left="33"/>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3"/>
          </w:tcPr>
          <w:p>
            <w:pPr>
              <w:ind w:left="3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80" w:type="dxa"/>
            <w:vAlign w:val="bottom"/>
            <w:gridSpan w:val="9"/>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LAS VEGAS</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NV</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89109</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440" w:type="dxa"/>
            <w:vAlign w:val="bottom"/>
            <w:tcBorders>
              <w:bottom w:val="single" w:sz="8" w:color="2C2C2C"/>
            </w:tcBorders>
            <w:gridSpan w:val="3"/>
          </w:tcPr>
          <w:p>
            <w:pPr>
              <w:spacing w:after="0"/>
              <w:rPr>
                <w:sz w:val="11"/>
                <w:szCs w:val="11"/>
                <w:color w:val="auto"/>
              </w:rPr>
            </w:pPr>
          </w:p>
        </w:tc>
        <w:tc>
          <w:tcPr>
            <w:tcW w:w="2940" w:type="dxa"/>
            <w:vAlign w:val="bottom"/>
            <w:tcBorders>
              <w:bottom w:val="single" w:sz="8" w:color="2C2C2C"/>
            </w:tcBorders>
            <w:gridSpan w:val="7"/>
          </w:tcPr>
          <w:p>
            <w:pPr>
              <w:spacing w:after="0"/>
              <w:rPr>
                <w:sz w:val="11"/>
                <w:szCs w:val="11"/>
                <w:color w:val="auto"/>
              </w:rPr>
            </w:pPr>
          </w:p>
        </w:tc>
        <w:tc>
          <w:tcPr>
            <w:tcW w:w="76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56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2"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20" w:type="dxa"/>
            <w:vAlign w:val="bottom"/>
            <w:gridSpan w:val="3"/>
          </w:tcPr>
          <w:p>
            <w:pPr>
              <w:ind w:left="560"/>
              <w:spacing w:after="0" w:line="134"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gridSpan w:val="5"/>
          </w:tcPr>
          <w:p>
            <w:pPr>
              <w:ind w:left="60"/>
              <w:spacing w:after="0"/>
              <w:rPr>
                <w:sz w:val="20"/>
                <w:szCs w:val="20"/>
                <w:color w:val="auto"/>
              </w:rPr>
            </w:pPr>
            <w:r>
              <w:rPr>
                <w:rFonts w:ascii="Arial" w:cs="Arial" w:eastAsia="Arial" w:hAnsi="Arial"/>
                <w:sz w:val="17"/>
                <w:szCs w:val="17"/>
                <w:color w:val="0000FF"/>
              </w:rPr>
              <w:t>Common Stock, par value $0.01</w:t>
            </w:r>
          </w:p>
        </w:tc>
        <w:tc>
          <w:tcPr>
            <w:tcW w:w="1620" w:type="dxa"/>
            <w:vAlign w:val="bottom"/>
            <w:gridSpan w:val="3"/>
          </w:tcPr>
          <w:p>
            <w:pPr>
              <w:ind w:left="660"/>
              <w:spacing w:after="0"/>
              <w:rPr>
                <w:sz w:val="20"/>
                <w:szCs w:val="20"/>
                <w:color w:val="auto"/>
              </w:rPr>
            </w:pPr>
            <w:r>
              <w:rPr>
                <w:rFonts w:ascii="Arial" w:cs="Arial" w:eastAsia="Arial" w:hAnsi="Arial"/>
                <w:sz w:val="17"/>
                <w:szCs w:val="17"/>
                <w:color w:val="0000FF"/>
              </w:rPr>
              <w:t>05/25/2011</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ind w:left="100"/>
              <w:spacing w:after="0"/>
              <w:rPr>
                <w:sz w:val="20"/>
                <w:szCs w:val="20"/>
                <w:color w:val="auto"/>
              </w:rPr>
            </w:pPr>
            <w:r>
              <w:rPr>
                <w:rFonts w:ascii="Arial" w:cs="Arial" w:eastAsia="Arial" w:hAnsi="Arial"/>
                <w:sz w:val="13"/>
                <w:szCs w:val="13"/>
                <w:color w:val="0000FF"/>
              </w:rPr>
              <w:t>M</w:t>
            </w:r>
          </w:p>
        </w:tc>
        <w:tc>
          <w:tcPr>
            <w:tcW w:w="780" w:type="dxa"/>
            <w:vAlign w:val="bottom"/>
          </w:tcPr>
          <w:p>
            <w:pPr>
              <w:ind w:left="120"/>
              <w:spacing w:after="0"/>
              <w:rPr>
                <w:sz w:val="20"/>
                <w:szCs w:val="20"/>
                <w:color w:val="auto"/>
              </w:rPr>
            </w:pPr>
            <w:r>
              <w:rPr>
                <w:rFonts w:ascii="Arial" w:cs="Arial" w:eastAsia="Arial" w:hAnsi="Arial"/>
                <w:sz w:val="17"/>
                <w:szCs w:val="17"/>
                <w:color w:val="0000FF"/>
              </w:rPr>
              <w:t>25,000</w:t>
            </w:r>
          </w:p>
        </w:tc>
        <w:tc>
          <w:tcPr>
            <w:tcW w:w="540" w:type="dxa"/>
            <w:vAlign w:val="bottom"/>
          </w:tcPr>
          <w:p>
            <w:pPr>
              <w:ind w:left="160"/>
              <w:spacing w:after="0"/>
              <w:rPr>
                <w:sz w:val="20"/>
                <w:szCs w:val="20"/>
                <w:color w:val="auto"/>
              </w:rPr>
            </w:pPr>
            <w:r>
              <w:rPr>
                <w:rFonts w:ascii="Arial" w:cs="Arial" w:eastAsia="Arial" w:hAnsi="Arial"/>
                <w:sz w:val="17"/>
                <w:szCs w:val="17"/>
                <w:color w:val="0000FF"/>
              </w:rPr>
              <w:t>A</w:t>
            </w:r>
          </w:p>
        </w:tc>
        <w:tc>
          <w:tcPr>
            <w:tcW w:w="200" w:type="dxa"/>
            <w:vAlign w:val="bottom"/>
          </w:tcPr>
          <w:p>
            <w:pPr>
              <w:spacing w:after="0"/>
              <w:rPr>
                <w:sz w:val="23"/>
                <w:szCs w:val="23"/>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47.12</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gridSpan w:val="2"/>
          </w:tcPr>
          <w:p>
            <w:pPr>
              <w:ind w:left="340"/>
              <w:spacing w:after="0"/>
              <w:rPr>
                <w:sz w:val="20"/>
                <w:szCs w:val="20"/>
                <w:color w:val="auto"/>
              </w:rPr>
            </w:pPr>
            <w:r>
              <w:rPr>
                <w:rFonts w:ascii="Arial" w:cs="Arial" w:eastAsia="Arial" w:hAnsi="Arial"/>
                <w:sz w:val="17"/>
                <w:szCs w:val="17"/>
                <w:color w:val="0000FF"/>
              </w:rPr>
              <w:t>75,000</w:t>
            </w:r>
          </w:p>
        </w:tc>
        <w:tc>
          <w:tcPr>
            <w:tcW w:w="26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5"/>
          </w:tcPr>
          <w:p>
            <w:pPr>
              <w:spacing w:after="0"/>
              <w:rPr>
                <w:sz w:val="5"/>
                <w:szCs w:val="5"/>
                <w:color w:val="auto"/>
              </w:rPr>
            </w:pPr>
          </w:p>
        </w:tc>
        <w:tc>
          <w:tcPr>
            <w:tcW w:w="162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3"/>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Stock, par value $0.01</w:t>
            </w:r>
          </w:p>
        </w:tc>
        <w:tc>
          <w:tcPr>
            <w:tcW w:w="162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05/25/2011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25,000</w:t>
            </w: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960" w:type="dxa"/>
            <w:vAlign w:val="bottom"/>
            <w:tcBorders>
              <w:bottom w:val="single" w:sz="8" w:color="2C2C2C"/>
            </w:tcBorders>
            <w:gridSpan w:val="4"/>
          </w:tcPr>
          <w:p>
            <w:pPr>
              <w:jc w:val="center"/>
              <w:ind w:right="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141.1292</w:t>
            </w:r>
            <w:r>
              <w:rPr>
                <w:rFonts w:ascii="Arial" w:cs="Arial" w:eastAsia="Arial" w:hAnsi="Arial"/>
                <w:sz w:val="22"/>
                <w:szCs w:val="22"/>
                <w:color w:val="008000"/>
                <w:w w:val="89"/>
                <w:vertAlign w:val="superscript"/>
              </w:rPr>
              <w:t>(1)</w:t>
            </w:r>
          </w:p>
        </w:tc>
        <w:tc>
          <w:tcPr>
            <w:tcW w:w="122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50,000</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4"/>
          </w:tcPr>
          <w:p>
            <w:pPr>
              <w:jc w:val="center"/>
              <w:ind w:right="7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11"/>
          </w:tcPr>
          <w:p>
            <w:pPr>
              <w:jc w:val="center"/>
              <w:ind w:left="60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 Amount</w:t>
            </w:r>
          </w:p>
        </w:tc>
        <w:tc>
          <w:tcPr>
            <w:tcW w:w="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gridSpan w:val="2"/>
          </w:tcPr>
          <w:p>
            <w:pPr>
              <w:ind w:left="100"/>
              <w:spacing w:after="0"/>
              <w:rPr>
                <w:sz w:val="20"/>
                <w:szCs w:val="20"/>
                <w:color w:val="auto"/>
              </w:rPr>
            </w:pPr>
            <w:r>
              <w:rPr>
                <w:rFonts w:ascii="Arial" w:cs="Arial" w:eastAsia="Arial" w:hAnsi="Arial"/>
                <w:sz w:val="13"/>
                <w:szCs w:val="13"/>
                <w:color w:val="0000FF"/>
              </w:rPr>
              <w:t>Common</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Options</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47.12</w:t>
            </w:r>
          </w:p>
        </w:tc>
        <w:tc>
          <w:tcPr>
            <w:tcW w:w="140" w:type="dxa"/>
            <w:vAlign w:val="bottom"/>
          </w:tcPr>
          <w:p>
            <w:pPr>
              <w:spacing w:after="0"/>
              <w:rPr>
                <w:sz w:val="12"/>
                <w:szCs w:val="12"/>
                <w:color w:val="auto"/>
              </w:rPr>
            </w:pPr>
          </w:p>
        </w:tc>
        <w:tc>
          <w:tcPr>
            <w:tcW w:w="1080" w:type="dxa"/>
            <w:vAlign w:val="bottom"/>
            <w:vMerge w:val="restart"/>
          </w:tcPr>
          <w:p>
            <w:pPr>
              <w:ind w:left="280"/>
              <w:spacing w:after="0"/>
              <w:rPr>
                <w:sz w:val="20"/>
                <w:szCs w:val="20"/>
                <w:color w:val="auto"/>
              </w:rPr>
            </w:pPr>
            <w:r>
              <w:rPr>
                <w:rFonts w:ascii="Arial" w:cs="Arial" w:eastAsia="Arial" w:hAnsi="Arial"/>
                <w:sz w:val="13"/>
                <w:szCs w:val="13"/>
                <w:color w:val="0000FF"/>
              </w:rPr>
              <w:t>05/25/2011</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vMerge w:val="restart"/>
          </w:tcPr>
          <w:p>
            <w:pPr>
              <w:ind w:left="4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760" w:type="dxa"/>
            <w:vAlign w:val="bottom"/>
            <w:gridSpan w:val="2"/>
            <w:vMerge w:val="restart"/>
          </w:tcPr>
          <w:p>
            <w:pPr>
              <w:ind w:left="360"/>
              <w:spacing w:after="0"/>
              <w:rPr>
                <w:sz w:val="20"/>
                <w:szCs w:val="20"/>
                <w:color w:val="auto"/>
              </w:rPr>
            </w:pPr>
            <w:r>
              <w:rPr>
                <w:rFonts w:ascii="Arial" w:cs="Arial" w:eastAsia="Arial" w:hAnsi="Arial"/>
                <w:sz w:val="13"/>
                <w:szCs w:val="13"/>
                <w:color w:val="0000FF"/>
                <w:w w:val="95"/>
              </w:rPr>
              <w:t>25,000</w:t>
            </w:r>
          </w:p>
        </w:tc>
        <w:tc>
          <w:tcPr>
            <w:tcW w:w="800" w:type="dxa"/>
            <w:vAlign w:val="bottom"/>
          </w:tcPr>
          <w:p>
            <w:pPr>
              <w:ind w:left="380"/>
              <w:spacing w:after="0"/>
              <w:rPr>
                <w:sz w:val="20"/>
                <w:szCs w:val="20"/>
                <w:color w:val="auto"/>
              </w:rPr>
            </w:pPr>
            <w:r>
              <w:rPr>
                <w:rFonts w:ascii="Arial" w:cs="Arial" w:eastAsia="Arial" w:hAnsi="Arial"/>
                <w:sz w:val="11"/>
                <w:szCs w:val="11"/>
                <w:color w:val="008000"/>
              </w:rPr>
              <w:t>(2)</w:t>
            </w:r>
          </w:p>
        </w:tc>
        <w:tc>
          <w:tcPr>
            <w:tcW w:w="780" w:type="dxa"/>
            <w:vAlign w:val="bottom"/>
            <w:vMerge w:val="restart"/>
          </w:tcPr>
          <w:p>
            <w:pPr>
              <w:ind w:left="140"/>
              <w:spacing w:after="0"/>
              <w:rPr>
                <w:sz w:val="20"/>
                <w:szCs w:val="20"/>
                <w:color w:val="auto"/>
              </w:rPr>
            </w:pPr>
            <w:r>
              <w:rPr>
                <w:rFonts w:ascii="Arial" w:cs="Arial" w:eastAsia="Arial" w:hAnsi="Arial"/>
                <w:sz w:val="13"/>
                <w:szCs w:val="13"/>
                <w:color w:val="0000FF"/>
                <w:w w:val="95"/>
              </w:rPr>
              <w:t>05/06/2019</w:t>
            </w:r>
          </w:p>
        </w:tc>
        <w:tc>
          <w:tcPr>
            <w:tcW w:w="540" w:type="dxa"/>
            <w:vAlign w:val="bottom"/>
          </w:tcPr>
          <w:p>
            <w:pPr>
              <w:ind w:left="180"/>
              <w:spacing w:after="0" w:line="148" w:lineRule="exact"/>
              <w:rPr>
                <w:sz w:val="20"/>
                <w:szCs w:val="20"/>
                <w:color w:val="auto"/>
              </w:rPr>
            </w:pPr>
            <w:r>
              <w:rPr>
                <w:rFonts w:ascii="Arial" w:cs="Arial" w:eastAsia="Arial" w:hAnsi="Arial"/>
                <w:sz w:val="13"/>
                <w:szCs w:val="13"/>
                <w:color w:val="0000FF"/>
                <w:w w:val="93"/>
              </w:rPr>
              <w:t>Stock,</w:t>
            </w:r>
          </w:p>
        </w:tc>
        <w:tc>
          <w:tcPr>
            <w:tcW w:w="200" w:type="dxa"/>
            <w:vAlign w:val="bottom"/>
          </w:tcPr>
          <w:p>
            <w:pPr>
              <w:spacing w:after="0"/>
              <w:rPr>
                <w:sz w:val="12"/>
                <w:szCs w:val="12"/>
                <w:color w:val="auto"/>
              </w:rPr>
            </w:pPr>
          </w:p>
        </w:tc>
        <w:tc>
          <w:tcPr>
            <w:tcW w:w="500" w:type="dxa"/>
            <w:vAlign w:val="bottom"/>
            <w:vMerge w:val="restart"/>
          </w:tcPr>
          <w:p>
            <w:pPr>
              <w:jc w:val="center"/>
              <w:spacing w:after="0"/>
              <w:rPr>
                <w:sz w:val="20"/>
                <w:szCs w:val="20"/>
                <w:color w:val="auto"/>
              </w:rPr>
            </w:pPr>
            <w:r>
              <w:rPr>
                <w:rFonts w:ascii="Arial" w:cs="Arial" w:eastAsia="Arial" w:hAnsi="Arial"/>
                <w:sz w:val="17"/>
                <w:szCs w:val="17"/>
                <w:color w:val="0000FF"/>
                <w:w w:val="92"/>
              </w:rPr>
              <w:t>25,000</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60" w:type="dxa"/>
            <w:vAlign w:val="bottom"/>
            <w:vMerge w:val="restart"/>
          </w:tcPr>
          <w:p>
            <w:pPr>
              <w:ind w:left="220"/>
              <w:spacing w:after="0"/>
              <w:rPr>
                <w:sz w:val="20"/>
                <w:szCs w:val="20"/>
                <w:color w:val="auto"/>
              </w:rPr>
            </w:pPr>
            <w:r>
              <w:rPr>
                <w:rFonts w:ascii="Arial" w:cs="Arial" w:eastAsia="Arial" w:hAnsi="Arial"/>
                <w:sz w:val="13"/>
                <w:szCs w:val="13"/>
                <w:color w:val="0000FF"/>
                <w:w w:val="89"/>
              </w:rPr>
              <w:t>200,000</w:t>
            </w:r>
          </w:p>
        </w:tc>
        <w:tc>
          <w:tcPr>
            <w:tcW w:w="26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gridSpan w:val="2"/>
          </w:tcPr>
          <w:p>
            <w:pPr>
              <w:ind w:left="100"/>
              <w:spacing w:after="0" w:line="148" w:lineRule="exact"/>
              <w:rPr>
                <w:sz w:val="20"/>
                <w:szCs w:val="20"/>
                <w:color w:val="auto"/>
              </w:rPr>
            </w:pPr>
            <w:r>
              <w:rPr>
                <w:rFonts w:ascii="Arial" w:cs="Arial" w:eastAsia="Arial" w:hAnsi="Arial"/>
                <w:sz w:val="13"/>
                <w:szCs w:val="13"/>
                <w:color w:val="0000FF"/>
              </w:rPr>
              <w:t>par value</w:t>
            </w:r>
          </w:p>
        </w:tc>
        <w:tc>
          <w:tcPr>
            <w:tcW w:w="5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ind w:left="200"/>
              <w:spacing w:after="0"/>
              <w:rPr>
                <w:sz w:val="20"/>
                <w:szCs w:val="20"/>
                <w:color w:val="auto"/>
              </w:rPr>
            </w:pPr>
            <w:r>
              <w:rPr>
                <w:rFonts w:ascii="Arial" w:cs="Arial" w:eastAsia="Arial" w:hAnsi="Arial"/>
                <w:sz w:val="13"/>
                <w:szCs w:val="13"/>
                <w:color w:val="0000FF"/>
                <w:w w:val="98"/>
              </w:rPr>
              <w:t>$0.01</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weighted average price of multiple transactions with a range of prices between $141.00 and $141.51. The reporting person, upon request by the staff of the SEC, Wynn Resorts, Limited or any security holder of Wynn Resorts, Limited, undertakes to provide further information regarding the number of securities sold at each separate price.</w:t>
      </w:r>
    </w:p>
    <w:p>
      <w:pPr>
        <w:spacing w:after="0" w:line="9" w:lineRule="exact"/>
        <w:rPr>
          <w:rFonts w:ascii="Arial" w:cs="Arial" w:eastAsia="Arial" w:hAnsi="Arial"/>
          <w:sz w:val="13"/>
          <w:szCs w:val="13"/>
          <w:color w:val="008000"/>
        </w:rPr>
      </w:pPr>
    </w:p>
    <w:p>
      <w:pPr>
        <w:ind w:left="40" w:right="3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original grant of 250,000 options vest 10% per year on each anniversary of the date of grant (May 6, 2009); provided, that if the reporting person ceases to be an employee of the Company, any options that are unvested at such time will be forfeited.</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 Kimmarie Sinatra</w:t>
            </w:r>
          </w:p>
        </w:tc>
        <w:tc>
          <w:tcPr>
            <w:tcW w:w="84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05/27/2011</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56745"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2019-12-18T02:21:21Z</dcterms:created>
  <dcterms:modified xsi:type="dcterms:W3CDTF">2019-12-18T02:21:21Z</dcterms:modified>
</cp:coreProperties>
</file>