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7"/>
          <w:szCs w:val="17"/>
          <w:color w:val="auto"/>
        </w:rPr>
        <w:t>Washington, D.C. 20549</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____________________</w:t>
      </w:r>
    </w:p>
    <w:p>
      <w:pPr>
        <w:spacing w:after="0" w:line="200"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CURRENT REPORT</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_____________________</w:t>
      </w:r>
    </w:p>
    <w:p>
      <w:pPr>
        <w:spacing w:after="0" w:line="200"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4"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1"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6"/>
          <w:szCs w:val="16"/>
          <w:color w:val="auto"/>
        </w:rPr>
        <w:t>Date of Report (Date of earliest event reported): May 3, 2006</w:t>
      </w:r>
    </w:p>
    <w:p>
      <w:pPr>
        <w:spacing w:after="0" w:line="210"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7"/>
          <w:szCs w:val="17"/>
          <w:color w:val="auto"/>
        </w:rPr>
        <w:t>WYNN RESORTS, LIMITED</w:t>
      </w:r>
    </w:p>
    <w:p>
      <w:pPr>
        <w:spacing w:after="0" w:line="4"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97" w:orient="portrait"/>
          <w:cols w:equalWidth="0" w:num="1">
            <w:col w:w="11520"/>
          </w:cols>
          <w:pgMar w:left="240" w:top="245" w:right="139" w:bottom="0"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7"/>
          <w:szCs w:val="17"/>
          <w:color w:val="auto"/>
        </w:rPr>
        <w:t>Nevada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000-50028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7"/>
          <w:szCs w:val="17"/>
          <w:color w:val="auto"/>
        </w:rPr>
        <w:t>46-0484987</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14" w:lineRule="exact"/>
        <w:rPr>
          <w:sz w:val="24"/>
          <w:szCs w:val="24"/>
          <w:color w:val="auto"/>
        </w:rPr>
      </w:pPr>
    </w:p>
    <w:p>
      <w:pPr>
        <w:sectPr>
          <w:pgSz w:w="11900" w:h="16897" w:orient="portrait"/>
          <w:cols w:equalWidth="0" w:num="3">
            <w:col w:w="3680" w:space="720"/>
            <w:col w:w="2740" w:space="720"/>
            <w:col w:w="3660"/>
          </w:cols>
          <w:pgMar w:left="240" w:top="245" w:right="139" w:bottom="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incorporation)</w:t>
      </w:r>
    </w:p>
    <w:p>
      <w:pPr>
        <w:spacing w:after="0" w:line="200" w:lineRule="exact"/>
        <w:rPr>
          <w:sz w:val="24"/>
          <w:szCs w:val="24"/>
          <w:color w:val="auto"/>
        </w:rPr>
      </w:pPr>
    </w:p>
    <w:p>
      <w:pPr>
        <w:ind w:left="4800"/>
        <w:spacing w:after="0"/>
        <w:rPr>
          <w:sz w:val="20"/>
          <w:szCs w:val="20"/>
          <w:color w:val="auto"/>
        </w:rPr>
      </w:pPr>
      <w:r>
        <w:rPr>
          <w:rFonts w:ascii="Courier New" w:cs="Courier New" w:eastAsia="Courier New" w:hAnsi="Courier New"/>
          <w:sz w:val="17"/>
          <w:szCs w:val="17"/>
          <w:color w:val="auto"/>
        </w:rPr>
        <w:t>WYNN LAS VEGAS, LLC</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97" w:orient="portrait"/>
          <w:cols w:equalWidth="0" w:num="1">
            <w:col w:w="11520"/>
          </w:cols>
          <w:pgMar w:left="240" w:top="245" w:right="139" w:bottom="0" w:gutter="0" w:footer="0" w:header="0"/>
          <w:type w:val="continuous"/>
        </w:sectPr>
      </w:pPr>
    </w:p>
    <w:p>
      <w:pPr>
        <w:spacing w:after="0" w:line="200"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7"/>
          <w:szCs w:val="17"/>
          <w:color w:val="auto"/>
        </w:rPr>
        <w:t>Nevada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333-98369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7"/>
          <w:szCs w:val="17"/>
          <w:color w:val="auto"/>
        </w:rPr>
        <w:t>88-0494878</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14" w:lineRule="exact"/>
        <w:rPr>
          <w:sz w:val="24"/>
          <w:szCs w:val="24"/>
          <w:color w:val="auto"/>
        </w:rPr>
      </w:pPr>
    </w:p>
    <w:p>
      <w:pPr>
        <w:sectPr>
          <w:pgSz w:w="11900" w:h="16897" w:orient="portrait"/>
          <w:cols w:equalWidth="0" w:num="3">
            <w:col w:w="3680" w:space="720"/>
            <w:col w:w="2740" w:space="720"/>
            <w:col w:w="3660"/>
          </w:cols>
          <w:pgMar w:left="240" w:top="245" w:right="139" w:bottom="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incorporation)</w:t>
      </w:r>
    </w:p>
    <w:p>
      <w:pPr>
        <w:sectPr>
          <w:pgSz w:w="11900" w:h="16897" w:orient="portrait"/>
          <w:cols w:equalWidth="0" w:num="1">
            <w:col w:w="11520"/>
          </w:cols>
          <w:pgMar w:left="240" w:top="245" w:right="139" w:bottom="0" w:gutter="0" w:footer="0" w:header="0"/>
          <w:type w:val="continuous"/>
        </w:sectPr>
      </w:pPr>
    </w:p>
    <w:p>
      <w:pPr>
        <w:spacing w:after="0" w:line="200"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3131 Las Vegas Boulevard South</w:t>
      </w:r>
    </w:p>
    <w:p>
      <w:pPr>
        <w:spacing w:after="0" w:line="4"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Las Vegas, 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89109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0" w:lineRule="exact"/>
        <w:rPr>
          <w:sz w:val="24"/>
          <w:szCs w:val="24"/>
          <w:color w:val="auto"/>
        </w:rPr>
      </w:pPr>
    </w:p>
    <w:p>
      <w:pPr>
        <w:sectPr>
          <w:pgSz w:w="11900" w:h="16897" w:orient="portrait"/>
          <w:cols w:equalWidth="0" w:num="2">
            <w:col w:w="8460" w:space="720"/>
            <w:col w:w="2340"/>
          </w:cols>
          <w:pgMar w:left="240" w:top="245" w:right="139" w:bottom="0" w:gutter="0" w:footer="0" w:header="0"/>
          <w:type w:val="continuous"/>
        </w:sectPr>
      </w:pPr>
    </w:p>
    <w:p>
      <w:pPr>
        <w:spacing w:after="0" w:line="392"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(702) 770-7555</w:t>
      </w:r>
    </w:p>
    <w:p>
      <w:pPr>
        <w:spacing w:after="0" w:line="5"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97" w:orient="portrait"/>
          <w:cols w:equalWidth="0" w:num="1">
            <w:col w:w="11520"/>
          </w:cols>
          <w:pgMar w:left="240" w:top="245" w:right="139" w:bottom="0" w:gutter="0" w:footer="0" w:header="0"/>
          <w:type w:val="continuous"/>
        </w:sectPr>
      </w:pPr>
    </w:p>
    <w:p>
      <w:pPr>
        <w:spacing w:after="0" w:line="210"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7"/>
          <w:szCs w:val="17"/>
          <w:color w:val="auto"/>
        </w:rPr>
        <w:t>Not Applicable</w:t>
      </w:r>
    </w:p>
    <w:p>
      <w:pPr>
        <w:spacing w:after="0" w:line="4"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01" w:lineRule="exact"/>
        <w:rPr>
          <w:sz w:val="24"/>
          <w:szCs w:val="24"/>
          <w:color w:val="auto"/>
        </w:rPr>
      </w:pPr>
    </w:p>
    <w:p>
      <w:pPr>
        <w:ind w:right="3660"/>
        <w:spacing w:after="0" w:line="243"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620" w:right="40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Written communication pursuant to Rule 425 under the Securities Act (17 CFR 230.425)</w:t>
      </w:r>
    </w:p>
    <w:p>
      <w:pPr>
        <w:spacing w:after="0" w:line="199" w:lineRule="exact"/>
        <w:rPr>
          <w:sz w:val="24"/>
          <w:szCs w:val="24"/>
          <w:color w:val="auto"/>
        </w:rPr>
      </w:pPr>
    </w:p>
    <w:p>
      <w:pPr>
        <w:ind w:left="620" w:right="41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Soliciting material pursuant to Rule 14a-12 under the Exchange Act (17 CFR 240.14a-12)</w:t>
      </w:r>
    </w:p>
    <w:p>
      <w:pPr>
        <w:spacing w:after="0" w:line="199" w:lineRule="exact"/>
        <w:rPr>
          <w:sz w:val="24"/>
          <w:szCs w:val="24"/>
          <w:color w:val="auto"/>
        </w:rPr>
      </w:pPr>
    </w:p>
    <w:p>
      <w:pPr>
        <w:ind w:left="620" w:right="40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Pre-commencement communications pursuant to Rule 14d-2(b) under the Exchange Act (17 CFR 240.14d-2(b))</w:t>
      </w:r>
    </w:p>
    <w:p>
      <w:pPr>
        <w:spacing w:after="0" w:line="199" w:lineRule="exact"/>
        <w:rPr>
          <w:sz w:val="24"/>
          <w:szCs w:val="24"/>
          <w:color w:val="auto"/>
        </w:rPr>
      </w:pPr>
    </w:p>
    <w:p>
      <w:pPr>
        <w:ind w:left="620" w:right="39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2.02</w:t>
      </w:r>
      <w:r>
        <w:rPr>
          <w:sz w:val="20"/>
          <w:szCs w:val="20"/>
          <w:color w:val="auto"/>
        </w:rPr>
        <w:tab/>
      </w:r>
      <w:r>
        <w:rPr>
          <w:rFonts w:ascii="Courier New" w:cs="Courier New" w:eastAsia="Courier New" w:hAnsi="Courier New"/>
          <w:sz w:val="17"/>
          <w:szCs w:val="17"/>
          <w:color w:val="auto"/>
        </w:rPr>
        <w:t>Results of Operations and Financial Condition.</w:t>
      </w:r>
    </w:p>
    <w:p>
      <w:pPr>
        <w:spacing w:after="0" w:line="201" w:lineRule="exact"/>
        <w:rPr>
          <w:sz w:val="24"/>
          <w:szCs w:val="24"/>
          <w:color w:val="auto"/>
        </w:rPr>
      </w:pPr>
    </w:p>
    <w:p>
      <w:pPr>
        <w:ind w:right="3360"/>
        <w:spacing w:after="0" w:line="262" w:lineRule="auto"/>
        <w:rPr>
          <w:sz w:val="20"/>
          <w:szCs w:val="20"/>
          <w:color w:val="auto"/>
        </w:rPr>
      </w:pPr>
      <w:r>
        <w:rPr>
          <w:rFonts w:ascii="Courier New" w:cs="Courier New" w:eastAsia="Courier New" w:hAnsi="Courier New"/>
          <w:sz w:val="16"/>
          <w:szCs w:val="16"/>
          <w:color w:val="auto"/>
        </w:rPr>
        <w:t>On May 3, 2006, Wynn Resorts, Limited issued a press release announcing its results of operations for the first quarter of 2006.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84"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7.01.</w:t>
      </w:r>
      <w:r>
        <w:rPr>
          <w:sz w:val="20"/>
          <w:szCs w:val="20"/>
          <w:color w:val="auto"/>
        </w:rPr>
        <w:tab/>
      </w:r>
      <w:r>
        <w:rPr>
          <w:rFonts w:ascii="Courier New" w:cs="Courier New" w:eastAsia="Courier New" w:hAnsi="Courier New"/>
          <w:sz w:val="17"/>
          <w:szCs w:val="17"/>
          <w:color w:val="auto"/>
        </w:rPr>
        <w:t>Regulation FD Disclosure.</w:t>
      </w:r>
    </w:p>
    <w:p>
      <w:pPr>
        <w:spacing w:after="0" w:line="201" w:lineRule="exact"/>
        <w:rPr>
          <w:sz w:val="24"/>
          <w:szCs w:val="24"/>
          <w:color w:val="auto"/>
        </w:rPr>
      </w:pPr>
    </w:p>
    <w:p>
      <w:pPr>
        <w:ind w:right="3460"/>
        <w:spacing w:after="0" w:line="243" w:lineRule="auto"/>
        <w:rPr>
          <w:sz w:val="20"/>
          <w:szCs w:val="20"/>
          <w:color w:val="auto"/>
        </w:rPr>
      </w:pPr>
      <w:r>
        <w:rPr>
          <w:rFonts w:ascii="Courier New" w:cs="Courier New" w:eastAsia="Courier New" w:hAnsi="Courier New"/>
          <w:sz w:val="17"/>
          <w:szCs w:val="17"/>
          <w:color w:val="auto"/>
        </w:rPr>
        <w:t>The information set forth under Item 2.02 of this report is incorporated herein by reference.</w:t>
      </w:r>
    </w:p>
    <w:p>
      <w:pPr>
        <w:spacing w:after="0" w:line="198"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4"/>
          <w:szCs w:val="24"/>
          <w:color w:val="auto"/>
        </w:rPr>
      </w:pPr>
    </w:p>
    <w:p>
      <w:pPr>
        <w:ind w:left="920" w:hanging="915"/>
        <w:spacing w:after="0"/>
        <w:tabs>
          <w:tab w:leader="none" w:pos="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sz w:val="24"/>
          <w:szCs w:val="24"/>
          <w:color w:val="auto"/>
        </w:rPr>
      </w:pPr>
    </w:p>
    <w:p>
      <w:pPr>
        <w:ind w:left="1840"/>
        <w:spacing w:after="0"/>
        <w:rPr>
          <w:sz w:val="20"/>
          <w:szCs w:val="20"/>
          <w:color w:val="auto"/>
        </w:rPr>
      </w:pPr>
      <w:r>
        <w:rPr>
          <w:rFonts w:ascii="Courier New" w:cs="Courier New" w:eastAsia="Courier New" w:hAnsi="Courier New"/>
          <w:sz w:val="17"/>
          <w:szCs w:val="17"/>
          <w:color w:val="auto"/>
        </w:rPr>
        <w:t>Exhibit</w:t>
      </w:r>
    </w:p>
    <w:p>
      <w:pPr>
        <w:spacing w:after="0" w:line="4" w:lineRule="exact"/>
        <w:rPr>
          <w:sz w:val="24"/>
          <w:szCs w:val="24"/>
          <w:color w:val="auto"/>
        </w:rPr>
      </w:pPr>
    </w:p>
    <w:p>
      <w:pPr>
        <w:ind w:left="1840"/>
        <w:spacing w:after="0"/>
        <w:tabs>
          <w:tab w:leader="none" w:pos="396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ectPr>
          <w:pgSz w:w="11900" w:h="16897" w:orient="portrait"/>
          <w:cols w:equalWidth="0" w:num="1">
            <w:col w:w="11520"/>
          </w:cols>
          <w:pgMar w:left="240" w:top="245" w:right="139" w:bottom="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2060" w:space="720"/>
            <w:col w:w="6239"/>
          </w:cols>
          <w:pgMar w:left="1440" w:top="141" w:right="1440" w:bottom="1440" w:gutter="0" w:footer="0" w:header="0"/>
        </w:sectPr>
      </w:pPr>
    </w:p>
    <w:p>
      <w:pPr>
        <w:ind w:left="840"/>
        <w:spacing w:after="0"/>
        <w:rPr>
          <w:sz w:val="20"/>
          <w:szCs w:val="20"/>
          <w:color w:val="auto"/>
        </w:rPr>
      </w:pPr>
      <w:r>
        <w:rPr>
          <w:rFonts w:ascii="Courier New" w:cs="Courier New" w:eastAsia="Courier New" w:hAnsi="Courier New"/>
          <w:sz w:val="17"/>
          <w:szCs w:val="17"/>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Press release, dated May 3, 2006,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Resorts, Limited.</w:t>
      </w:r>
    </w:p>
    <w:p>
      <w:pPr>
        <w:sectPr>
          <w:pgSz w:w="11900" w:h="16838" w:orient="portrait"/>
          <w:cols w:equalWidth="0" w:num="2">
            <w:col w:w="2060" w:space="720"/>
            <w:col w:w="6239"/>
          </w:cols>
          <w:pgMar w:left="1440" w:top="141"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May 11, 2006</w:t>
      </w:r>
    </w:p>
    <w:p>
      <w:pPr>
        <w:spacing w:after="0" w:line="200"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Wynn Resorts, Limited</w:t>
      </w:r>
    </w:p>
    <w:p>
      <w:pPr>
        <w:spacing w:after="0" w:line="396" w:lineRule="exact"/>
        <w:rPr>
          <w:sz w:val="20"/>
          <w:szCs w:val="20"/>
          <w:color w:val="auto"/>
        </w:rPr>
      </w:pPr>
    </w:p>
    <w:p>
      <w:pPr>
        <w:ind w:left="4900"/>
        <w:spacing w:after="0"/>
        <w:tabs>
          <w:tab w:leader="none" w:pos="54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John Strzemp</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Chief Financial Officer</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9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May 11, 2006</w:t>
      </w:r>
    </w:p>
    <w:p>
      <w:pPr>
        <w:spacing w:after="0" w:line="200"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WYNN LAS VEGAS, LLC</w:t>
      </w:r>
    </w:p>
    <w:p>
      <w:pPr>
        <w:spacing w:after="0" w:line="201"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1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sole member</w:t>
      </w:r>
    </w:p>
    <w:p>
      <w:pPr>
        <w:spacing w:after="0" w:line="201"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1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member</w:t>
      </w:r>
    </w:p>
    <w:p>
      <w:pPr>
        <w:spacing w:after="0" w:line="200" w:lineRule="exact"/>
        <w:rPr>
          <w:sz w:val="20"/>
          <w:szCs w:val="20"/>
          <w:color w:val="auto"/>
        </w:rPr>
      </w:pPr>
    </w:p>
    <w:p>
      <w:pPr>
        <w:ind w:left="4600"/>
        <w:spacing w:after="0"/>
        <w:tabs>
          <w:tab w:leader="none" w:pos="5080" w:val="left"/>
        </w:tabs>
        <w:rPr>
          <w:sz w:val="20"/>
          <w:szCs w:val="20"/>
          <w:color w:val="auto"/>
        </w:rPr>
      </w:pPr>
      <w:r>
        <w:rPr>
          <w:rFonts w:ascii="Courier New" w:cs="Courier New" w:eastAsia="Courier New" w:hAnsi="Courier New"/>
          <w:sz w:val="17"/>
          <w:szCs w:val="17"/>
          <w:color w:val="auto"/>
        </w:rPr>
        <w:t>By:</w:t>
        <w:tab/>
        <w:t>/s/ John Strzemp</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Chief Financial Officer</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96"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both"/>
        <w:ind w:right="2359"/>
        <w:spacing w:after="0" w:line="243" w:lineRule="auto"/>
        <w:rPr>
          <w:sz w:val="20"/>
          <w:szCs w:val="20"/>
          <w:color w:val="auto"/>
        </w:rPr>
      </w:pPr>
      <w:r>
        <w:rPr>
          <w:rFonts w:ascii="Courier New" w:cs="Courier New" w:eastAsia="Courier New" w:hAnsi="Courier New"/>
          <w:sz w:val="17"/>
          <w:szCs w:val="17"/>
          <w:color w:val="auto"/>
        </w:rPr>
        <w:t>Wynn Resorts, Limited Reports First Quarter Results; Wynn Las Vegas Generates Adjusted EBITDA of $81.1 Million in Its Third Full Quarter of Operations and $293.1 Million in the 338 Days since Its April 28, 2005 Opening</w:t>
      </w:r>
    </w:p>
    <w:p>
      <w:pPr>
        <w:spacing w:after="0" w:line="200" w:lineRule="exact"/>
        <w:rPr>
          <w:sz w:val="20"/>
          <w:szCs w:val="20"/>
          <w:color w:val="auto"/>
        </w:rPr>
      </w:pPr>
    </w:p>
    <w:p>
      <w:pPr>
        <w:jc w:val="both"/>
        <w:ind w:right="2359"/>
        <w:spacing w:after="0" w:line="243" w:lineRule="auto"/>
        <w:rPr>
          <w:sz w:val="20"/>
          <w:szCs w:val="20"/>
          <w:color w:val="auto"/>
        </w:rPr>
      </w:pPr>
      <w:r>
        <w:rPr>
          <w:rFonts w:ascii="Courier New" w:cs="Courier New" w:eastAsia="Courier New" w:hAnsi="Courier New"/>
          <w:sz w:val="17"/>
          <w:szCs w:val="17"/>
          <w:color w:val="auto"/>
        </w:rPr>
        <w:t>LAS VEGAS--(BUSINESS WIRE)--May 3, 2006--Wynn Resorts, Limited (Nasdaq: WYNN) today reported financial results for the first quarter ended March 31, 2006.</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Net Revenues for the quarter were $277.2 million and adjusted net income (excluding $12.6 million in pre-opening expenses, property charges, fees for the termination of "Avenue Q" and increase in swap fair value) was $1.1 million, or $0.01 per diluted share (adjusted EPS) (1). On a US GAAP (Generally Accepted Accounting Principles) basis, net loss was $11.4 million, or a net loss of $0.12 per diluted share. Wynn Las Vegas First Quarter Results</w:t>
      </w:r>
    </w:p>
    <w:p>
      <w:pPr>
        <w:spacing w:after="0" w:line="199"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For the quarter ended March 31, 2006, Wynn Las Vegas generated adjusted EBITDA of $81.1 million, representing a 29.2% margin on first quarter net revenues.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Net gaming revenues in the first quarter of 2006 were $126.5 million. Table games drop was $489.8 million, with win per table per day (before discounts) of $7,395 for the period. Table games win percentage was 19.8%, which is within the property's expected range of 19% to 22% and lower than the 21.0% achieved life to date. Slot machine win per unit per day was $260 on handle (volume) of $911.3 million.</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Gross non-gaming revenues for the period were $191.8 million and net non-gaming revenues were $150.7 million. Wynn Las Vegas' room revenues were $68.2 million. Average daily rate (ADR) was $293 and occupancy was 95.5%, generating revenue per available room (REVPAR) of $279 for the period. The food and beverage, retail, entertainment and other operations generated gross revenues of $74.6 million, $17.2 million, $20.3 million and $11.5 million, respectively.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Macau</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 June 2004, the Company broke ground on Wynn Macau, its destination casino resort in Macau, China. The first phase of the project will utilize approximately 11 acres of a total site area of 16 acres of land and includes 600 hotel rooms and suites, approximately 100,000 square feet of casino gaming space, seven restaurants, approximately 26,000 square feet of retail space, a spa, a salon, entertainment lounges and meeting facilities. We expect the first phase to open to the public in the third quarter of 2006. The second phase will include up to an additional 136,000 square feet of casino space, two restaurants, additional retail space, a theater, and a dramatic front feature attraction. The second phase is expected to be fully open to the public in the fourth quarter of 2007.</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Design and construction is progressing on schedule and within budget. Many areas in the first phase of the project, including the information technology data center, several floors of guestrooms and suites in the hotel tower, the loading dock and main kitchen storage area, have been handed over to operations. Final finish work is in progress on several restaurants, in the casino and other areas.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As of March 31, 2006, the Company has incurred approximately $554.5 million of a total project budget of approximately $1.2 billion (including the expansion of the second phase), with approximately $622.4 million to be spent to complete Wynn Macau.</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Encore at Wynn Las Vegas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As a result of the strong demand for the amenities and services offered by Wynn Las Vegas, the continued strength of the Las Vegas market, and our desire to maximize the potential of our substantial real estate assets, we are constructing Encore at Wynn Las Vegas ("Encore") on approximately 20 acres on the Strip, immediately adjacent to Wynn Las Vegas. On March 31, 2006, our lenders approved the $1.74 billion project budget and the related plans and specifications for Encore. Encore includes a 2,054-room hotel tower fully integrated with Wynn Las Vegas, consisting of 144 suites and 1,910 guest rooms, as well as an approximately 54,000 square foot casino, additional convention and meeting space, as well as restaurants, nightclubs, swimming pools, a spa and salon and retail outlets. We commenced construction of Encore on April 28, 2006 and expect to open it to the public by the end of 2008.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Factors Affecting Earnings</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Depreciation and amortization expenses were $41.8 million during the first quarter, including $2.5 million of accelerated Avenue Q production rights and costs. Interest expense, net of $6.4 million in capitalized interest, was $35.9</w:t>
      </w:r>
    </w:p>
    <w:p>
      <w:pPr>
        <w:sectPr>
          <w:pgSz w:w="11900" w:h="16838" w:orient="portrait"/>
          <w:cols w:equalWidth="0" w:num="1">
            <w:col w:w="10219"/>
          </w:cols>
          <w:pgMar w:left="240" w:top="730" w:right="1440" w:bottom="0" w:gutter="0" w:footer="0" w:header="0"/>
        </w:sectPr>
      </w:pPr>
    </w:p>
    <w:bookmarkStart w:id="6" w:name="page7"/>
    <w:bookmarkEnd w:id="6"/>
    <w:p>
      <w:pPr>
        <w:jc w:val="both"/>
        <w:ind w:right="2259"/>
        <w:spacing w:after="0" w:line="243" w:lineRule="auto"/>
        <w:rPr>
          <w:sz w:val="20"/>
          <w:szCs w:val="20"/>
          <w:color w:val="auto"/>
        </w:rPr>
      </w:pPr>
      <w:r>
        <w:rPr>
          <w:rFonts w:ascii="Courier New" w:cs="Courier New" w:eastAsia="Courier New" w:hAnsi="Courier New"/>
          <w:sz w:val="17"/>
          <w:szCs w:val="17"/>
          <w:color w:val="auto"/>
        </w:rPr>
        <w:t>million for the first quarter of 2006. Pre-opening expenses, primarily related to Wynn Macau, totaled $8.9 million during the quarter. Corporate expenses and other was $10.7 million, including $3.0 million of stock option expenses.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Sheet and Capital Expenditures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Our total cash balances at the end of the quarter were $885.2 million, including unrestricted cash balances of $477.0 million and restricted cash balances of $408.2 million. Total debt outstanding at the end of the quarter was $2.2 billion, including $235.9 million of Convertible Debentures and $193.9 million of Wynn Macau related debt. Capital expenditures during the first quarter of 2006, net of changes in construction payables and retention, totaled $115.4 million, of which $77.4 million was related to Wynn Macau. Conference Call Information</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Company will hold a conference call to discuss its results on Wednesday, May 3rd, 2006 at 1:30 p.m. PT (4:30 p.m. ET). Interested parties are invited to join the call by accessing a live audio webcast at http://www.wynnresorts.com (Investor Relations).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are included in the Company's Annual Report on Form 10-K for the year ended December 31, 2005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Non-GAAP financial measures</w:t>
      </w:r>
    </w:p>
    <w:p>
      <w:pPr>
        <w:spacing w:after="0" w:line="200" w:lineRule="exact"/>
        <w:rPr>
          <w:sz w:val="20"/>
          <w:szCs w:val="20"/>
          <w:color w:val="auto"/>
        </w:rPr>
      </w:pPr>
    </w:p>
    <w:p>
      <w:pPr>
        <w:ind w:left="420" w:hanging="415"/>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Adjusted EBITDA is earnings before interest, taxes, depreciation,</w:t>
      </w:r>
    </w:p>
    <w:p>
      <w:pPr>
        <w:spacing w:after="0" w:line="4" w:lineRule="exact"/>
        <w:rPr>
          <w:rFonts w:ascii="Courier New" w:cs="Courier New" w:eastAsia="Courier New" w:hAnsi="Courier New"/>
          <w:sz w:val="17"/>
          <w:szCs w:val="17"/>
          <w:color w:val="auto"/>
        </w:rPr>
      </w:pPr>
    </w:p>
    <w:p>
      <w:pPr>
        <w:ind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 pre-opening expenses, property charges, corporate expenses, stock-based compensation, Avenue Q contract termination fee, earnings or losses from unconsolidated affiliates, and other non-operating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Wynn Las Vegas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 property charges and corporate expense, which do not relate to the management of specific casino properties. However, adjusted EBITDA should not be considered as an alternative to operating income, as an indicator of operating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EBITDA. Also, Wynn Resorts, Limited's calculation of Adjusted EBITDA may be different from the calculation methods used by other companies, and therefore, comparability may be limited.</w:t>
      </w:r>
    </w:p>
    <w:p>
      <w:pPr>
        <w:spacing w:after="0" w:line="208" w:lineRule="exact"/>
        <w:rPr>
          <w:rFonts w:ascii="Courier New" w:cs="Courier New" w:eastAsia="Courier New" w:hAnsi="Courier New"/>
          <w:sz w:val="17"/>
          <w:szCs w:val="17"/>
          <w:color w:val="auto"/>
        </w:rPr>
      </w:pPr>
    </w:p>
    <w:p>
      <w:pPr>
        <w:ind w:right="2159" w:firstLine="5"/>
        <w:spacing w:after="0" w:line="244" w:lineRule="auto"/>
        <w:tabs>
          <w:tab w:leader="none" w:pos="40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Adjusted net income and adjusted earnings per share ("EPS") are presented exclusively as a supplemental disclosure because management believes that these financial measures are widely used to measure the performance, and as a principal basis for valuation, of gaming companies. These measures are considered by many to be a better indicator on which to base expectations of future results than income computed in accordance with GAAP. Wynn Resorts' calculation of adjusted earnings, adjusted EPS and adjusted EBITDA may be different from the calculation methods used by other companies and, therefore, comparability may be limited. The Company has included schedules in the tables that accompany this release that reconcile (i) net loss and net loss per share to adjusted net income and adjusted net income per share, and (ii) net loss to adjusted EBITDA.</w:t>
      </w:r>
    </w:p>
    <w:p>
      <w:pPr>
        <w:sectPr>
          <w:pgSz w:w="11900" w:h="16838" w:orient="portrait"/>
          <w:cols w:equalWidth="0" w:num="1">
            <w:col w:w="10219"/>
          </w:cols>
          <w:pgMar w:left="240" w:top="142" w:right="1440" w:bottom="0" w:gutter="0" w:footer="0" w:header="0"/>
        </w:sectPr>
      </w:pPr>
    </w:p>
    <w:bookmarkStart w:id="7" w:name="page8"/>
    <w:bookmarkEnd w:id="7"/>
    <w:p>
      <w:pPr>
        <w:jc w:val="center"/>
        <w:ind w:right="3079"/>
        <w:spacing w:after="0"/>
        <w:rPr>
          <w:sz w:val="20"/>
          <w:szCs w:val="20"/>
          <w:color w:val="auto"/>
        </w:rPr>
      </w:pPr>
      <w:r>
        <w:rPr>
          <w:rFonts w:ascii="Courier New" w:cs="Courier New" w:eastAsia="Courier New" w:hAnsi="Courier New"/>
          <w:sz w:val="17"/>
          <w:szCs w:val="17"/>
          <w:color w:val="auto"/>
        </w:rPr>
        <w:t>WYNN RESORTS, LIMITED AND SUBSIDIARIES</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4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40" w:type="dxa"/>
            <w:vAlign w:val="bottom"/>
            <w:gridSpan w:val="3"/>
          </w:tcPr>
          <w:p>
            <w:pPr>
              <w:jc w:val="right"/>
              <w:ind w:right="715"/>
              <w:spacing w:after="0"/>
              <w:rPr>
                <w:sz w:val="20"/>
                <w:szCs w:val="20"/>
                <w:color w:val="auto"/>
              </w:rPr>
            </w:pPr>
            <w:r>
              <w:rPr>
                <w:rFonts w:ascii="Courier New" w:cs="Courier New" w:eastAsia="Courier New" w:hAnsi="Courier New"/>
                <w:sz w:val="17"/>
                <w:szCs w:val="17"/>
                <w:color w:val="auto"/>
              </w:rPr>
              <w:t>March 31,</w:t>
            </w:r>
          </w:p>
        </w:tc>
      </w:tr>
      <w:tr>
        <w:trPr>
          <w:trHeight w:val="196"/>
        </w:trPr>
        <w:tc>
          <w:tcPr>
            <w:tcW w:w="4400" w:type="dxa"/>
            <w:vAlign w:val="bottom"/>
          </w:tcPr>
          <w:p>
            <w:pPr>
              <w:spacing w:after="0"/>
              <w:rPr>
                <w:sz w:val="17"/>
                <w:szCs w:val="17"/>
                <w:color w:val="auto"/>
              </w:rPr>
            </w:pPr>
          </w:p>
        </w:tc>
        <w:tc>
          <w:tcPr>
            <w:tcW w:w="274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ind w:left="200"/>
              <w:spacing w:after="0"/>
              <w:rPr>
                <w:sz w:val="20"/>
                <w:szCs w:val="20"/>
                <w:color w:val="auto"/>
              </w:rPr>
            </w:pPr>
            <w:r>
              <w:rPr>
                <w:rFonts w:ascii="Courier New" w:cs="Courier New" w:eastAsia="Courier New" w:hAnsi="Courier New"/>
                <w:sz w:val="17"/>
                <w:szCs w:val="17"/>
                <w:color w:val="auto"/>
              </w:rPr>
              <w:t>2006</w:t>
            </w:r>
          </w:p>
        </w:tc>
        <w:tc>
          <w:tcPr>
            <w:tcW w:w="4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2005</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Restated)</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Casino</w:t>
            </w:r>
          </w:p>
        </w:tc>
        <w:tc>
          <w:tcPr>
            <w:tcW w:w="13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$126,514</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Rooms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68,177</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Food and beverage</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74,634</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Entertainment, retail and other</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48,957</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620"/>
              <w:spacing w:after="0"/>
              <w:rPr>
                <w:sz w:val="20"/>
                <w:szCs w:val="20"/>
                <w:color w:val="auto"/>
              </w:rPr>
            </w:pPr>
            <w:r>
              <w:rPr>
                <w:rFonts w:ascii="Courier New" w:cs="Courier New" w:eastAsia="Courier New" w:hAnsi="Courier New"/>
                <w:sz w:val="17"/>
                <w:szCs w:val="17"/>
                <w:color w:val="auto"/>
              </w:rPr>
              <w:t>Gross revenues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318,282</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Less promotional allowances</w:t>
            </w:r>
          </w:p>
        </w:tc>
        <w:tc>
          <w:tcPr>
            <w:tcW w:w="40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(41,057)</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620"/>
              <w:spacing w:after="0"/>
              <w:rPr>
                <w:sz w:val="20"/>
                <w:szCs w:val="20"/>
                <w:color w:val="auto"/>
              </w:rPr>
            </w:pPr>
            <w:r>
              <w:rPr>
                <w:rFonts w:ascii="Courier New" w:cs="Courier New" w:eastAsia="Courier New" w:hAnsi="Courier New"/>
                <w:sz w:val="17"/>
                <w:szCs w:val="17"/>
                <w:color w:val="auto"/>
              </w:rPr>
              <w:t>Net revenues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277,225</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Casino</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63,236</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Rooms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16,985</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Food and beverage</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44,759</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Entertainment, retail and other</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32,514</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46,965</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Provision for doubtful accounts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2,929</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Pre-opening costs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8,946</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38,104</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41,785</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3,494</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Contract termination fee</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5,000</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Property charges and other</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4,949</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53</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720"/>
              <w:spacing w:after="0"/>
              <w:rPr>
                <w:sz w:val="20"/>
                <w:szCs w:val="20"/>
                <w:color w:val="auto"/>
              </w:rPr>
            </w:pPr>
            <w:r>
              <w:rPr>
                <w:rFonts w:ascii="Courier New" w:cs="Courier New" w:eastAsia="Courier New" w:hAnsi="Courier New"/>
                <w:sz w:val="17"/>
                <w:szCs w:val="17"/>
                <w:color w:val="auto"/>
              </w:rPr>
              <w:t>Total operating costs and expenses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268,068</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41,660</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Equity in income from unconsolidated</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4400" w:type="dxa"/>
            <w:vAlign w:val="bottom"/>
          </w:tcPr>
          <w:p>
            <w:pPr>
              <w:ind w:left="100"/>
              <w:spacing w:after="0"/>
              <w:rPr>
                <w:sz w:val="20"/>
                <w:szCs w:val="20"/>
                <w:color w:val="auto"/>
              </w:rPr>
            </w:pPr>
            <w:r>
              <w:rPr>
                <w:rFonts w:ascii="Courier New" w:cs="Courier New" w:eastAsia="Courier New" w:hAnsi="Courier New"/>
                <w:sz w:val="17"/>
                <w:szCs w:val="17"/>
                <w:color w:val="auto"/>
              </w:rPr>
              <w:t>affiliates</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575</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400" w:type="dxa"/>
            <w:vAlign w:val="bottom"/>
          </w:tcPr>
          <w:p>
            <w:pPr>
              <w:spacing w:after="0"/>
              <w:rPr>
                <w:sz w:val="24"/>
                <w:szCs w:val="24"/>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9,732</w:t>
            </w:r>
          </w:p>
        </w:tc>
        <w:tc>
          <w:tcPr>
            <w:tcW w:w="40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(41,660)</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Other income/(expense):</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Interest income</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8,432</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6,182</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 net</w:t>
            </w:r>
          </w:p>
        </w:tc>
        <w:tc>
          <w:tcPr>
            <w:tcW w:w="40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(35,943)</w:t>
            </w:r>
          </w:p>
        </w:tc>
        <w:tc>
          <w:tcPr>
            <w:tcW w:w="40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(2,149)</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Increase in swap fair value</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6,345</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7,700</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ind w:left="720"/>
              <w:spacing w:after="0"/>
              <w:rPr>
                <w:sz w:val="20"/>
                <w:szCs w:val="20"/>
                <w:color w:val="auto"/>
              </w:rPr>
            </w:pPr>
            <w:r>
              <w:rPr>
                <w:rFonts w:ascii="Courier New" w:cs="Courier New" w:eastAsia="Courier New" w:hAnsi="Courier New"/>
                <w:sz w:val="17"/>
                <w:szCs w:val="17"/>
                <w:color w:val="auto"/>
              </w:rPr>
              <w:t>Other income (expense), net</w:t>
            </w:r>
          </w:p>
        </w:tc>
        <w:tc>
          <w:tcPr>
            <w:tcW w:w="40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(21,166)</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11,733</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3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$(11,434)</w:t>
            </w:r>
          </w:p>
        </w:tc>
        <w:tc>
          <w:tcPr>
            <w:tcW w:w="142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$(29,927)</w:t>
            </w:r>
          </w:p>
        </w:tc>
      </w:tr>
      <w:tr>
        <w:trPr>
          <w:trHeight w:val="196"/>
        </w:trPr>
        <w:tc>
          <w:tcPr>
            <w:tcW w:w="44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r>
      <w:tr>
        <w:trPr>
          <w:trHeight w:val="589"/>
        </w:trPr>
        <w:tc>
          <w:tcPr>
            <w:tcW w:w="4400" w:type="dxa"/>
            <w:vAlign w:val="bottom"/>
          </w:tcPr>
          <w:p>
            <w:pPr>
              <w:spacing w:after="0"/>
              <w:rPr>
                <w:sz w:val="20"/>
                <w:szCs w:val="20"/>
                <w:color w:val="auto"/>
              </w:rPr>
            </w:pPr>
            <w:r>
              <w:rPr>
                <w:rFonts w:ascii="Courier New" w:cs="Courier New" w:eastAsia="Courier New" w:hAnsi="Courier New"/>
                <w:sz w:val="17"/>
                <w:szCs w:val="17"/>
                <w:color w:val="auto"/>
              </w:rPr>
              <w:t>Basic and diluted earnings per</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4400" w:type="dxa"/>
            <w:vAlign w:val="bottom"/>
          </w:tcPr>
          <w:p>
            <w:pPr>
              <w:ind w:left="100"/>
              <w:spacing w:after="0"/>
              <w:rPr>
                <w:sz w:val="20"/>
                <w:szCs w:val="20"/>
                <w:color w:val="auto"/>
              </w:rPr>
            </w:pPr>
            <w:r>
              <w:rPr>
                <w:rFonts w:ascii="Courier New" w:cs="Courier New" w:eastAsia="Courier New" w:hAnsi="Courier New"/>
                <w:sz w:val="17"/>
                <w:szCs w:val="17"/>
                <w:color w:val="auto"/>
              </w:rPr>
              <w:t>common share:</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Net loss: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400" w:type="dxa"/>
            <w:vAlign w:val="bottom"/>
          </w:tcPr>
          <w:p>
            <w:pPr>
              <w:ind w:left="620"/>
              <w:spacing w:after="0"/>
              <w:rPr>
                <w:sz w:val="20"/>
                <w:szCs w:val="20"/>
                <w:color w:val="auto"/>
              </w:rPr>
            </w:pPr>
            <w:r>
              <w:rPr>
                <w:rFonts w:ascii="Courier New" w:cs="Courier New" w:eastAsia="Courier New" w:hAnsi="Courier New"/>
                <w:sz w:val="17"/>
                <w:szCs w:val="17"/>
                <w:color w:val="auto"/>
              </w:rPr>
              <w:t>Basic</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(0.12)</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(0.30)</w:t>
            </w:r>
          </w:p>
        </w:tc>
      </w:tr>
      <w:tr>
        <w:trPr>
          <w:trHeight w:val="196"/>
        </w:trPr>
        <w:tc>
          <w:tcPr>
            <w:tcW w:w="4400" w:type="dxa"/>
            <w:vAlign w:val="bottom"/>
          </w:tcPr>
          <w:p>
            <w:pPr>
              <w:ind w:left="620"/>
              <w:spacing w:after="0"/>
              <w:rPr>
                <w:sz w:val="20"/>
                <w:szCs w:val="20"/>
                <w:color w:val="auto"/>
              </w:rPr>
            </w:pPr>
            <w:r>
              <w:rPr>
                <w:rFonts w:ascii="Courier New" w:cs="Courier New" w:eastAsia="Courier New" w:hAnsi="Courier New"/>
                <w:sz w:val="17"/>
                <w:szCs w:val="17"/>
                <w:color w:val="auto"/>
              </w:rPr>
              <w:t>Diluted</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(0.12)</w:t>
            </w:r>
          </w:p>
        </w:tc>
        <w:tc>
          <w:tcPr>
            <w:tcW w:w="400" w:type="dxa"/>
            <w:vAlign w:val="bottom"/>
          </w:tcPr>
          <w:p>
            <w:pPr>
              <w:ind w:left="30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(0.30)</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400" w:type="dxa"/>
            <w:vAlign w:val="bottom"/>
          </w:tcPr>
          <w:p>
            <w:pPr>
              <w:ind w:left="620"/>
              <w:spacing w:after="0"/>
              <w:rPr>
                <w:sz w:val="20"/>
                <w:szCs w:val="20"/>
                <w:color w:val="auto"/>
              </w:rPr>
            </w:pPr>
            <w:r>
              <w:rPr>
                <w:rFonts w:ascii="Courier New" w:cs="Courier New" w:eastAsia="Courier New" w:hAnsi="Courier New"/>
                <w:sz w:val="17"/>
                <w:szCs w:val="17"/>
                <w:color w:val="auto"/>
              </w:rPr>
              <w:t>Basic</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98,736</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98,229</w:t>
            </w:r>
          </w:p>
        </w:tc>
      </w:tr>
      <w:tr>
        <w:trPr>
          <w:trHeight w:val="196"/>
        </w:trPr>
        <w:tc>
          <w:tcPr>
            <w:tcW w:w="4400" w:type="dxa"/>
            <w:vAlign w:val="bottom"/>
          </w:tcPr>
          <w:p>
            <w:pPr>
              <w:ind w:left="620"/>
              <w:spacing w:after="0"/>
              <w:rPr>
                <w:sz w:val="20"/>
                <w:szCs w:val="20"/>
                <w:color w:val="auto"/>
              </w:rPr>
            </w:pPr>
            <w:r>
              <w:rPr>
                <w:rFonts w:ascii="Courier New" w:cs="Courier New" w:eastAsia="Courier New" w:hAnsi="Courier New"/>
                <w:sz w:val="17"/>
                <w:szCs w:val="17"/>
                <w:color w:val="auto"/>
              </w:rPr>
              <w:t>Diluted</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98,736</w:t>
            </w:r>
          </w:p>
        </w:tc>
        <w:tc>
          <w:tcPr>
            <w:tcW w:w="4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98,229</w:t>
            </w:r>
          </w:p>
        </w:tc>
      </w:tr>
    </w:tbl>
    <w:p>
      <w:pPr>
        <w:spacing w:after="0" w:line="200" w:lineRule="exact"/>
        <w:rPr>
          <w:sz w:val="20"/>
          <w:szCs w:val="20"/>
          <w:color w:val="auto"/>
        </w:rPr>
      </w:pPr>
    </w:p>
    <w:p>
      <w:pPr>
        <w:spacing w:after="0" w:line="39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7"/>
          <w:szCs w:val="17"/>
          <w:color w:val="auto"/>
        </w:rPr>
        <w:t>WYNN RESORTS, LIMITED AND SUBSIDIARIES</w:t>
      </w:r>
    </w:p>
    <w:p>
      <w:pPr>
        <w:spacing w:after="0" w:line="5" w:lineRule="exact"/>
        <w:rPr>
          <w:sz w:val="20"/>
          <w:szCs w:val="20"/>
          <w:color w:val="auto"/>
        </w:rPr>
      </w:pPr>
    </w:p>
    <w:p>
      <w:pPr>
        <w:jc w:val="center"/>
        <w:ind w:left="360" w:right="800"/>
        <w:spacing w:after="0" w:line="243" w:lineRule="auto"/>
        <w:rPr>
          <w:sz w:val="20"/>
          <w:szCs w:val="20"/>
          <w:color w:val="auto"/>
        </w:rPr>
      </w:pPr>
      <w:r>
        <w:rPr>
          <w:rFonts w:ascii="Courier New" w:cs="Courier New" w:eastAsia="Courier New" w:hAnsi="Courier New"/>
          <w:sz w:val="17"/>
          <w:szCs w:val="17"/>
          <w:color w:val="auto"/>
        </w:rPr>
        <w:t>RECONCILIATION OF NET LOSS AND NET LOSS PER SHARE TO ADJUSTED NET INCOME AND ADJUSTED NET INCOME PER SHARE (In thousands)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March 31,</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620"/>
        <w:spacing w:after="0"/>
        <w:tabs>
          <w:tab w:leader="none" w:pos="6620" w:val="left"/>
        </w:tabs>
        <w:rPr>
          <w:sz w:val="20"/>
          <w:szCs w:val="20"/>
          <w:color w:val="auto"/>
        </w:rPr>
      </w:pPr>
      <w:r>
        <w:rPr>
          <w:rFonts w:ascii="Courier New" w:cs="Courier New" w:eastAsia="Courier New" w:hAnsi="Courier New"/>
          <w:sz w:val="17"/>
          <w:szCs w:val="17"/>
          <w:color w:val="auto"/>
        </w:rPr>
        <w:t>2006</w:t>
      </w:r>
      <w:r>
        <w:rPr>
          <w:sz w:val="20"/>
          <w:szCs w:val="20"/>
          <w:color w:val="auto"/>
        </w:rPr>
        <w:tab/>
      </w:r>
      <w:r>
        <w:rPr>
          <w:rFonts w:ascii="Courier New" w:cs="Courier New" w:eastAsia="Courier New" w:hAnsi="Courier New"/>
          <w:sz w:val="17"/>
          <w:szCs w:val="17"/>
          <w:color w:val="auto"/>
        </w:rPr>
        <w:t>2005</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29" w:right="1440" w:bottom="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loss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Pre-opening costs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$(11,434) $(29,927)</w:t>
      </w:r>
    </w:p>
    <w:p>
      <w:pPr>
        <w:spacing w:after="0" w:line="4" w:lineRule="exact"/>
        <w:rPr>
          <w:sz w:val="20"/>
          <w:szCs w:val="20"/>
          <w:color w:val="auto"/>
        </w:rPr>
      </w:pPr>
    </w:p>
    <w:p>
      <w:pPr>
        <w:ind w:left="320"/>
        <w:spacing w:after="0"/>
        <w:tabs>
          <w:tab w:leader="none" w:pos="1220" w:val="left"/>
        </w:tabs>
        <w:rPr>
          <w:sz w:val="20"/>
          <w:szCs w:val="20"/>
          <w:color w:val="auto"/>
        </w:rPr>
      </w:pPr>
      <w:r>
        <w:rPr>
          <w:rFonts w:ascii="Courier New" w:cs="Courier New" w:eastAsia="Courier New" w:hAnsi="Courier New"/>
          <w:sz w:val="17"/>
          <w:szCs w:val="17"/>
          <w:color w:val="auto"/>
        </w:rPr>
        <w:t>8,946</w:t>
      </w:r>
      <w:r>
        <w:rPr>
          <w:sz w:val="20"/>
          <w:szCs w:val="20"/>
          <w:color w:val="auto"/>
        </w:rPr>
        <w:tab/>
      </w:r>
      <w:r>
        <w:rPr>
          <w:rFonts w:ascii="Courier New" w:cs="Courier New" w:eastAsia="Courier New" w:hAnsi="Courier New"/>
          <w:sz w:val="17"/>
          <w:szCs w:val="17"/>
          <w:color w:val="auto"/>
        </w:rPr>
        <w:t>38,104</w:t>
      </w:r>
    </w:p>
    <w:p>
      <w:pPr>
        <w:sectPr>
          <w:pgSz w:w="11900" w:h="16838" w:orient="portrait"/>
          <w:cols w:equalWidth="0" w:num="2">
            <w:col w:w="4480" w:space="720"/>
            <w:col w:w="5019"/>
          </w:cols>
          <w:pgMar w:left="240" w:top="729" w:right="1440"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Avenue Q contract termination fee</w:t>
            </w:r>
          </w:p>
        </w:tc>
        <w:tc>
          <w:tcPr>
            <w:tcW w:w="1240" w:type="dxa"/>
            <w:vAlign w:val="bottom"/>
          </w:tcPr>
          <w:p>
            <w:pPr>
              <w:spacing w:after="0"/>
              <w:rPr>
                <w:sz w:val="16"/>
                <w:szCs w:val="16"/>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5,000</w:t>
            </w:r>
          </w:p>
        </w:tc>
        <w:tc>
          <w:tcPr>
            <w:tcW w:w="160" w:type="dxa"/>
            <w:vAlign w:val="bottom"/>
          </w:tcPr>
          <w:p>
            <w:pPr>
              <w:spacing w:after="0"/>
              <w:rPr>
                <w:sz w:val="16"/>
                <w:szCs w:val="16"/>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Property charges and other</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4,949</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Increase in swap fair value</w:t>
            </w:r>
          </w:p>
        </w:tc>
        <w:tc>
          <w:tcPr>
            <w:tcW w:w="1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(6,345)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(7,700)</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1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Adjusted net income</w:t>
            </w:r>
          </w:p>
        </w:tc>
        <w:tc>
          <w:tcPr>
            <w:tcW w:w="124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1,116</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530</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spacing w:after="0"/>
              <w:rPr>
                <w:sz w:val="20"/>
                <w:szCs w:val="20"/>
                <w:color w:val="auto"/>
              </w:rPr>
            </w:pPr>
            <w:r>
              <w:rPr>
                <w:rFonts w:ascii="Courier New" w:cs="Courier New" w:eastAsia="Courier New" w:hAnsi="Courier New"/>
                <w:sz w:val="17"/>
                <w:szCs w:val="17"/>
                <w:color w:val="auto"/>
              </w:rPr>
              <w:t>Per diluted share of common stock:</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24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(0.12)</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(0.30)</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Pre-opening costs</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0.09</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0.39</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Avenue Q contract termination fee</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0.05</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Property charges and other</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0.05</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0.00</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Increase in swap fair value</w:t>
            </w:r>
          </w:p>
        </w:tc>
        <w:tc>
          <w:tcPr>
            <w:tcW w:w="1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(0.06)</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(0.08)</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1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Adjusted net income</w:t>
            </w:r>
          </w:p>
        </w:tc>
        <w:tc>
          <w:tcPr>
            <w:tcW w:w="1240" w:type="dxa"/>
            <w:vAlign w:val="bottom"/>
          </w:tcPr>
          <w:p>
            <w:pPr>
              <w:ind w:left="102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0.01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0.01</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spacing w:after="0"/>
              <w:rPr>
                <w:sz w:val="20"/>
                <w:szCs w:val="20"/>
                <w:color w:val="auto"/>
              </w:rPr>
            </w:pPr>
            <w:r>
              <w:rPr>
                <w:rFonts w:ascii="Courier New" w:cs="Courier New" w:eastAsia="Courier New" w:hAnsi="Courier New"/>
                <w:sz w:val="17"/>
                <w:szCs w:val="17"/>
                <w:color w:val="auto"/>
              </w:rPr>
              <w:t>Weighted average diluted</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common shares outstanding</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98,736</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98,229</w:t>
            </w:r>
          </w:p>
        </w:tc>
      </w:tr>
      <w:tr>
        <w:trPr>
          <w:trHeight w:val="785"/>
        </w:trPr>
        <w:tc>
          <w:tcPr>
            <w:tcW w:w="6180" w:type="dxa"/>
            <w:vAlign w:val="bottom"/>
            <w:gridSpan w:val="3"/>
          </w:tcPr>
          <w:p>
            <w:pPr>
              <w:jc w:val="center"/>
              <w:ind w:left="895"/>
              <w:spacing w:after="0"/>
              <w:rPr>
                <w:sz w:val="20"/>
                <w:szCs w:val="20"/>
                <w:color w:val="auto"/>
              </w:rPr>
            </w:pPr>
            <w:r>
              <w:rPr>
                <w:rFonts w:ascii="Courier New" w:cs="Courier New" w:eastAsia="Courier New" w:hAnsi="Courier New"/>
                <w:sz w:val="17"/>
                <w:szCs w:val="17"/>
                <w:color w:val="auto"/>
              </w:rPr>
              <w:t>WYNN RESORTS, LIMITED AND SUBSIDIARIES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180" w:type="dxa"/>
            <w:vAlign w:val="bottom"/>
            <w:gridSpan w:val="3"/>
          </w:tcPr>
          <w:p>
            <w:pPr>
              <w:jc w:val="right"/>
              <w:ind w:right="175"/>
              <w:spacing w:after="0"/>
              <w:rPr>
                <w:sz w:val="20"/>
                <w:szCs w:val="20"/>
                <w:color w:val="auto"/>
              </w:rPr>
            </w:pPr>
            <w:r>
              <w:rPr>
                <w:rFonts w:ascii="Courier New" w:cs="Courier New" w:eastAsia="Courier New" w:hAnsi="Courier New"/>
                <w:sz w:val="17"/>
                <w:szCs w:val="17"/>
                <w:color w:val="auto"/>
              </w:rPr>
              <w:t>RECONCILIATION OF NET LOSS TO ADJUSTED EBITDA</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5420" w:type="dxa"/>
            <w:vAlign w:val="bottom"/>
            <w:gridSpan w:val="2"/>
          </w:tcPr>
          <w:p>
            <w:pPr>
              <w:jc w:val="center"/>
              <w:ind w:left="1635"/>
              <w:spacing w:after="0"/>
              <w:rPr>
                <w:sz w:val="20"/>
                <w:szCs w:val="20"/>
                <w:color w:val="auto"/>
              </w:rPr>
            </w:pPr>
            <w:r>
              <w:rPr>
                <w:rFonts w:ascii="Courier New" w:cs="Courier New" w:eastAsia="Courier New" w:hAnsi="Courier New"/>
                <w:sz w:val="17"/>
                <w:szCs w:val="17"/>
                <w:color w:val="auto"/>
                <w:w w:val="99"/>
              </w:rPr>
              <w:t>(In thousands)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180" w:type="dxa"/>
            <w:vAlign w:val="bottom"/>
          </w:tcPr>
          <w:p>
            <w:pPr>
              <w:ind w:left="3060"/>
              <w:spacing w:after="0"/>
              <w:rPr>
                <w:sz w:val="20"/>
                <w:szCs w:val="20"/>
                <w:color w:val="auto"/>
              </w:rPr>
            </w:pPr>
            <w:r>
              <w:rPr>
                <w:rFonts w:ascii="Courier New" w:cs="Courier New" w:eastAsia="Courier New" w:hAnsi="Courier New"/>
                <w:sz w:val="17"/>
                <w:szCs w:val="17"/>
                <w:color w:val="auto"/>
                <w:w w:val="97"/>
              </w:rPr>
              <w:t>(Unaudited)</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92"/>
        </w:trPr>
        <w:tc>
          <w:tcPr>
            <w:tcW w:w="4180" w:type="dxa"/>
            <w:vAlign w:val="bottom"/>
          </w:tcPr>
          <w:p>
            <w:pPr>
              <w:spacing w:after="0"/>
              <w:rPr>
                <w:sz w:val="24"/>
                <w:szCs w:val="2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4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gridSpan w:val="3"/>
          </w:tcPr>
          <w:p>
            <w:pPr>
              <w:jc w:val="right"/>
              <w:ind w:right="415"/>
              <w:spacing w:after="0"/>
              <w:rPr>
                <w:sz w:val="20"/>
                <w:szCs w:val="20"/>
                <w:color w:val="auto"/>
              </w:rPr>
            </w:pPr>
            <w:r>
              <w:rPr>
                <w:rFonts w:ascii="Courier New" w:cs="Courier New" w:eastAsia="Courier New" w:hAnsi="Courier New"/>
                <w:sz w:val="17"/>
                <w:szCs w:val="17"/>
                <w:color w:val="auto"/>
              </w:rPr>
              <w:t>March 31,</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4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2006</w:t>
            </w:r>
          </w:p>
        </w:tc>
        <w:tc>
          <w:tcPr>
            <w:tcW w:w="160" w:type="dxa"/>
            <w:vAlign w:val="bottom"/>
          </w:tcPr>
          <w:p>
            <w:pPr>
              <w:spacing w:after="0"/>
              <w:rPr>
                <w:sz w:val="17"/>
                <w:szCs w:val="17"/>
                <w:color w:val="auto"/>
              </w:rPr>
            </w:pPr>
          </w:p>
        </w:tc>
        <w:tc>
          <w:tcPr>
            <w:tcW w:w="8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2005</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$(11,434)</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(29,927)</w:t>
            </w:r>
          </w:p>
        </w:tc>
      </w:tr>
      <w:tr>
        <w:trPr>
          <w:trHeight w:val="392"/>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Add/(Deduct):</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Interest income</w:t>
            </w:r>
          </w:p>
        </w:tc>
        <w:tc>
          <w:tcPr>
            <w:tcW w:w="1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(8,432)</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(6,182)</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Interest expense, net</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35,943</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2,149</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Increase in swap fair value</w:t>
            </w:r>
          </w:p>
        </w:tc>
        <w:tc>
          <w:tcPr>
            <w:tcW w:w="1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(6,345)</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(7,700)</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Total</w:t>
            </w:r>
          </w:p>
        </w:tc>
        <w:tc>
          <w:tcPr>
            <w:tcW w:w="1240" w:type="dxa"/>
            <w:vAlign w:val="bottom"/>
          </w:tcPr>
          <w:p>
            <w:pPr>
              <w:spacing w:after="0"/>
              <w:rPr>
                <w:sz w:val="24"/>
                <w:szCs w:val="24"/>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21,166</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(11,733)</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240" w:type="dxa"/>
            <w:vAlign w:val="bottom"/>
          </w:tcPr>
          <w:p>
            <w:pPr>
              <w:spacing w:after="0"/>
              <w:rPr>
                <w:sz w:val="24"/>
                <w:szCs w:val="24"/>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9,732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(41,660)</w:t>
            </w:r>
          </w:p>
        </w:tc>
      </w:tr>
      <w:tr>
        <w:trPr>
          <w:trHeight w:val="392"/>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Add:</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Preopening expenses: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Wynn Las Vegas (including Encore)</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29,091</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Wynn Macau</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8,928</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3,974</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Corporate and other</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5,039</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Wynn Las Vegas (including Encore)</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38,949</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1,511</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Wynn Macau</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2,077</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1,466</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Corporate and other</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759</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517</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Property charges and other:</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Wynn Las Vegas (including Encore)</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4,949</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Wynn Macau</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Corporate and other</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Avenue Q contract termination fee</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5,000</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180" w:type="dxa"/>
            <w:vAlign w:val="bottom"/>
          </w:tcPr>
          <w:p>
            <w:pPr>
              <w:ind w:left="200"/>
              <w:spacing w:after="0"/>
              <w:rPr>
                <w:sz w:val="20"/>
                <w:szCs w:val="20"/>
                <w:color w:val="auto"/>
              </w:rPr>
            </w:pPr>
            <w:r>
              <w:rPr>
                <w:rFonts w:ascii="Courier New" w:cs="Courier New" w:eastAsia="Courier New" w:hAnsi="Courier New"/>
                <w:sz w:val="17"/>
                <w:szCs w:val="17"/>
                <w:color w:val="auto"/>
              </w:rPr>
              <w:t>Corporate expenses and other</w:t>
            </w:r>
          </w:p>
        </w:tc>
        <w:tc>
          <w:tcPr>
            <w:tcW w:w="124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10,711</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ind w:left="420"/>
              <w:spacing w:after="0"/>
              <w:rPr>
                <w:sz w:val="20"/>
                <w:szCs w:val="20"/>
                <w:color w:val="auto"/>
              </w:rPr>
            </w:pPr>
            <w:r>
              <w:rPr>
                <w:rFonts w:ascii="Courier New" w:cs="Courier New" w:eastAsia="Courier New" w:hAnsi="Courier New"/>
                <w:sz w:val="17"/>
                <w:szCs w:val="17"/>
                <w:color w:val="auto"/>
              </w:rPr>
              <w:t>Total</w:t>
            </w:r>
          </w:p>
        </w:tc>
        <w:tc>
          <w:tcPr>
            <w:tcW w:w="1240" w:type="dxa"/>
            <w:vAlign w:val="bottom"/>
          </w:tcPr>
          <w:p>
            <w:pPr>
              <w:spacing w:after="0"/>
              <w:rPr>
                <w:sz w:val="24"/>
                <w:szCs w:val="24"/>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71,391</w:t>
            </w:r>
          </w:p>
        </w:tc>
        <w:tc>
          <w:tcPr>
            <w:tcW w:w="160" w:type="dxa"/>
            <w:vAlign w:val="bottom"/>
          </w:tcPr>
          <w:p>
            <w:pPr>
              <w:spacing w:after="0"/>
              <w:rPr>
                <w:sz w:val="24"/>
                <w:szCs w:val="24"/>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41,651</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392"/>
        </w:trPr>
        <w:tc>
          <w:tcPr>
            <w:tcW w:w="4180" w:type="dxa"/>
            <w:vAlign w:val="bottom"/>
          </w:tcPr>
          <w:p>
            <w:pPr>
              <w:spacing w:after="0"/>
              <w:rPr>
                <w:sz w:val="20"/>
                <w:szCs w:val="20"/>
                <w:color w:val="auto"/>
              </w:rPr>
            </w:pPr>
            <w:r>
              <w:rPr>
                <w:rFonts w:ascii="Courier New" w:cs="Courier New" w:eastAsia="Courier New" w:hAnsi="Courier New"/>
                <w:sz w:val="17"/>
                <w:szCs w:val="17"/>
                <w:color w:val="auto"/>
              </w:rPr>
              <w:t>Adjusted EBITDA</w:t>
            </w:r>
          </w:p>
        </w:tc>
        <w:tc>
          <w:tcPr>
            <w:tcW w:w="200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$ 81,123</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6"/>
        </w:trPr>
        <w:tc>
          <w:tcPr>
            <w:tcW w:w="4180" w:type="dxa"/>
            <w:vAlign w:val="bottom"/>
          </w:tcPr>
          <w:p>
            <w:pPr>
              <w:spacing w:after="0"/>
              <w:rPr>
                <w:sz w:val="17"/>
                <w:szCs w:val="17"/>
                <w:color w:val="auto"/>
              </w:rPr>
            </w:pPr>
          </w:p>
        </w:tc>
        <w:tc>
          <w:tcPr>
            <w:tcW w:w="2960" w:type="dxa"/>
            <w:vAlign w:val="bottom"/>
            <w:gridSpan w:val="4"/>
          </w:tcPr>
          <w:p>
            <w:pPr>
              <w:ind w:left="1020"/>
              <w:spacing w:after="0"/>
              <w:rPr>
                <w:sz w:val="20"/>
                <w:szCs w:val="20"/>
                <w:color w:val="auto"/>
              </w:rPr>
            </w:pPr>
            <w:r>
              <w:rPr>
                <w:rFonts w:ascii="Courier New" w:cs="Courier New" w:eastAsia="Courier New" w:hAnsi="Courier New"/>
                <w:sz w:val="17"/>
                <w:szCs w:val="17"/>
                <w:color w:val="auto"/>
                <w:w w:val="99"/>
              </w:rPr>
              <w:t>========= =========</w:t>
            </w:r>
          </w:p>
        </w:tc>
      </w:tr>
      <w:tr>
        <w:trPr>
          <w:trHeight w:val="785"/>
        </w:trPr>
        <w:tc>
          <w:tcPr>
            <w:tcW w:w="6180" w:type="dxa"/>
            <w:vAlign w:val="bottom"/>
            <w:gridSpan w:val="3"/>
          </w:tcPr>
          <w:p>
            <w:pPr>
              <w:jc w:val="center"/>
              <w:ind w:left="895"/>
              <w:spacing w:after="0"/>
              <w:rPr>
                <w:sz w:val="20"/>
                <w:szCs w:val="20"/>
                <w:color w:val="auto"/>
              </w:rPr>
            </w:pPr>
            <w:r>
              <w:rPr>
                <w:rFonts w:ascii="Courier New" w:cs="Courier New" w:eastAsia="Courier New" w:hAnsi="Courier New"/>
                <w:sz w:val="17"/>
                <w:szCs w:val="17"/>
                <w:color w:val="auto"/>
              </w:rPr>
              <w:t>WYNN RESORTS, LIMITED AND SUBSIDIARIES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5420" w:type="dxa"/>
            <w:vAlign w:val="bottom"/>
            <w:gridSpan w:val="2"/>
          </w:tcPr>
          <w:p>
            <w:pPr>
              <w:jc w:val="center"/>
              <w:ind w:left="1635"/>
              <w:spacing w:after="0"/>
              <w:rPr>
                <w:sz w:val="20"/>
                <w:szCs w:val="20"/>
                <w:color w:val="auto"/>
              </w:rPr>
            </w:pPr>
            <w:r>
              <w:rPr>
                <w:rFonts w:ascii="Courier New" w:cs="Courier New" w:eastAsia="Courier New" w:hAnsi="Courier New"/>
                <w:sz w:val="17"/>
                <w:szCs w:val="17"/>
                <w:color w:val="auto"/>
              </w:rPr>
              <w:t>SUPPLEMENTAL DATA SCHEDULE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92"/>
        </w:trPr>
        <w:tc>
          <w:tcPr>
            <w:tcW w:w="418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Courier New" w:cs="Courier New" w:eastAsia="Courier New" w:hAnsi="Courier New"/>
                <w:sz w:val="17"/>
                <w:szCs w:val="17"/>
                <w:color w:val="auto"/>
                <w:w w:val="99"/>
              </w:rPr>
              <w:t>Three Months</w:t>
            </w:r>
          </w:p>
        </w:tc>
        <w:tc>
          <w:tcPr>
            <w:tcW w:w="17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April 28, 2005</w:t>
            </w:r>
          </w:p>
        </w:tc>
      </w:tr>
      <w:tr>
        <w:trPr>
          <w:trHeight w:val="196"/>
        </w:trPr>
        <w:tc>
          <w:tcPr>
            <w:tcW w:w="4180" w:type="dxa"/>
            <w:vAlign w:val="bottom"/>
          </w:tcPr>
          <w:p>
            <w:pPr>
              <w:spacing w:after="0"/>
              <w:rPr>
                <w:sz w:val="17"/>
                <w:szCs w:val="17"/>
                <w:color w:val="auto"/>
              </w:rPr>
            </w:pP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Ended</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515"/>
              <w:spacing w:after="0"/>
              <w:rPr>
                <w:sz w:val="20"/>
                <w:szCs w:val="20"/>
                <w:color w:val="auto"/>
              </w:rPr>
            </w:pPr>
            <w:r>
              <w:rPr>
                <w:rFonts w:ascii="Courier New" w:cs="Courier New" w:eastAsia="Courier New" w:hAnsi="Courier New"/>
                <w:sz w:val="17"/>
                <w:szCs w:val="17"/>
                <w:color w:val="auto"/>
                <w:w w:val="87"/>
              </w:rPr>
              <w:t>to</w:t>
            </w:r>
          </w:p>
        </w:tc>
      </w:tr>
      <w:tr>
        <w:trPr>
          <w:trHeight w:val="196"/>
        </w:trPr>
        <w:tc>
          <w:tcPr>
            <w:tcW w:w="418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March 31, 2006 March 31, 2006</w:t>
            </w:r>
          </w:p>
        </w:tc>
      </w:tr>
      <w:tr>
        <w:trPr>
          <w:trHeight w:val="196"/>
        </w:trPr>
        <w:tc>
          <w:tcPr>
            <w:tcW w:w="4180" w:type="dxa"/>
            <w:vAlign w:val="bottom"/>
          </w:tcPr>
          <w:p>
            <w:pPr>
              <w:spacing w:after="0"/>
              <w:rPr>
                <w:sz w:val="17"/>
                <w:szCs w:val="17"/>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 --------------</w:t>
            </w:r>
          </w:p>
        </w:tc>
      </w:tr>
      <w:tr>
        <w:trPr>
          <w:trHeight w:val="1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Room Statistics for Wynn Las Vegas:</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180" w:type="dxa"/>
            <w:vAlign w:val="bottom"/>
          </w:tcPr>
          <w:p>
            <w:pPr>
              <w:ind w:left="520"/>
              <w:spacing w:after="0"/>
              <w:rPr>
                <w:sz w:val="20"/>
                <w:szCs w:val="20"/>
                <w:color w:val="auto"/>
              </w:rPr>
            </w:pPr>
            <w:r>
              <w:rPr>
                <w:rFonts w:ascii="Courier New" w:cs="Courier New" w:eastAsia="Courier New" w:hAnsi="Courier New"/>
                <w:sz w:val="17"/>
                <w:szCs w:val="17"/>
                <w:color w:val="auto"/>
              </w:rPr>
              <w:t>Occupancy %</w:t>
            </w:r>
          </w:p>
        </w:tc>
        <w:tc>
          <w:tcPr>
            <w:tcW w:w="2000" w:type="dxa"/>
            <w:vAlign w:val="bottom"/>
            <w:gridSpan w:val="2"/>
          </w:tcPr>
          <w:p>
            <w:pPr>
              <w:jc w:val="right"/>
              <w:ind w:right="575"/>
              <w:spacing w:after="0"/>
              <w:rPr>
                <w:sz w:val="20"/>
                <w:szCs w:val="20"/>
                <w:color w:val="auto"/>
              </w:rPr>
            </w:pPr>
            <w:r>
              <w:rPr>
                <w:rFonts w:ascii="Courier New" w:cs="Courier New" w:eastAsia="Courier New" w:hAnsi="Courier New"/>
                <w:sz w:val="17"/>
                <w:szCs w:val="17"/>
                <w:color w:val="auto"/>
              </w:rPr>
              <w:t>95.5%</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93.0%</w:t>
            </w:r>
          </w:p>
        </w:tc>
      </w:tr>
      <w:tr>
        <w:trPr>
          <w:trHeight w:val="196"/>
        </w:trPr>
        <w:tc>
          <w:tcPr>
            <w:tcW w:w="4180" w:type="dxa"/>
            <w:vAlign w:val="bottom"/>
          </w:tcPr>
          <w:p>
            <w:pPr>
              <w:ind w:left="520"/>
              <w:spacing w:after="0"/>
              <w:rPr>
                <w:sz w:val="20"/>
                <w:szCs w:val="20"/>
                <w:color w:val="auto"/>
              </w:rPr>
            </w:pPr>
            <w:r>
              <w:rPr>
                <w:rFonts w:ascii="Courier New" w:cs="Courier New" w:eastAsia="Courier New" w:hAnsi="Courier New"/>
                <w:sz w:val="17"/>
                <w:szCs w:val="17"/>
                <w:color w:val="auto"/>
              </w:rPr>
              <w:t>Average Daily Room Rate (ADR)(1)</w:t>
            </w:r>
          </w:p>
        </w:tc>
        <w:tc>
          <w:tcPr>
            <w:tcW w:w="200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293</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279</w:t>
            </w:r>
          </w:p>
        </w:tc>
      </w:tr>
      <w:tr>
        <w:trPr>
          <w:trHeight w:val="196"/>
        </w:trPr>
        <w:tc>
          <w:tcPr>
            <w:tcW w:w="4180" w:type="dxa"/>
            <w:vAlign w:val="bottom"/>
          </w:tcPr>
          <w:p>
            <w:pPr>
              <w:ind w:left="520"/>
              <w:spacing w:after="0"/>
              <w:rPr>
                <w:sz w:val="20"/>
                <w:szCs w:val="20"/>
                <w:color w:val="auto"/>
              </w:rPr>
            </w:pPr>
            <w:r>
              <w:rPr>
                <w:rFonts w:ascii="Courier New" w:cs="Courier New" w:eastAsia="Courier New" w:hAnsi="Courier New"/>
                <w:sz w:val="17"/>
                <w:szCs w:val="17"/>
                <w:color w:val="auto"/>
              </w:rPr>
              <w:t>Average Paying Rate (APR)(2)</w:t>
            </w:r>
          </w:p>
        </w:tc>
        <w:tc>
          <w:tcPr>
            <w:tcW w:w="200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285</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269</w:t>
            </w:r>
          </w:p>
        </w:tc>
      </w:tr>
      <w:tr>
        <w:trPr>
          <w:trHeight w:val="196"/>
        </w:trPr>
        <w:tc>
          <w:tcPr>
            <w:tcW w:w="4180" w:type="dxa"/>
            <w:vAlign w:val="bottom"/>
          </w:tcPr>
          <w:p>
            <w:pPr>
              <w:ind w:left="520"/>
              <w:spacing w:after="0"/>
              <w:rPr>
                <w:sz w:val="20"/>
                <w:szCs w:val="20"/>
                <w:color w:val="auto"/>
              </w:rPr>
            </w:pPr>
            <w:r>
              <w:rPr>
                <w:rFonts w:ascii="Courier New" w:cs="Courier New" w:eastAsia="Courier New" w:hAnsi="Courier New"/>
                <w:sz w:val="17"/>
                <w:szCs w:val="17"/>
                <w:color w:val="auto"/>
              </w:rPr>
              <w:t>Revenue per available room</w:t>
            </w: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4180" w:type="dxa"/>
            <w:vAlign w:val="bottom"/>
          </w:tcPr>
          <w:p>
            <w:pPr>
              <w:ind w:left="620"/>
              <w:spacing w:after="0"/>
              <w:rPr>
                <w:sz w:val="20"/>
                <w:szCs w:val="20"/>
                <w:color w:val="auto"/>
              </w:rPr>
            </w:pPr>
            <w:r>
              <w:rPr>
                <w:rFonts w:ascii="Courier New" w:cs="Courier New" w:eastAsia="Courier New" w:hAnsi="Courier New"/>
                <w:sz w:val="17"/>
                <w:szCs w:val="17"/>
                <w:color w:val="auto"/>
              </w:rPr>
              <w:t>(REVPAR)(3)</w:t>
            </w:r>
          </w:p>
        </w:tc>
        <w:tc>
          <w:tcPr>
            <w:tcW w:w="200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279</w:t>
            </w:r>
          </w:p>
        </w:tc>
        <w:tc>
          <w:tcPr>
            <w:tcW w:w="16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260</w:t>
            </w:r>
          </w:p>
        </w:tc>
      </w:tr>
    </w:tbl>
    <w:p>
      <w:pPr>
        <w:sectPr>
          <w:pgSz w:w="11900" w:h="16838" w:orient="portrait"/>
          <w:cols w:equalWidth="0" w:num="1">
            <w:col w:w="10219"/>
          </w:cols>
          <w:pgMar w:left="240" w:top="141"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Pr>
          <w:p>
            <w:pPr>
              <w:spacing w:after="0"/>
              <w:rPr>
                <w:sz w:val="20"/>
                <w:szCs w:val="20"/>
                <w:color w:val="auto"/>
              </w:rPr>
            </w:pPr>
            <w:r>
              <w:rPr>
                <w:rFonts w:ascii="Courier New" w:cs="Courier New" w:eastAsia="Courier New" w:hAnsi="Courier New"/>
                <w:sz w:val="17"/>
                <w:szCs w:val="17"/>
                <w:color w:val="auto"/>
              </w:rPr>
              <w:t>Other information:</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6"/>
        </w:trPr>
        <w:tc>
          <w:tcPr>
            <w:tcW w:w="4600" w:type="dxa"/>
            <w:vAlign w:val="bottom"/>
          </w:tcPr>
          <w:p>
            <w:pPr>
              <w:ind w:left="520"/>
              <w:spacing w:after="0"/>
              <w:rPr>
                <w:sz w:val="20"/>
                <w:szCs w:val="20"/>
                <w:color w:val="auto"/>
              </w:rPr>
            </w:pPr>
            <w:r>
              <w:rPr>
                <w:rFonts w:ascii="Courier New" w:cs="Courier New" w:eastAsia="Courier New" w:hAnsi="Courier New"/>
                <w:sz w:val="17"/>
                <w:szCs w:val="17"/>
                <w:color w:val="auto"/>
              </w:rPr>
              <w:t>Table games win per unit per day(4)</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7,395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8,015</w:t>
            </w:r>
          </w:p>
        </w:tc>
      </w:tr>
      <w:tr>
        <w:trPr>
          <w:trHeight w:val="196"/>
        </w:trPr>
        <w:tc>
          <w:tcPr>
            <w:tcW w:w="4600" w:type="dxa"/>
            <w:vAlign w:val="bottom"/>
          </w:tcPr>
          <w:p>
            <w:pPr>
              <w:ind w:left="520"/>
              <w:spacing w:after="0"/>
              <w:rPr>
                <w:sz w:val="20"/>
                <w:szCs w:val="20"/>
                <w:color w:val="auto"/>
              </w:rPr>
            </w:pPr>
            <w:r>
              <w:rPr>
                <w:rFonts w:ascii="Courier New" w:cs="Courier New" w:eastAsia="Courier New" w:hAnsi="Courier New"/>
                <w:sz w:val="17"/>
                <w:szCs w:val="17"/>
                <w:color w:val="auto"/>
              </w:rPr>
              <w:t>Table Hold %</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19.8%</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21.0%</w:t>
            </w:r>
          </w:p>
        </w:tc>
      </w:tr>
      <w:tr>
        <w:trPr>
          <w:trHeight w:val="196"/>
        </w:trPr>
        <w:tc>
          <w:tcPr>
            <w:tcW w:w="4600" w:type="dxa"/>
            <w:vAlign w:val="bottom"/>
          </w:tcPr>
          <w:p>
            <w:pPr>
              <w:ind w:left="520"/>
              <w:spacing w:after="0"/>
              <w:rPr>
                <w:sz w:val="20"/>
                <w:szCs w:val="20"/>
                <w:color w:val="auto"/>
              </w:rPr>
            </w:pPr>
            <w:r>
              <w:rPr>
                <w:rFonts w:ascii="Courier New" w:cs="Courier New" w:eastAsia="Courier New" w:hAnsi="Courier New"/>
                <w:sz w:val="17"/>
                <w:szCs w:val="17"/>
                <w:color w:val="auto"/>
              </w:rPr>
              <w:t>Slot Machine win per unit per day(5)</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260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256</w:t>
            </w:r>
          </w:p>
        </w:tc>
      </w:tr>
      <w:tr>
        <w:trPr>
          <w:trHeight w:val="196"/>
        </w:trPr>
        <w:tc>
          <w:tcPr>
            <w:tcW w:w="4600" w:type="dxa"/>
            <w:vAlign w:val="bottom"/>
          </w:tcPr>
          <w:p>
            <w:pPr>
              <w:ind w:left="520"/>
              <w:spacing w:after="0"/>
              <w:rPr>
                <w:sz w:val="20"/>
                <w:szCs w:val="20"/>
                <w:color w:val="auto"/>
              </w:rPr>
            </w:pPr>
            <w:r>
              <w:rPr>
                <w:rFonts w:ascii="Courier New" w:cs="Courier New" w:eastAsia="Courier New" w:hAnsi="Courier New"/>
                <w:sz w:val="17"/>
                <w:szCs w:val="17"/>
                <w:color w:val="auto"/>
              </w:rPr>
              <w:t>Average number of table games</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146</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137</w:t>
            </w:r>
          </w:p>
        </w:tc>
      </w:tr>
      <w:tr>
        <w:trPr>
          <w:trHeight w:val="196"/>
        </w:trPr>
        <w:tc>
          <w:tcPr>
            <w:tcW w:w="4600" w:type="dxa"/>
            <w:vAlign w:val="bottom"/>
          </w:tcPr>
          <w:p>
            <w:pPr>
              <w:ind w:left="520"/>
              <w:spacing w:after="0"/>
              <w:rPr>
                <w:sz w:val="20"/>
                <w:szCs w:val="20"/>
                <w:color w:val="auto"/>
              </w:rPr>
            </w:pPr>
            <w:r>
              <w:rPr>
                <w:rFonts w:ascii="Courier New" w:cs="Courier New" w:eastAsia="Courier New" w:hAnsi="Courier New"/>
                <w:sz w:val="17"/>
                <w:szCs w:val="17"/>
                <w:color w:val="auto"/>
              </w:rPr>
              <w:t>Average number of slot machines</w:t>
            </w:r>
          </w:p>
        </w:tc>
        <w:tc>
          <w:tcPr>
            <w:tcW w:w="14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1,951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1,954</w:t>
            </w:r>
          </w:p>
        </w:tc>
      </w:tr>
    </w:tbl>
    <w:p>
      <w:pPr>
        <w:spacing w:after="0" w:line="201" w:lineRule="exact"/>
        <w:rPr>
          <w:sz w:val="20"/>
          <w:szCs w:val="20"/>
          <w:color w:val="auto"/>
        </w:rPr>
      </w:pPr>
    </w:p>
    <w:p>
      <w:pPr>
        <w:ind w:left="420" w:right="3079"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ADR is Average Daily Rate and is calculated by dividing total room revenue by total rooms occupied.</w:t>
      </w:r>
    </w:p>
    <w:p>
      <w:pPr>
        <w:spacing w:after="0" w:line="2" w:lineRule="exact"/>
        <w:rPr>
          <w:rFonts w:ascii="Courier New" w:cs="Courier New" w:eastAsia="Courier New" w:hAnsi="Courier New"/>
          <w:sz w:val="17"/>
          <w:szCs w:val="17"/>
          <w:color w:val="auto"/>
        </w:rPr>
      </w:pPr>
    </w:p>
    <w:p>
      <w:pPr>
        <w:ind w:left="420" w:right="3079"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APR is Average Paying Rate and is calculated by dividing cash room revenue by cash rooms occupied.</w:t>
      </w:r>
    </w:p>
    <w:p>
      <w:pPr>
        <w:spacing w:after="0" w:line="2" w:lineRule="exact"/>
        <w:rPr>
          <w:rFonts w:ascii="Courier New" w:cs="Courier New" w:eastAsia="Courier New" w:hAnsi="Courier New"/>
          <w:sz w:val="17"/>
          <w:szCs w:val="17"/>
          <w:color w:val="auto"/>
        </w:rPr>
      </w:pPr>
    </w:p>
    <w:p>
      <w:pPr>
        <w:ind w:left="420" w:right="3079"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REVPAR is Revenue per Available Room and is calculated by dividing total room revenue by total rooms available.</w:t>
      </w:r>
    </w:p>
    <w:p>
      <w:pPr>
        <w:spacing w:after="0" w:line="2" w:lineRule="exact"/>
        <w:rPr>
          <w:rFonts w:ascii="Courier New" w:cs="Courier New" w:eastAsia="Courier New" w:hAnsi="Courier New"/>
          <w:sz w:val="17"/>
          <w:szCs w:val="17"/>
          <w:color w:val="auto"/>
        </w:rPr>
      </w:pPr>
    </w:p>
    <w:p>
      <w:pPr>
        <w:ind w:left="420" w:right="3779"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Table games win per unit per day shown before discounts and commissions.</w:t>
      </w:r>
    </w:p>
    <w:p>
      <w:pPr>
        <w:spacing w:after="0" w:line="2" w:lineRule="exact"/>
        <w:rPr>
          <w:rFonts w:ascii="Courier New" w:cs="Courier New" w:eastAsia="Courier New" w:hAnsi="Courier New"/>
          <w:sz w:val="17"/>
          <w:szCs w:val="17"/>
          <w:color w:val="auto"/>
        </w:rPr>
      </w:pPr>
    </w:p>
    <w:p>
      <w:pPr>
        <w:ind w:left="420" w:right="3379" w:hanging="415"/>
        <w:spacing w:after="0" w:line="24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Slot machine win per unit per day net of participation fees and progressive accruals.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 Wynn Resorts, Limited, Las Vegas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Samanta Stewart, 702-770-7555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investorrelations@wynnresorts.com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www.wynnresorts.com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www.wynnlasvegas.com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www.wynnmacau.com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 Wynn Resorts, Limited</w:t>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2019-12-12T04:10:12Z</dcterms:created>
  <dcterms:modified xsi:type="dcterms:W3CDTF">2019-12-12T04:10:12Z</dcterms:modified>
</cp:coreProperties>
</file>