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Washington, D.C. 20549</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64" w:lineRule="exact"/>
        <w:rPr>
          <w:sz w:val="24"/>
          <w:szCs w:val="24"/>
          <w:color w:val="auto"/>
        </w:rPr>
      </w:pPr>
    </w:p>
    <w:p>
      <w:pPr>
        <w:ind w:left="460" w:right="420" w:hanging="452"/>
        <w:spacing w:after="0" w:line="275" w:lineRule="auto"/>
        <w:tabs>
          <w:tab w:leader="none" w:pos="449"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 For the fiscal year ended December 31, 2013</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OR</w:t>
      </w:r>
    </w:p>
    <w:p>
      <w:pPr>
        <w:spacing w:after="0" w:line="44"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0" w:right="239" w:bottom="1440" w:gutter="0" w:footer="0" w:header="0"/>
        </w:sectPr>
      </w:pPr>
    </w:p>
    <w:p>
      <w:pPr>
        <w:spacing w:after="0" w:line="28" w:lineRule="exact"/>
        <w:rPr>
          <w:sz w:val="24"/>
          <w:szCs w:val="24"/>
          <w:color w:val="auto"/>
        </w:rPr>
      </w:pPr>
    </w:p>
    <w:p>
      <w:pPr>
        <w:ind w:left="460"/>
        <w:spacing w:after="0"/>
        <w:tabs>
          <w:tab w:leader="none" w:pos="3860" w:val="left"/>
        </w:tabs>
        <w:rPr>
          <w:sz w:val="20"/>
          <w:szCs w:val="20"/>
          <w:color w:val="auto"/>
        </w:rPr>
      </w:pPr>
      <w:r>
        <w:rPr>
          <w:rFonts w:ascii="Arial" w:cs="Arial" w:eastAsia="Arial" w:hAnsi="Arial"/>
          <w:sz w:val="22"/>
          <w:szCs w:val="22"/>
          <w:b w:val="1"/>
          <w:bCs w:val="1"/>
          <w:color w:val="auto"/>
        </w:rPr>
        <w:t>For the transition period</w:t>
      </w:r>
      <w:r>
        <w:rPr>
          <w:sz w:val="20"/>
          <w:szCs w:val="20"/>
          <w:color w:val="auto"/>
        </w:rPr>
        <w:tab/>
      </w:r>
      <w:r>
        <w:rPr>
          <w:rFonts w:ascii="Arial" w:cs="Arial" w:eastAsia="Arial" w:hAnsi="Arial"/>
          <w:sz w:val="19"/>
          <w:szCs w:val="19"/>
          <w:b w:val="1"/>
          <w:bCs w:val="1"/>
          <w:color w:val="auto"/>
        </w:rPr>
        <w:t>to</w:t>
      </w:r>
    </w:p>
    <w:p>
      <w:pPr>
        <w:sectPr>
          <w:pgSz w:w="11900" w:h="16838" w:orient="portrait"/>
          <w:cols w:equalWidth="0" w:num="1">
            <w:col w:w="11420"/>
          </w:cols>
          <w:pgMar w:left="240" w:top="230" w:right="239" w:bottom="1440" w:gutter="0" w:footer="0" w:header="0"/>
          <w:type w:val="continuous"/>
        </w:sectPr>
      </w:pPr>
    </w:p>
    <w:p>
      <w:pPr>
        <w:spacing w:after="0" w:line="84"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Commission File No. 333-100768</w:t>
      </w:r>
    </w:p>
    <w:p>
      <w:pPr>
        <w:sectPr>
          <w:pgSz w:w="11900" w:h="16838" w:orient="portrait"/>
          <w:cols w:equalWidth="0" w:num="1">
            <w:col w:w="11420"/>
          </w:cols>
          <w:pgMar w:left="240" w:top="230" w:right="239" w:bottom="1440" w:gutter="0" w:footer="0" w:header="0"/>
          <w:type w:val="continuous"/>
        </w:sectPr>
      </w:pPr>
    </w:p>
    <w:p>
      <w:pPr>
        <w:spacing w:after="0" w:line="9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LAS VEGAS, LLC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20"/>
          </w:cols>
          <w:pgMar w:left="240" w:top="230" w:right="239" w:bottom="1440" w:gutter="0" w:footer="0" w:header="0"/>
          <w:type w:val="continuous"/>
        </w:sectPr>
      </w:pPr>
    </w:p>
    <w:p>
      <w:pPr>
        <w:spacing w:after="0" w:line="70" w:lineRule="exact"/>
        <w:rPr>
          <w:sz w:val="24"/>
          <w:szCs w:val="24"/>
          <w:color w:val="auto"/>
        </w:rPr>
      </w:pPr>
    </w:p>
    <w:p>
      <w:pPr>
        <w:ind w:left="258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EVADA</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88-0494875</w:t>
      </w:r>
    </w:p>
    <w:p>
      <w:pPr>
        <w:spacing w:after="0" w:line="34" w:lineRule="exact"/>
        <w:rPr>
          <w:sz w:val="24"/>
          <w:szCs w:val="24"/>
          <w:color w:val="auto"/>
        </w:rPr>
      </w:pPr>
    </w:p>
    <w:p>
      <w:pPr>
        <w:sectPr>
          <w:pgSz w:w="11900" w:h="16838" w:orient="portrait"/>
          <w:cols w:equalWidth="0" w:num="2">
            <w:col w:w="7500" w:space="720"/>
            <w:col w:w="3200"/>
          </w:cols>
          <w:pgMar w:left="240" w:top="230" w:right="239" w:bottom="1440" w:gutter="0" w:footer="0" w:header="0"/>
          <w:type w:val="continuous"/>
        </w:sectPr>
      </w:pPr>
    </w:p>
    <w:p>
      <w:pPr>
        <w:spacing w:after="0" w:line="9" w:lineRule="exact"/>
        <w:rPr>
          <w:sz w:val="24"/>
          <w:szCs w:val="24"/>
          <w:color w:val="auto"/>
        </w:rPr>
      </w:pPr>
    </w:p>
    <w:p>
      <w:pPr>
        <w:ind w:left="204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202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100"/>
        <w:spacing w:after="0"/>
        <w:rPr>
          <w:sz w:val="20"/>
          <w:szCs w:val="20"/>
          <w:color w:val="auto"/>
        </w:rPr>
      </w:pPr>
      <w:r>
        <w:rPr>
          <w:rFonts w:ascii="Arial" w:cs="Arial" w:eastAsia="Arial" w:hAnsi="Arial"/>
          <w:sz w:val="14"/>
          <w:szCs w:val="14"/>
          <w:b w:val="1"/>
          <w:bCs w:val="1"/>
          <w:color w:val="auto"/>
        </w:rPr>
        <w:t>(I.R.S. Employer</w:t>
      </w:r>
    </w:p>
    <w:p>
      <w:pPr>
        <w:jc w:val="center"/>
        <w:ind w:right="2100"/>
        <w:spacing w:after="0"/>
        <w:rPr>
          <w:sz w:val="20"/>
          <w:szCs w:val="20"/>
          <w:color w:val="auto"/>
        </w:rPr>
      </w:pPr>
      <w:r>
        <w:rPr>
          <w:rFonts w:ascii="Arial" w:cs="Arial" w:eastAsia="Arial" w:hAnsi="Arial"/>
          <w:sz w:val="12"/>
          <w:szCs w:val="12"/>
          <w:b w:val="1"/>
          <w:bCs w:val="1"/>
          <w:color w:val="auto"/>
        </w:rPr>
        <w:t>Identification Number)</w:t>
      </w:r>
    </w:p>
    <w:p>
      <w:pPr>
        <w:spacing w:after="0" w:line="90" w:lineRule="exact"/>
        <w:rPr>
          <w:sz w:val="24"/>
          <w:szCs w:val="24"/>
          <w:color w:val="auto"/>
        </w:rPr>
      </w:pPr>
    </w:p>
    <w:p>
      <w:pPr>
        <w:sectPr>
          <w:pgSz w:w="11900" w:h="16838" w:orient="portrait"/>
          <w:cols w:equalWidth="0" w:num="2">
            <w:col w:w="7260" w:space="720"/>
            <w:col w:w="3440"/>
          </w:cols>
          <w:pgMar w:left="240" w:top="230" w:right="239" w:bottom="1440" w:gutter="0" w:footer="0" w:header="0"/>
          <w:type w:val="continuous"/>
        </w:sectPr>
      </w:pPr>
    </w:p>
    <w:p>
      <w:pPr>
        <w:jc w:val="center"/>
        <w:ind w:right="-19"/>
        <w:spacing w:after="0"/>
        <w:rPr>
          <w:sz w:val="20"/>
          <w:szCs w:val="20"/>
          <w:color w:val="auto"/>
        </w:rPr>
      </w:pPr>
      <w:r>
        <w:rPr>
          <w:rFonts w:ascii="Arial" w:cs="Arial" w:eastAsia="Arial" w:hAnsi="Arial"/>
          <w:sz w:val="15"/>
          <w:szCs w:val="15"/>
          <w:b w:val="1"/>
          <w:bCs w:val="1"/>
          <w:color w:val="auto"/>
        </w:rPr>
        <w:t>3131 Las Vegas Boulevard South - Las Vegas, Nevada 89109</w:t>
      </w:r>
    </w:p>
    <w:p>
      <w:pPr>
        <w:spacing w:after="0" w:line="5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5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56" w:lineRule="exact"/>
        <w:rPr>
          <w:sz w:val="24"/>
          <w:szCs w:val="24"/>
          <w:color w:val="auto"/>
        </w:rPr>
      </w:pPr>
    </w:p>
    <w:p>
      <w:pPr>
        <w:ind w:left="356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13" w:lineRule="exact"/>
        <w:rPr>
          <w:sz w:val="24"/>
          <w:szCs w:val="24"/>
          <w:color w:val="auto"/>
        </w:rPr>
      </w:pPr>
    </w:p>
    <w:p>
      <w:pPr>
        <w:ind w:left="5520"/>
        <w:spacing w:after="0"/>
        <w:rPr>
          <w:sz w:val="20"/>
          <w:szCs w:val="20"/>
          <w:color w:val="auto"/>
        </w:rPr>
      </w:pPr>
      <w:r>
        <w:rPr>
          <w:rFonts w:ascii="Arial" w:cs="Arial" w:eastAsia="Arial" w:hAnsi="Arial"/>
          <w:sz w:val="18"/>
          <w:szCs w:val="18"/>
          <w:b w:val="1"/>
          <w:bCs w:val="1"/>
          <w:color w:val="auto"/>
        </w:rPr>
        <w:t>None</w:t>
      </w:r>
    </w:p>
    <w:p>
      <w:pPr>
        <w:spacing w:after="0" w:line="90" w:lineRule="exact"/>
        <w:rPr>
          <w:sz w:val="24"/>
          <w:szCs w:val="24"/>
          <w:color w:val="auto"/>
        </w:rPr>
      </w:pPr>
    </w:p>
    <w:p>
      <w:pPr>
        <w:ind w:left="3580"/>
        <w:spacing w:after="0"/>
        <w:rPr>
          <w:sz w:val="20"/>
          <w:szCs w:val="20"/>
          <w:color w:val="auto"/>
        </w:rPr>
      </w:pPr>
      <w:r>
        <w:rPr>
          <w:rFonts w:ascii="Arial" w:cs="Arial" w:eastAsia="Arial" w:hAnsi="Arial"/>
          <w:sz w:val="15"/>
          <w:szCs w:val="15"/>
          <w:b w:val="1"/>
          <w:bCs w:val="1"/>
          <w:color w:val="auto"/>
        </w:rPr>
        <w:t>Securities registered pursuant to Section 12(g) of the Act:</w:t>
      </w:r>
    </w:p>
    <w:p>
      <w:pPr>
        <w:spacing w:after="0" w:line="125" w:lineRule="exact"/>
        <w:rPr>
          <w:sz w:val="24"/>
          <w:szCs w:val="24"/>
          <w:color w:val="auto"/>
        </w:rPr>
      </w:pPr>
    </w:p>
    <w:p>
      <w:pPr>
        <w:ind w:left="5520"/>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w:t>
      </w:r>
    </w:p>
    <w:p>
      <w:pPr>
        <w:sectPr>
          <w:pgSz w:w="11900" w:h="16838" w:orient="portrait"/>
          <w:cols w:equalWidth="0" w:num="1">
            <w:col w:w="11420"/>
          </w:cols>
          <w:pgMar w:left="240" w:top="230" w:right="239" w:bottom="1440" w:gutter="0" w:footer="0" w:header="0"/>
          <w:type w:val="continuous"/>
        </w:sectPr>
      </w:pPr>
    </w:p>
    <w:p>
      <w:pPr>
        <w:spacing w:after="0" w:line="6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if the registrant is a well-known seasoned issuer, as defined in Rule 405 of the Securities Act. Yes</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42"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6" w:lineRule="exact"/>
        <w:rPr>
          <w:sz w:val="24"/>
          <w:szCs w:val="24"/>
          <w:color w:val="auto"/>
        </w:rPr>
      </w:pPr>
    </w:p>
    <w:p>
      <w:pPr>
        <w:sectPr>
          <w:pgSz w:w="11900" w:h="16838" w:orient="portrait"/>
          <w:cols w:equalWidth="0" w:num="4">
            <w:col w:w="8980" w:space="100"/>
            <w:col w:w="160" w:space="180"/>
            <w:col w:w="200" w:space="100"/>
            <w:col w:w="1700"/>
          </w:cols>
          <w:pgMar w:left="240" w:top="230" w:right="239" w:bottom="1440" w:gutter="0" w:footer="0" w:header="0"/>
          <w:type w:val="continuous"/>
        </w:sectPr>
      </w:pPr>
    </w:p>
    <w:p>
      <w:pPr>
        <w:spacing w:after="0" w:line="33"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if the registrant is not required to file reports pursuant to Section 13 or Section 15(d) of the Act. 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9" w:lineRule="exact"/>
        <w:rPr>
          <w:sz w:val="24"/>
          <w:szCs w:val="24"/>
          <w:color w:val="auto"/>
        </w:rPr>
      </w:pPr>
    </w:p>
    <w:p>
      <w:pPr>
        <w:sectPr>
          <w:pgSz w:w="11900" w:h="16838" w:orient="portrait"/>
          <w:cols w:equalWidth="0" w:num="4">
            <w:col w:w="9140" w:space="100"/>
            <w:col w:w="160" w:space="180"/>
            <w:col w:w="200" w:space="100"/>
            <w:col w:w="1540"/>
          </w:cols>
          <w:pgMar w:left="240" w:top="230" w:right="239" w:bottom="1440" w:gutter="0" w:footer="0" w:header="0"/>
          <w:type w:val="continuous"/>
        </w:sectPr>
      </w:pPr>
    </w:p>
    <w:p>
      <w:pPr>
        <w:ind w:right="24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jc w:val="both"/>
        <w:ind w:right="10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right="80"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57" w:lineRule="exact"/>
        <w:rPr>
          <w:sz w:val="24"/>
          <w:szCs w:val="24"/>
          <w:color w:val="auto"/>
        </w:rPr>
      </w:pPr>
    </w:p>
    <w:p>
      <w:pPr>
        <w:ind w:right="260" w:firstLine="456"/>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ectPr>
          <w:pgSz w:w="11900" w:h="16838" w:orient="portrait"/>
          <w:cols w:equalWidth="0" w:num="4">
            <w:col w:w="1500" w:space="420"/>
            <w:col w:w="6220" w:space="720"/>
            <w:col w:w="1920" w:space="480"/>
            <w:col w:w="160"/>
          </w:cols>
          <w:pgMar w:left="240" w:top="230" w:right="23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 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89" w:lineRule="exact"/>
        <w:rPr>
          <w:sz w:val="24"/>
          <w:szCs w:val="24"/>
          <w:color w:val="auto"/>
        </w:rPr>
      </w:pPr>
    </w:p>
    <w:p>
      <w:pPr>
        <w:sectPr>
          <w:pgSz w:w="11900" w:h="16838" w:orient="portrait"/>
          <w:cols w:equalWidth="0" w:num="4">
            <w:col w:w="8720" w:space="100"/>
            <w:col w:w="140" w:space="180"/>
            <w:col w:w="220" w:space="100"/>
            <w:col w:w="1960"/>
          </w:cols>
          <w:pgMar w:left="240" w:top="230" w:right="239" w:bottom="1440" w:gutter="0" w:footer="0" w:header="0"/>
          <w:type w:val="continuous"/>
        </w:sectPr>
      </w:pPr>
    </w:p>
    <w:p>
      <w:pPr>
        <w:ind w:right="20" w:firstLine="456"/>
        <w:spacing w:after="0" w:line="268" w:lineRule="auto"/>
        <w:rPr>
          <w:sz w:val="20"/>
          <w:szCs w:val="20"/>
          <w:color w:val="auto"/>
        </w:rPr>
      </w:pPr>
      <w:r>
        <w:rPr>
          <w:rFonts w:ascii="Arial" w:cs="Arial" w:eastAsia="Arial" w:hAnsi="Arial"/>
          <w:sz w:val="18"/>
          <w:szCs w:val="18"/>
          <w:color w:val="auto"/>
        </w:rPr>
        <w:t>The aggregate market value of the registrant’s voting interests held by non-affiliates on June 30, 2013 was $0. Wynn Resorts Holdings, LLC owns all of the membership interests of the registrant.</w:t>
      </w:r>
    </w:p>
    <w:p>
      <w:pPr>
        <w:spacing w:after="0" w:line="45" w:lineRule="exact"/>
        <w:rPr>
          <w:sz w:val="24"/>
          <w:szCs w:val="24"/>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The registrant meets the conditions set forth in General Instruction I(1)(a) and (b) of Form 10-K and is therefore filing this Form with the reduced disclosure format.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60" w:type="dxa"/>
            <w:vAlign w:val="bottom"/>
            <w:gridSpan w:val="3"/>
          </w:tcPr>
          <w:p>
            <w:pPr>
              <w:jc w:val="right"/>
              <w:ind w:right="4552"/>
              <w:spacing w:after="0"/>
              <w:rPr>
                <w:sz w:val="20"/>
                <w:szCs w:val="20"/>
                <w:color w:val="auto"/>
              </w:rPr>
            </w:pPr>
            <w:r>
              <w:rPr>
                <w:rFonts w:ascii="Arial" w:cs="Arial" w:eastAsia="Arial" w:hAnsi="Arial"/>
                <w:sz w:val="18"/>
                <w:szCs w:val="18"/>
                <w:b w:val="1"/>
                <w:bCs w:val="1"/>
                <w:color w:val="auto"/>
              </w:rPr>
              <w:t>TABLE OF CONTENTS</w:t>
            </w:r>
          </w:p>
        </w:tc>
      </w:tr>
      <w:tr>
        <w:trPr>
          <w:trHeight w:val="380"/>
        </w:trPr>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160" w:type="dxa"/>
            <w:vAlign w:val="bottom"/>
            <w:gridSpan w:val="2"/>
          </w:tcPr>
          <w:p>
            <w:pPr>
              <w:jc w:val="right"/>
              <w:ind w:right="5512"/>
              <w:spacing w:after="0"/>
              <w:rPr>
                <w:rFonts w:ascii="Arial" w:cs="Arial" w:eastAsia="Arial" w:hAnsi="Arial"/>
                <w:sz w:val="18"/>
                <w:szCs w:val="18"/>
                <w:b w:val="1"/>
                <w:bCs w:val="1"/>
                <w:color w:val="0000EE"/>
                <w:w w:val="91"/>
              </w:rPr>
            </w:pPr>
            <w:hyperlink w:anchor="page3">
              <w:r>
                <w:rPr>
                  <w:rFonts w:ascii="Arial" w:cs="Arial" w:eastAsia="Arial" w:hAnsi="Arial"/>
                  <w:sz w:val="18"/>
                  <w:szCs w:val="18"/>
                  <w:b w:val="1"/>
                  <w:bCs w:val="1"/>
                  <w:color w:val="0000EE"/>
                  <w:w w:val="91"/>
                </w:rPr>
                <w:t>PART I</w:t>
              </w:r>
            </w:hyperlink>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620" w:type="dxa"/>
            <w:vAlign w:val="bottom"/>
            <w:tcBorders>
              <w:bottom w:val="single" w:sz="8" w:color="0000EE"/>
            </w:tcBorders>
          </w:tcPr>
          <w:p>
            <w:pPr>
              <w:spacing w:after="0" w:line="196" w:lineRule="exact"/>
              <w:rPr>
                <w:rFonts w:ascii="Arial" w:cs="Arial" w:eastAsia="Arial" w:hAnsi="Arial"/>
                <w:sz w:val="18"/>
                <w:szCs w:val="18"/>
                <w:color w:val="0000EE"/>
                <w:w w:val="82"/>
              </w:rPr>
            </w:pPr>
            <w:hyperlink w:anchor="page3">
              <w:r>
                <w:rPr>
                  <w:rFonts w:ascii="Arial" w:cs="Arial" w:eastAsia="Arial" w:hAnsi="Arial"/>
                  <w:sz w:val="18"/>
                  <w:szCs w:val="18"/>
                  <w:color w:val="0000EE"/>
                  <w:w w:val="82"/>
                </w:rPr>
                <w:t>Business</w:t>
              </w:r>
            </w:hyperlink>
          </w:p>
        </w:tc>
        <w:tc>
          <w:tcPr>
            <w:tcW w:w="2300" w:type="dxa"/>
            <w:vAlign w:val="bottom"/>
            <w:gridSpan w:val="6"/>
          </w:tcPr>
          <w:p>
            <w:pPr>
              <w:spacing w:after="0"/>
              <w:rPr>
                <w:sz w:val="17"/>
                <w:szCs w:val="17"/>
                <w:color w:val="auto"/>
              </w:rPr>
            </w:pPr>
          </w:p>
        </w:tc>
        <w:tc>
          <w:tcPr>
            <w:tcW w:w="1300" w:type="dxa"/>
            <w:vAlign w:val="bottom"/>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56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12">
              <w:r>
                <w:rPr>
                  <w:rFonts w:ascii="Arial" w:cs="Arial" w:eastAsia="Arial" w:hAnsi="Arial"/>
                  <w:sz w:val="18"/>
                  <w:szCs w:val="18"/>
                  <w:color w:val="0000EE"/>
                  <w:w w:val="85"/>
                </w:rPr>
                <w:t>Risk Factors</w:t>
              </w:r>
            </w:hyperlink>
          </w:p>
        </w:tc>
        <w:tc>
          <w:tcPr>
            <w:tcW w:w="2040" w:type="dxa"/>
            <w:vAlign w:val="bottom"/>
            <w:gridSpan w:val="4"/>
          </w:tcPr>
          <w:p>
            <w:pPr>
              <w:spacing w:after="0"/>
              <w:rPr>
                <w:sz w:val="17"/>
                <w:szCs w:val="17"/>
                <w:color w:val="auto"/>
              </w:rPr>
            </w:pPr>
          </w:p>
        </w:tc>
        <w:tc>
          <w:tcPr>
            <w:tcW w:w="74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2920" w:type="dxa"/>
            <w:vAlign w:val="bottom"/>
            <w:gridSpan w:val="7"/>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Unresolved Staff Comments</w:t>
              </w:r>
            </w:hyperlink>
          </w:p>
        </w:tc>
        <w:tc>
          <w:tcPr>
            <w:tcW w:w="74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19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Properties</w:t>
              </w:r>
            </w:hyperlink>
          </w:p>
        </w:tc>
        <w:tc>
          <w:tcPr>
            <w:tcW w:w="940" w:type="dxa"/>
            <w:vAlign w:val="bottom"/>
          </w:tcPr>
          <w:p>
            <w:pPr>
              <w:spacing w:after="0"/>
              <w:rPr>
                <w:sz w:val="17"/>
                <w:szCs w:val="17"/>
                <w:color w:val="auto"/>
              </w:rPr>
            </w:pPr>
          </w:p>
        </w:tc>
        <w:tc>
          <w:tcPr>
            <w:tcW w:w="74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9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7460" w:type="dxa"/>
            <w:vAlign w:val="bottom"/>
            <w:gridSpan w:val="3"/>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1300" w:type="dxa"/>
            <w:vAlign w:val="bottom"/>
            <w:tcBorders>
              <w:bottom w:val="single" w:sz="8" w:color="0000EE"/>
            </w:tcBorders>
            <w:gridSpan w:val="4"/>
          </w:tcPr>
          <w:p>
            <w:pPr>
              <w:spacing w:after="0" w:line="196" w:lineRule="exact"/>
              <w:rPr>
                <w:rFonts w:ascii="Arial" w:cs="Arial" w:eastAsia="Arial" w:hAnsi="Arial"/>
                <w:sz w:val="18"/>
                <w:szCs w:val="18"/>
                <w:color w:val="0000EE"/>
                <w:w w:val="85"/>
              </w:rPr>
            </w:pPr>
            <w:hyperlink w:anchor="page20">
              <w:r>
                <w:rPr>
                  <w:rFonts w:ascii="Arial" w:cs="Arial" w:eastAsia="Arial" w:hAnsi="Arial"/>
                  <w:sz w:val="18"/>
                  <w:szCs w:val="18"/>
                  <w:color w:val="0000EE"/>
                  <w:w w:val="85"/>
                </w:rPr>
                <w:t>Legal Proceedings</w:t>
              </w:r>
            </w:hyperlink>
          </w:p>
        </w:tc>
        <w:tc>
          <w:tcPr>
            <w:tcW w:w="1620" w:type="dxa"/>
            <w:vAlign w:val="bottom"/>
            <w:gridSpan w:val="3"/>
          </w:tcPr>
          <w:p>
            <w:pPr>
              <w:spacing w:after="0"/>
              <w:rPr>
                <w:sz w:val="17"/>
                <w:szCs w:val="17"/>
                <w:color w:val="auto"/>
              </w:rPr>
            </w:pPr>
          </w:p>
        </w:tc>
        <w:tc>
          <w:tcPr>
            <w:tcW w:w="74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72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20">
              <w:r>
                <w:rPr>
                  <w:rFonts w:ascii="Arial" w:cs="Arial" w:eastAsia="Arial" w:hAnsi="Arial"/>
                  <w:sz w:val="18"/>
                  <w:szCs w:val="18"/>
                  <w:color w:val="0000EE"/>
                  <w:w w:val="88"/>
                </w:rPr>
                <w:t>Mine Safety Disclosures</w:t>
              </w:r>
            </w:hyperlink>
          </w:p>
        </w:tc>
        <w:tc>
          <w:tcPr>
            <w:tcW w:w="1200" w:type="dxa"/>
            <w:vAlign w:val="bottom"/>
            <w:gridSpan w:val="2"/>
          </w:tcPr>
          <w:p>
            <w:pPr>
              <w:spacing w:after="0"/>
              <w:rPr>
                <w:sz w:val="17"/>
                <w:szCs w:val="17"/>
                <w:color w:val="auto"/>
              </w:rPr>
            </w:pPr>
          </w:p>
        </w:tc>
        <w:tc>
          <w:tcPr>
            <w:tcW w:w="74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20</w:t>
            </w: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0" w:type="dxa"/>
            <w:vAlign w:val="bottom"/>
            <w:gridSpan w:val="5"/>
          </w:tcPr>
          <w:p>
            <w:pPr>
              <w:spacing w:after="0"/>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PART II</w:t>
              </w:r>
            </w:hyperlink>
          </w:p>
        </w:tc>
        <w:tc>
          <w:tcPr>
            <w:tcW w:w="134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788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21">
              <w:r>
                <w:rPr>
                  <w:rFonts w:ascii="Arial" w:cs="Arial" w:eastAsia="Arial" w:hAnsi="Arial"/>
                  <w:sz w:val="18"/>
                  <w:szCs w:val="18"/>
                  <w:color w:val="0000EE"/>
                  <w:w w:val="88"/>
                </w:rPr>
                <w:t>Market for Registrant’s Common Equity, Related Stockholder Matters and Issuer Purchases of Equity Securities</w:t>
              </w:r>
            </w:hyperlink>
          </w:p>
        </w:tc>
        <w:tc>
          <w:tcPr>
            <w:tcW w:w="1160" w:type="dxa"/>
            <w:vAlign w:val="bottom"/>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9040" w:type="dxa"/>
            <w:vAlign w:val="bottom"/>
            <w:gridSpan w:val="10"/>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Selected Financial Data</w:t>
              </w:r>
            </w:hyperlink>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
        </w:trPr>
        <w:tc>
          <w:tcPr>
            <w:tcW w:w="92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630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22">
              <w:r>
                <w:rPr>
                  <w:rFonts w:ascii="Arial" w:cs="Arial" w:eastAsia="Arial" w:hAnsi="Arial"/>
                  <w:sz w:val="18"/>
                  <w:szCs w:val="18"/>
                  <w:color w:val="0000EE"/>
                  <w:w w:val="88"/>
                </w:rPr>
                <w:t>Management’s Discussion and Analysis of Financial Condition and Results of Operations</w:t>
              </w:r>
            </w:hyperlink>
          </w:p>
        </w:tc>
        <w:tc>
          <w:tcPr>
            <w:tcW w:w="2740" w:type="dxa"/>
            <w:vAlign w:val="bottom"/>
            <w:gridSpan w:val="3"/>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7A.</w:t>
            </w:r>
          </w:p>
        </w:tc>
        <w:tc>
          <w:tcPr>
            <w:tcW w:w="9040" w:type="dxa"/>
            <w:vAlign w:val="bottom"/>
            <w:gridSpan w:val="10"/>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Quantitative and Qualitative Disclosures About Market Risk</w:t>
              </w:r>
            </w:hyperlink>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42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Financial Statements and Supplementary Data</w:t>
              </w:r>
            </w:hyperlink>
          </w:p>
        </w:tc>
        <w:tc>
          <w:tcPr>
            <w:tcW w:w="4800" w:type="dxa"/>
            <w:vAlign w:val="bottom"/>
            <w:gridSpan w:val="5"/>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20"/>
        </w:trPr>
        <w:tc>
          <w:tcPr>
            <w:tcW w:w="92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9040" w:type="dxa"/>
            <w:vAlign w:val="bottom"/>
            <w:gridSpan w:val="10"/>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Changes in and Disagreements With Accountants on Accounting and Financial Disclosure</w:t>
              </w:r>
            </w:hyperlink>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17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5"/>
              </w:rPr>
            </w:pPr>
            <w:hyperlink w:anchor="page65">
              <w:r>
                <w:rPr>
                  <w:rFonts w:ascii="Arial" w:cs="Arial" w:eastAsia="Arial" w:hAnsi="Arial"/>
                  <w:sz w:val="18"/>
                  <w:szCs w:val="18"/>
                  <w:color w:val="0000EE"/>
                  <w:w w:val="85"/>
                </w:rPr>
                <w:t>Controls and Procedures</w:t>
              </w:r>
            </w:hyperlink>
          </w:p>
        </w:tc>
        <w:tc>
          <w:tcPr>
            <w:tcW w:w="4620" w:type="dxa"/>
            <w:vAlign w:val="bottom"/>
            <w:tcBorders>
              <w:top w:val="single" w:sz="8" w:color="0000EE"/>
            </w:tcBorders>
            <w:gridSpan w:val="5"/>
          </w:tcPr>
          <w:p>
            <w:pPr>
              <w:spacing w:after="0"/>
              <w:rPr>
                <w:sz w:val="17"/>
                <w:szCs w:val="17"/>
                <w:color w:val="auto"/>
              </w:rPr>
            </w:pPr>
          </w:p>
        </w:tc>
        <w:tc>
          <w:tcPr>
            <w:tcW w:w="2700" w:type="dxa"/>
            <w:vAlign w:val="bottom"/>
            <w:gridSpan w:val="2"/>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9B.</w:t>
            </w:r>
          </w:p>
        </w:tc>
        <w:tc>
          <w:tcPr>
            <w:tcW w:w="128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65">
              <w:r>
                <w:rPr>
                  <w:rFonts w:ascii="Arial" w:cs="Arial" w:eastAsia="Arial" w:hAnsi="Arial"/>
                  <w:sz w:val="18"/>
                  <w:szCs w:val="18"/>
                  <w:color w:val="0000EE"/>
                  <w:w w:val="89"/>
                </w:rPr>
                <w:t>Other Information</w:t>
              </w:r>
            </w:hyperlink>
          </w:p>
        </w:tc>
        <w:tc>
          <w:tcPr>
            <w:tcW w:w="7760" w:type="dxa"/>
            <w:vAlign w:val="bottom"/>
            <w:gridSpan w:val="9"/>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Borders>
              <w:bottom w:val="single" w:sz="8" w:color="0000EE"/>
            </w:tcBorders>
          </w:tcPr>
          <w:p>
            <w:pPr>
              <w:spacing w:after="0"/>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PART III</w:t>
              </w:r>
            </w:hyperlink>
          </w:p>
        </w:tc>
        <w:tc>
          <w:tcPr>
            <w:tcW w:w="3800" w:type="dxa"/>
            <w:vAlign w:val="bottom"/>
            <w:gridSpan w:val="3"/>
          </w:tcPr>
          <w:p>
            <w:pPr>
              <w:spacing w:after="0"/>
              <w:rPr>
                <w:sz w:val="17"/>
                <w:szCs w:val="17"/>
                <w:color w:val="auto"/>
              </w:rPr>
            </w:pPr>
          </w:p>
        </w:tc>
        <w:tc>
          <w:tcPr>
            <w:tcW w:w="1720" w:type="dxa"/>
            <w:vAlign w:val="bottom"/>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10.</w:t>
            </w:r>
          </w:p>
        </w:tc>
        <w:tc>
          <w:tcPr>
            <w:tcW w:w="8660" w:type="dxa"/>
            <w:vAlign w:val="bottom"/>
            <w:gridSpan w:val="8"/>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Directors, Executive Officers and Corporate Governance</w:t>
              </w:r>
            </w:hyperlink>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1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w:anchor="page66">
              <w:r>
                <w:rPr>
                  <w:rFonts w:ascii="Arial" w:cs="Arial" w:eastAsia="Arial" w:hAnsi="Arial"/>
                  <w:sz w:val="18"/>
                  <w:szCs w:val="18"/>
                  <w:color w:val="0000EE"/>
                  <w:w w:val="87"/>
                </w:rPr>
                <w:t>Executive Compensation</w:t>
              </w:r>
            </w:hyperlink>
          </w:p>
        </w:tc>
        <w:tc>
          <w:tcPr>
            <w:tcW w:w="2220" w:type="dxa"/>
            <w:vAlign w:val="bottom"/>
            <w:tcBorders>
              <w:top w:val="single" w:sz="8" w:color="0000EE"/>
            </w:tcBorders>
            <w:gridSpan w:val="2"/>
          </w:tcPr>
          <w:p>
            <w:pPr>
              <w:spacing w:after="0"/>
              <w:rPr>
                <w:sz w:val="17"/>
                <w:szCs w:val="17"/>
                <w:color w:val="auto"/>
              </w:rPr>
            </w:pPr>
          </w:p>
        </w:tc>
        <w:tc>
          <w:tcPr>
            <w:tcW w:w="4680" w:type="dxa"/>
            <w:vAlign w:val="bottom"/>
            <w:gridSpan w:val="5"/>
          </w:tcPr>
          <w:p>
            <w:pPr>
              <w:spacing w:after="0"/>
              <w:rPr>
                <w:sz w:val="17"/>
                <w:szCs w:val="17"/>
                <w:color w:val="auto"/>
              </w:rPr>
            </w:pPr>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8660" w:type="dxa"/>
            <w:vAlign w:val="bottom"/>
            <w:gridSpan w:val="8"/>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Security Ownership of Certain Beneficial Owners and Management and Related Stockholder Matters</w:t>
              </w:r>
            </w:hyperlink>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53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7"/>
              </w:rPr>
            </w:pPr>
            <w:hyperlink w:anchor="page66">
              <w:r>
                <w:rPr>
                  <w:rFonts w:ascii="Arial" w:cs="Arial" w:eastAsia="Arial" w:hAnsi="Arial"/>
                  <w:sz w:val="18"/>
                  <w:szCs w:val="18"/>
                  <w:color w:val="0000EE"/>
                  <w:w w:val="87"/>
                </w:rPr>
                <w:t>Certain Relationships and Related Transactions, and Director Independence</w:t>
              </w:r>
            </w:hyperlink>
          </w:p>
        </w:tc>
        <w:tc>
          <w:tcPr>
            <w:tcW w:w="1780" w:type="dxa"/>
            <w:vAlign w:val="bottom"/>
            <w:tcBorders>
              <w:top w:val="single" w:sz="8" w:color="0000EE"/>
            </w:tcBorders>
          </w:tcPr>
          <w:p>
            <w:pPr>
              <w:spacing w:after="0"/>
              <w:rPr>
                <w:sz w:val="17"/>
                <w:szCs w:val="17"/>
                <w:color w:val="auto"/>
              </w:rPr>
            </w:pPr>
          </w:p>
        </w:tc>
        <w:tc>
          <w:tcPr>
            <w:tcW w:w="1560" w:type="dxa"/>
            <w:vAlign w:val="bottom"/>
          </w:tcPr>
          <w:p>
            <w:pPr>
              <w:spacing w:after="0"/>
              <w:rPr>
                <w:sz w:val="17"/>
                <w:szCs w:val="17"/>
                <w:color w:val="auto"/>
              </w:rPr>
            </w:pPr>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8660" w:type="dxa"/>
            <w:vAlign w:val="bottom"/>
            <w:gridSpan w:val="8"/>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Principal Accountant Fees and Services</w:t>
              </w:r>
            </w:hyperlink>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r>
      <w:tr>
        <w:trPr>
          <w:trHeight w:val="20"/>
        </w:trPr>
        <w:tc>
          <w:tcPr>
            <w:tcW w:w="920" w:type="dxa"/>
            <w:vAlign w:val="bottom"/>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760" w:type="dxa"/>
            <w:vAlign w:val="bottom"/>
            <w:gridSpan w:val="3"/>
          </w:tcPr>
          <w:p>
            <w:pPr>
              <w:jc w:val="right"/>
              <w:ind w:right="5432"/>
              <w:spacing w:after="0"/>
              <w:rPr>
                <w:rFonts w:ascii="Arial" w:cs="Arial" w:eastAsia="Arial" w:hAnsi="Arial"/>
                <w:sz w:val="18"/>
                <w:szCs w:val="18"/>
                <w:b w:val="1"/>
                <w:bCs w:val="1"/>
                <w:color w:val="0000EE"/>
              </w:rPr>
            </w:pPr>
            <w:hyperlink w:anchor="page67">
              <w:r>
                <w:rPr>
                  <w:rFonts w:ascii="Arial" w:cs="Arial" w:eastAsia="Arial" w:hAnsi="Arial"/>
                  <w:sz w:val="18"/>
                  <w:szCs w:val="18"/>
                  <w:b w:val="1"/>
                  <w:bCs w:val="1"/>
                  <w:color w:val="0000EE"/>
                </w:rPr>
                <w:t>PART IV</w:t>
              </w:r>
            </w:hyperlink>
          </w:p>
        </w:tc>
      </w:tr>
      <w:tr>
        <w:trPr>
          <w:trHeight w:val="196"/>
        </w:trPr>
        <w:tc>
          <w:tcPr>
            <w:tcW w:w="840" w:type="dxa"/>
            <w:vAlign w:val="bottom"/>
            <w:gridSpan w:val="2"/>
          </w:tcPr>
          <w:p>
            <w:pPr>
              <w:spacing w:after="0" w:line="196" w:lineRule="exact"/>
              <w:rPr>
                <w:sz w:val="20"/>
                <w:szCs w:val="20"/>
                <w:color w:val="auto"/>
              </w:rPr>
            </w:pPr>
            <w:r>
              <w:rPr>
                <w:rFonts w:ascii="Arial" w:cs="Arial" w:eastAsia="Arial" w:hAnsi="Arial"/>
                <w:sz w:val="18"/>
                <w:szCs w:val="18"/>
                <w:color w:val="auto"/>
              </w:rPr>
              <w:t>Item 15.</w:t>
            </w:r>
          </w:p>
        </w:tc>
        <w:tc>
          <w:tcPr>
            <w:tcW w:w="3700" w:type="dxa"/>
            <w:vAlign w:val="bottom"/>
            <w:gridSpan w:val="3"/>
          </w:tcPr>
          <w:p>
            <w:pPr>
              <w:ind w:left="80"/>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Exhibits and Financial Statement Schedules</w:t>
              </w:r>
            </w:hyperlink>
          </w:p>
        </w:tc>
        <w:tc>
          <w:tcPr>
            <w:tcW w:w="540" w:type="dxa"/>
            <w:vAlign w:val="bottom"/>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552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196"/>
        </w:trPr>
        <w:tc>
          <w:tcPr>
            <w:tcW w:w="840" w:type="dxa"/>
            <w:vAlign w:val="bottom"/>
            <w:gridSpan w:val="2"/>
          </w:tcPr>
          <w:p>
            <w:pPr>
              <w:spacing w:after="0" w:line="196" w:lineRule="exact"/>
              <w:rPr>
                <w:rFonts w:ascii="Arial" w:cs="Arial" w:eastAsia="Arial" w:hAnsi="Arial"/>
                <w:sz w:val="18"/>
                <w:szCs w:val="18"/>
                <w:color w:val="0000EE"/>
                <w:w w:val="95"/>
              </w:rPr>
            </w:pPr>
            <w:hyperlink w:anchor="page73">
              <w:r>
                <w:rPr>
                  <w:rFonts w:ascii="Arial" w:cs="Arial" w:eastAsia="Arial" w:hAnsi="Arial"/>
                  <w:sz w:val="18"/>
                  <w:szCs w:val="18"/>
                  <w:color w:val="0000EE"/>
                  <w:w w:val="95"/>
                </w:rPr>
                <w:t>Signatures</w:t>
              </w:r>
            </w:hyperlink>
          </w:p>
        </w:tc>
        <w:tc>
          <w:tcPr>
            <w:tcW w:w="80" w:type="dxa"/>
            <w:vAlign w:val="bottom"/>
          </w:tcPr>
          <w:p>
            <w:pPr>
              <w:spacing w:after="0"/>
              <w:rPr>
                <w:sz w:val="17"/>
                <w:szCs w:val="17"/>
                <w:color w:val="auto"/>
              </w:rPr>
            </w:pPr>
          </w:p>
        </w:tc>
        <w:tc>
          <w:tcPr>
            <w:tcW w:w="3080" w:type="dxa"/>
            <w:vAlign w:val="bottom"/>
            <w:tcBorders>
              <w:top w:val="single" w:sz="8" w:color="0000EE"/>
            </w:tcBorders>
          </w:tcPr>
          <w:p>
            <w:pPr>
              <w:spacing w:after="0"/>
              <w:rPr>
                <w:sz w:val="17"/>
                <w:szCs w:val="17"/>
                <w:color w:val="auto"/>
              </w:rPr>
            </w:pPr>
          </w:p>
        </w:tc>
        <w:tc>
          <w:tcPr>
            <w:tcW w:w="540" w:type="dxa"/>
            <w:vAlign w:val="bottom"/>
          </w:tcPr>
          <w:p>
            <w:pPr>
              <w:spacing w:after="0"/>
              <w:rPr>
                <w:sz w:val="17"/>
                <w:szCs w:val="17"/>
                <w:color w:val="auto"/>
              </w:rPr>
            </w:pPr>
          </w:p>
        </w:tc>
        <w:tc>
          <w:tcPr>
            <w:tcW w:w="67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73</w:t>
            </w:r>
          </w:p>
        </w:tc>
      </w:tr>
      <w:tr>
        <w:trPr>
          <w:trHeight w:val="383"/>
        </w:trPr>
        <w:tc>
          <w:tcPr>
            <w:tcW w:w="7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5520" w:type="dxa"/>
            <w:vAlign w:val="bottom"/>
          </w:tcPr>
          <w:p>
            <w:pPr>
              <w:spacing w:after="0"/>
              <w:rPr>
                <w:sz w:val="24"/>
                <w:szCs w:val="24"/>
                <w:color w:val="auto"/>
              </w:rPr>
            </w:pPr>
          </w:p>
        </w:tc>
      </w:tr>
    </w:tbl>
    <w:p>
      <w:pPr>
        <w:sectPr>
          <w:pgSz w:w="11900" w:h="16838" w:orient="portrait"/>
          <w:cols w:equalWidth="0" w:num="1">
            <w:col w:w="11300"/>
          </w:cols>
          <w:pgMar w:left="240" w:top="459" w:right="3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Wynn Las Vegas, LLC owns and operates Wynn Las Vegas | Encore (“Wynn Las Vegas”), a fully integrated destination casino resort on the “Strip” in Las Vegas, Nevada. Wynn Las Vegas, LLC was formed on April 17, 2001 as a Nevada limited liability company. Unless the context otherwise requires, all references herein to the “Company,” “we,” “us” or “our,” or similar terms, refer to Wynn Las Vegas, LLC and its consolidated subsidiaries. The sole member of the Company is Wynn Resorts Holdings, LLC (“Holdings”). The sole member of Holdings is Wynn Resorts, Limited (“Wynn Resorts”).</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Wynn Las Vegas Capital Corp. (“Wynn Capital”) is a wholly owned subsidiary of Wynn Las Vegas, LLC, incorporated on June 3, 2002, solely for the purpose of obtaining financing for Wynn Las Vegas. Wynn Capital is authorized to issue 2,000 shares of common stock, par value $0.01. At December 31, 2013, the Company owned the one share that was issued and outstanding. Wynn Capital has neither any significant net assets nor any operating activity. Its sole function is to serve as the co-issuer of the mortgage notes described below.</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We file annual reports on Form 10-K, quarterly reports on Form 10-Q, current reports on Form 8-K and amendments of such reports with the Securities and Exchange Commission (“SEC”). Any document we file may be inspected, without charge, at the SEC’s public reference room at 100 F Street, N.E. Washington, D.C. 20549 or at the SEC’s internet site address at </w:t>
      </w:r>
      <w:r>
        <w:rPr>
          <w:rFonts w:ascii="Arial" w:cs="Arial" w:eastAsia="Arial" w:hAnsi="Arial"/>
          <w:sz w:val="16"/>
          <w:szCs w:val="16"/>
          <w:u w:val="single" w:color="auto"/>
          <w:color w:val="auto"/>
        </w:rPr>
        <w:t>http://www.sec.gov</w:t>
      </w:r>
      <w:r>
        <w:rPr>
          <w:rFonts w:ascii="Arial" w:cs="Arial" w:eastAsia="Arial" w:hAnsi="Arial"/>
          <w:sz w:val="16"/>
          <w:szCs w:val="16"/>
          <w:color w:val="auto"/>
        </w:rPr>
        <w:t xml:space="preserve">. Information related to the operation of the SEC’s public reference room may be obtained by calling the SEC at 1-800-SEC-0330. In addition, through its own internet address at </w:t>
      </w:r>
      <w:r>
        <w:rPr>
          <w:rFonts w:ascii="Arial" w:cs="Arial" w:eastAsia="Arial" w:hAnsi="Arial"/>
          <w:sz w:val="16"/>
          <w:szCs w:val="16"/>
          <w:u w:val="single" w:color="auto"/>
          <w:color w:val="auto"/>
        </w:rPr>
        <w:t>www.wynnresorts.com</w:t>
      </w:r>
      <w:r>
        <w:rPr>
          <w:rFonts w:ascii="Arial" w:cs="Arial" w:eastAsia="Arial" w:hAnsi="Arial"/>
          <w:sz w:val="16"/>
          <w:szCs w:val="16"/>
          <w:color w:val="auto"/>
        </w:rPr>
        <w:t>, Wynn Resorts provides a hyperlink to a third-party SEC filing website which posts our filings as soon as reasonably practicable, where they can be reviewed without charge. The information found on our website is not a part of this Annual Report on Form 10-K or any other report we file or furnish to the SEC.</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Las Vegas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believe that Wynn Las Vegas offers exceptional accommodations, amenities and service for our premium guests. Wynn Las Vegas features approximately 4,748 hotel rooms and suites, 230 table games, 1,854 slot machines, a race and sports book and a poker room in approximately 186,000 square feet of casino gaming space (including a sky casino and private gaming salons), casual and fine dining in 34 food and beverage outlets, two spas and salons, lounges, meeting facilities and approximately 96,000 square feet of retail space promenade featuring boutiques from Alexander McQueen, Brioni, Cartier, Chanel, Chloé, Chopard, Dior, Graff, Hermes, IWC Schaffhausen, Jaeger-LeCoultre, Loro Piana, Louis Vuitton, Manolo Blahnik, Nicholas Kirkwood, Oscar de la Renta, Piaget, Rolex, Vertu and others. Our Las Vegas Operations also offer three nightclubs, a beach club, two spas and salons, a Ferrari and Maserati automobile dealership, wedding chapels, an 18-hole golf course, approximately 284,000 square feet of meeting space, a specially designed theater presenting “Le Rêve-The Dream,” a water-based theatrical production, and the Encore Theater presenting various headliner entertainment acts throughout the year.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 and Other Development</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During 2013, we remodeled our villas and two of our restaurants. In response to our evaluation of our property and the reaction of our guests, we have made and expect to continue to remodel and make enhancements and refinements to our resort complex.</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96"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We believe that Steve Wynn is the preeminent designer, developer and operator of destination casino resorts and has developed brand name status. Mr. Wynn’s involvement with our casino resorts provides a distinct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advantage over other gaming enterprises. We integrate luxurious surroundings, distinctive entertainment and superior amenities, including convention facilities, fine dining and premium retail offerings, to create resorts that appeal to a variety of customers.</w:t>
      </w:r>
    </w:p>
    <w:p>
      <w:pPr>
        <w:spacing w:after="0" w:line="132"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Our resort is designed and built to provide a premium experience for our guests. Our business is dependent upon repeat visitation from our guests and we believe superior customer experience and service is the best marketing strategy to attract and retain our customers. Our company heavily emphasizes human resources and staff training to ensure our employees are prepared to provide the luxury service that our guests expect. Wynn Las Vegas is positioned as a full-service luxury resort and casino in the leisure, convention and tour and travel industries. We market our resort directly to gaming customers using database marketing techniques, as well as traditional incentives, including reduced room rates and complimentary meals and suites. Our rewards system offers discounted and complimentary meals, lodging and entertainment for our guests. We also create general market awareness for our resort through various media channels, including: social media, television, radio, newspapers, magazines, the internet, direct mail and billboards.</w:t>
      </w:r>
    </w:p>
    <w:p>
      <w:pPr>
        <w:spacing w:after="0" w:line="118"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Mr. Wynn and his team bring significant experience in designing, developing and operating casino resorts. The senior executive team has an average of over 25 years of experience in the hotel and gaming industries. We also have an approximately 125-person design, development and construction affiliate, the senior management of which has significant experience in all major construction disciplines.</w:t>
      </w:r>
    </w:p>
    <w:p>
      <w:pPr>
        <w:spacing w:after="0" w:line="14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For the eighth consecutive year, The Tower Suites at Wynn Las Vegas has received the Forbes five-star distinction. The Spa at Wynn Las Vegas earned five-star recognition from Forbes for the sixth year in a row. For the fifth consecutive year, the Encore Tower Suites and the Spa at Encore are also recipients of the Forbes five-star distinction. In addition, a number of restaurants on our resorts have earned star distinction from Forbes, with 20 stars in total for the current year.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Competition</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Las Vegas is the largest gaming market in the United States. During 2013, the economic environment in the gaming and hotel markets in Las Vegas continued to improve with increased levels of gaming revenue, visitation and hotel room demand. While these gaming and hotel statistics have increased from prior year levels, uncertainty still exists in the Las Vegas market. During 2013, the average daily room rate increased 2.4%, visitation remained relatively flat at 39.7 million visitors, and Las Vegas Strip gaming revenues increased 4.8%, all as compared to the year ended December 31, 2012. During 2012, the average daily room rate increased 2.8%, visitation increased 2.1% to 39.7 million visitors, and Las Vegas Strip gaming revenues increased 2.3%, all as compared to the year ended December 31, 2011.</w:t>
      </w:r>
    </w:p>
    <w:p>
      <w:pPr>
        <w:spacing w:after="0" w:line="14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Wynn Las Vegas is located on the Las Vegas Strip and competes with other high-quality resorts and hotel casinos in Las Vegas. Wynn Las Vegas also competes, to some extent, with other casino resorts in Nevada and throughout the United States, and elsewhere in the world. The legalization of casino gaming in or near metropolitan areas from which we attract customers could have a negative effect on our business. New or renovated casinos in Asia, including Singapore, the Philippines, S. Korea and Macau, could draw gaming customers away from Las Vegas.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and Licensing</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b w:val="1"/>
          <w:bCs w:val="1"/>
          <w:i w:val="1"/>
          <w:iCs w:val="1"/>
          <w:color w:val="auto"/>
        </w:rPr>
        <w:t xml:space="preserve">Introduction. </w:t>
      </w:r>
      <w:r>
        <w:rPr>
          <w:rFonts w:ascii="Arial" w:cs="Arial" w:eastAsia="Arial" w:hAnsi="Arial"/>
          <w:sz w:val="16"/>
          <w:szCs w:val="16"/>
          <w:color w:val="auto"/>
        </w:rPr>
        <w:t>The gaming industry is highly regulated. Gaming registrations, licenses and approvals, once obtained, can be suspended or revoked for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variety of reasons. We cannot assure you that we will obtain all required registrations, licenses and approvals on a timely basis or at all, or that, once obtained, the registrations, findings of suitability, licenses and approvals will not be suspended, conditioned, limited or revoked. If we ever are prohibited from operating Wynn Las Vegas or any other property we may own and operate in the future, we would, to the extent permitted by law, seek to recover our investment by selling the property affected, but we cannot assure you that we would recover its full value.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firstLine="456"/>
        <w:spacing w:after="0" w:line="256" w:lineRule="auto"/>
        <w:rPr>
          <w:sz w:val="20"/>
          <w:szCs w:val="20"/>
          <w:color w:val="auto"/>
        </w:rPr>
      </w:pPr>
      <w:r>
        <w:rPr>
          <w:rFonts w:ascii="Arial" w:cs="Arial" w:eastAsia="Arial" w:hAnsi="Arial"/>
          <w:sz w:val="18"/>
          <w:szCs w:val="18"/>
          <w:color w:val="auto"/>
        </w:rPr>
        <w:t>The ownership and operation of casino gaming facilities in the State of Nevada are subject to the Nevada Gaming Control Act and the regulations made under the Act, as well as to various local ordinances. Our properties are subject to the licensing and regulatory control of the Nevada Gaming Commission, the Nevada State Gaming Control Board and the Clark County Liquor and Gaming Licensing Board, which we refer to herein collectively as the “Nevada Gaming Authorities.”</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Policy Concerns of Gaming Laws. </w:t>
      </w:r>
      <w:r>
        <w:rPr>
          <w:rFonts w:ascii="Arial" w:cs="Arial" w:eastAsia="Arial" w:hAnsi="Arial"/>
          <w:sz w:val="18"/>
          <w:szCs w:val="18"/>
          <w:color w:val="auto"/>
        </w:rPr>
        <w:t>The laws, regulations and supervisory procedures of the Nevada Gaming Authorities are based upon declarations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public policy. Such public policy concerns include, among other things:</w:t>
      </w:r>
    </w:p>
    <w:p>
      <w:pPr>
        <w:spacing w:after="0" w:line="51"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preventing unsavory or unsuitable persons from being directly or indirectly involved with gaming at any time or in any capacity;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establishing and maintaining responsible accounting practices and procedures;</w:t>
      </w:r>
    </w:p>
    <w:p>
      <w:pPr>
        <w:spacing w:after="0" w:line="90" w:lineRule="exact"/>
        <w:rPr>
          <w:rFonts w:ascii="Arial" w:cs="Arial" w:eastAsia="Arial" w:hAnsi="Arial"/>
          <w:sz w:val="18"/>
          <w:szCs w:val="18"/>
          <w:color w:val="auto"/>
        </w:rPr>
      </w:pPr>
    </w:p>
    <w:p>
      <w:pPr>
        <w:ind w:left="900" w:right="120" w:hanging="325"/>
        <w:spacing w:after="0" w:line="33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maintaining effective controls over the financial practices of licensees, including establishing minimum procedures for internal fiscal affairs and safeguarding assets and revenue, providing reliable recordkeeping and requiring the filing of periodic reports with the Nevada Gaming Authorities;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preventing cheating and fraudulent practices;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providing a source of state and local revenue through taxation and licensing fees.</w:t>
      </w:r>
    </w:p>
    <w:p>
      <w:pPr>
        <w:spacing w:after="0" w:line="171"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Changes in applicable laws, regulations and procedures could have significant negative effects on our Las Vegas gaming operations and our financial condition and results of operations.</w:t>
      </w:r>
    </w:p>
    <w:p>
      <w:pPr>
        <w:spacing w:after="0" w:line="132"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b w:val="1"/>
          <w:bCs w:val="1"/>
          <w:i w:val="1"/>
          <w:iCs w:val="1"/>
          <w:color w:val="auto"/>
        </w:rPr>
        <w:t xml:space="preserve">Owner and Operator Licensing Requirements. </w:t>
      </w:r>
      <w:r>
        <w:rPr>
          <w:rFonts w:ascii="Arial" w:cs="Arial" w:eastAsia="Arial" w:hAnsi="Arial"/>
          <w:sz w:val="16"/>
          <w:szCs w:val="16"/>
          <w:color w:val="auto"/>
        </w:rPr>
        <w:t>Wynn Las Vegas, the owner and operator of the Las Vegas Operations, has been approved by the Nevada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Gaming Authorities as a limited liability company licensee, referred to as a company licensee, which includes approval to conduct casino gaming operations, including a race book and sports pool and pari-mutuel wagering. These gaming licenses are not transferable.</w:t>
      </w:r>
    </w:p>
    <w:p>
      <w:pPr>
        <w:spacing w:after="0" w:line="10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Company Registration Requirements. </w:t>
      </w:r>
      <w:r>
        <w:rPr>
          <w:rFonts w:ascii="Arial" w:cs="Arial" w:eastAsia="Arial" w:hAnsi="Arial"/>
          <w:sz w:val="16"/>
          <w:szCs w:val="16"/>
          <w:color w:val="auto"/>
        </w:rPr>
        <w:t>Wynn Resorts was found suitable by the Nevada Gaming Commission to own the equity interests of Holdings,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wholly-owned subsidiary of Wynn Resorts, and to be registered by the Nevada Gaming Commission as a publicly traded corporation, referred to as a registered company, for the purposes of the Nevada Gaming Control Act. Holdings was found suitable by the Nevada Gaming Commission to own the equity interests of Wynn Las Vegas, LLC and to be registered by the Nevada Gaming Commission as an intermediary company. In addition to being licensed, Wynn Las Vegas, as an issuer of debt securities registered with the SEC, also qualified as a registered company. Wynn Las Vegas Capital Corp., a co-issuer of the debt securities, was not required to be registered or licensed, but may be required to be found suitable as a lender or financing source.</w:t>
      </w:r>
    </w:p>
    <w:p>
      <w:pPr>
        <w:spacing w:after="0" w:line="12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Periodically, we are required to submit detailed financial and operating reports to the Nevada Gaming Commission and provide any other information that the Nevada Gaming Commission may require. Substantially all of our material loans, leases, sales of securities and similar financing transactions must be reported to, and/or approved by, the Nevada Gaming Commission.</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Individual Licensing Requirements. </w:t>
      </w:r>
      <w:r>
        <w:rPr>
          <w:rFonts w:ascii="Arial" w:cs="Arial" w:eastAsia="Arial" w:hAnsi="Arial"/>
          <w:sz w:val="16"/>
          <w:szCs w:val="16"/>
          <w:color w:val="auto"/>
        </w:rPr>
        <w:t>No person may become a more than 5% stockholder or member of, or receive any percentage of the profits of,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intermediary company or company licensee without first obtaining licenses and approvals from the Nevada Gaming Authorities. The Nevada Gaming Authorities may investigate any individual who has a material relationship to or material involvement with us to determine whether the individual is suitable or should be licensed as a business associate of a gaming licensee. Certain of our officers, directors and key employees have been or may be required to file applications with the Nevada Gaming Authorities and are or may be required to be licensed or found suitable by the Nevada Gaming Authorities. All</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459" w:right="2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applications required as of the date of this report have been filed. However, the Nevada Gaming Authorities may require additional applications and may also deny an application for licensing for any reason which they deem appropriate. A finding of suitability is comparable to licensing, and both require submission of detailed personal and financial information followed by a thorough investigation. An applicant for licensing or an applicant for a finding of suitability must pay or must cause to be paid all the costs of the investigation. Changes in licensed positions must be reported to the Nevada Gaming Authorities and, in addition to their authority to deny an application for a finding of suitability or licensing, the Nevada Gaming Authorities have the jurisdiction to disapprove a change in a corporate position.</w:t>
      </w:r>
    </w:p>
    <w:p>
      <w:pPr>
        <w:spacing w:after="0" w:line="14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If the Nevada Gaming Authorities were to find an officer, director or key employee unsuitable for licensing or unsuitable to continue having a relationship with us, we would have to sever all relationships with that person. In addition, the Nevada Gaming Commission may require us to terminate the employment of any person who refuses to file appropriate applications. Determinations of suitability or questions pertaining to licensing are not subject to judicial review in Nevada.</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Consequences of Violating Gaming Laws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If the Nevada Gaming Commission determines that we have violated the Nevada Gaming Control Act or any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its regulations, it could limit, condition, suspend or revoke our registrations and gaming license. In addition, we and the persons involved could be subject to substantial fines for each separate violation of the Nevada Gaming Control Act, or of the regulations of the Nevada Gaming Commission, at the discretion of the Nevada Gaming Commission. Further, the Nevada Gaming Commission could appoint a supervisor to operate our Las Vegas Operations and, under specified circumstances, earnings generated during the supervisor’s appointment (except for the reasonable rental value of the premises) could be forfeited to the State of Nevada. Limitation, conditioning or suspension of any of our gaming licenses and the appointment of a supervisor could, and revocation of any gaming license would, have a significant negative effect on our gaming operations.</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Requirements for Voting or Nonvoting Securities Holders. </w:t>
      </w:r>
      <w:r>
        <w:rPr>
          <w:rFonts w:ascii="Arial" w:cs="Arial" w:eastAsia="Arial" w:hAnsi="Arial"/>
          <w:sz w:val="16"/>
          <w:szCs w:val="16"/>
          <w:color w:val="auto"/>
        </w:rPr>
        <w:t>Regardless of the number of shares held, any beneficial owner of Wynn Resorts’ voting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nonvoting securities may be required to file an application, be investigated and have that person’s suitability as a beneficial owner of voting securities determined if the Nevada Gaming Commission has reason to believe that the ownership would be inconsistent with the declared policies of the State of Nevada. If the beneficial owner of the voting or nonvoting securities of Wynn Resorts who must be found suitable is a corporation, partnership, limited partnership, limited liability company or trust, it must submit detailed business and financial information including a list of its beneficial owners. The applicant must pay all costs of the investigation incurred by the Nevada Gaming Authorities in conducting any investigation.</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Nevada Gaming Control Act requires any person who acquires more than 5% of the voting securities of a registered company to report the acquisition to the Nevada Gaming Commission. The Nevada Gaming Control Act requires beneficial owners of more than 10% of a registered company’s voting securities to apply to the Nevada Gaming Commission for a finding of suitability within 30 days after the Chairman of the Nevada State Gaming Control Board mails the written notice requiring such filing. However, an “institutional investor,” as defined in the Nevada Gaming Control Act, which beneficially owns more than 10% but not more than 11% of a registered company’s voting securities as a result of a stock repurchase by the registered company may not be required to file such an application. Further, an institutional investor which acquires more than 10%, but not more than 25%, of a registered company’s voting securities may apply to the Nevada Gaming Commission for a waiver of a finding of suitability if the institutional investor holds the voting securities for investment purposes only. An institutional investor that has obtained a waiver may hold more than 25% but not more than 29% of a registered company’s voting securities and maintain its waiver where the additional ownership results from a stock repurchase by the registered company. An institutional investor will not be deemed to hold voting securities for investment purposes unless the voting securities were acquired and are held in the ordinary course of business as an institutional investor and not for the purpose of causing, directly or indirectly, the election of a majority of the members of the Board of Directors of the registered company, a change in the corporate charter, bylaws, management, policies or operations of the registered company, or any of its gaming affiliates, or any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other action which the Nevada Gaming Commission finds to be inconsistent with holding the registered company’s voting securities for investment purposes only.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Activities which are not deemed to be inconsistent with holding voting securities for investment purposes only include:</w:t>
      </w:r>
    </w:p>
    <w:p>
      <w:pPr>
        <w:spacing w:after="0" w:line="84"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voting on all matters voted on by stockholders or interest holders;</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making financial and other inquiries of management of the type normally made by securities analysts for informational purposes and not to cause a change in management, policies or operations;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activities that the Nevada Gaming Commission may determine to be consistent with such investment intent.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articles of incorporation of Wynn Resorts include provisions intended to assist its implementation of the above restrictions.</w:t>
      </w:r>
    </w:p>
    <w:p>
      <w:pPr>
        <w:spacing w:after="0" w:line="171"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Wynn Resorts is required to maintain a current stock ledger in Nevada which may be examined by the Nevada Gaming Authorities at any time. If any securities are held in trust by an agent or by a nominee, the record holder may be required to disclose the identity of the beneficial owner to the Nevada Gaming Authorities. A failure to make the disclosure may be grounds for finding the record holder unsuitable. We are required to provide maximum assistance in determining the identity of the beneficial owner of any of Wynn Resorts’ voting securities. The Nevada Gaming Commission has the power to require the stock certificates of any registered company to bear a legend indicating that the securities are subject to the Nevada Gaming Control Act. The certificates representing shares of Wynn Resorts’ common stock note that the shares are subject to a right of redemption and other restrictions set forth in Wynn Resorts’ articles of incorporation and bylaws and that the shares are, or may become, subject to restrictions imposed by applicable gaming laws.</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b w:val="1"/>
          <w:bCs w:val="1"/>
          <w:i w:val="1"/>
          <w:iCs w:val="1"/>
          <w:color w:val="auto"/>
        </w:rPr>
        <w:t>Consequences of Being Found Unsuitable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person who fails or refuses to apply for a finding of suitability or a license within 30 days after being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ordered to do so by the Nevada Gaming Commission or by the Chairman of the Nevada State Gaming Control Board, or who refuses or fails to pay the investigative costs incurred by the Nevada Gaming Authorities in connection with the investigation of its application, may be found unsuitable. The same restrictions apply to a record owner if the record owner, after request, fails to identify the beneficial owner. Any person found unsuitable and who holds, directly or indirectly, any beneficial ownership of any voting security or debt security of a registered company beyond the period of time as may be prescribed by the Nevada Gaming Commission may be guilty of a criminal offense. We will be subject to disciplinary action if, after we receive notice that a person is unsuitable to hold an equity interest or to have any other relationship with us, we:</w:t>
      </w:r>
    </w:p>
    <w:p>
      <w:pPr>
        <w:spacing w:after="0" w:line="37"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pay that person any dividend or interest upon any voting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allow that person to exercise, directly or indirectly, any voting right held by that person relating to Wynn Resorts;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pay remuneration in any form to that person for services rendered or otherwise; or,</w:t>
      </w:r>
    </w:p>
    <w:p>
      <w:pPr>
        <w:spacing w:after="0" w:line="9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 to pursue all lawful efforts to require the unsuitable person to relinquish such person’s voting securities including, if necessary, the immediate purchase of the voting securities for cash at fair market value.</w:t>
      </w:r>
    </w:p>
    <w:p>
      <w:pPr>
        <w:spacing w:after="0" w:line="132"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b w:val="1"/>
          <w:bCs w:val="1"/>
          <w:i w:val="1"/>
          <w:iCs w:val="1"/>
          <w:color w:val="auto"/>
        </w:rPr>
        <w:t xml:space="preserve">Gaming Laws Relating to Debt Securities Ownership. </w:t>
      </w:r>
      <w:r>
        <w:rPr>
          <w:rFonts w:ascii="Arial" w:cs="Arial" w:eastAsia="Arial" w:hAnsi="Arial"/>
          <w:sz w:val="16"/>
          <w:szCs w:val="16"/>
          <w:color w:val="auto"/>
        </w:rPr>
        <w:t>The Nevada Gaming Commission may, in its discretion, require the owner of any debt or similar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securities of a registered company, to file applications, be investigated and be found suitable to own the debt or other security of the registered company if the Nevada Gaming Commission has reason to believe that such ownership would otherwise be inconsistent with the declared policies of the State of Nevada. If the Nevada Gaming Commission decides that a person is unsuitable to own the security, then under the Nevada Gaming Control Act, the registered company can be sanctioned, including the loss of its approvals if, without the prior approval of the Nevada Gaming Commission, it:</w:t>
      </w:r>
    </w:p>
    <w:p>
      <w:pPr>
        <w:spacing w:after="0" w:line="35"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pays to the unsuitable person any dividend, interest or any distribution whatsoever;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recognizes any voting right by the unsuitable person in connection with the securities;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pays the unsuitable person remuneration in any form;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makes any payment to the unsuitable person by way of principal, redemption, conversion, exchange, liquidation or similar transaction.</w:t>
      </w:r>
    </w:p>
    <w:p>
      <w:pPr>
        <w:spacing w:after="0" w:line="194"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b w:val="1"/>
          <w:bCs w:val="1"/>
          <w:i w:val="1"/>
          <w:iCs w:val="1"/>
          <w:color w:val="auto"/>
        </w:rPr>
        <w:t xml:space="preserve">Approval of Public Offerings. </w:t>
      </w:r>
      <w:r>
        <w:rPr>
          <w:rFonts w:ascii="Arial" w:cs="Arial" w:eastAsia="Arial" w:hAnsi="Arial"/>
          <w:sz w:val="16"/>
          <w:szCs w:val="16"/>
          <w:color w:val="auto"/>
        </w:rPr>
        <w:t>We may not make a public offering without the prior approval of the Nevada Gaming Commission if the proceeds from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offering are intended to be used to construct, acquire or finance gaming facilities in Nevada, or to retire or extend obligations incurred for those purposes or for similar transactions. On March 21, 2013, the Nevada Gaming Commission granted us and Wynn Resorts prior approval, subject to certain conditions, to make public offerings for a period of three years (the “Shelf Approval”). The Shelf Approval also applies to any affiliated company wholly owned by us which is a publicly traded corporation or would thereby become a publicly traded corporation pursuant to a public offering. The Shelf Approval may be rescinded for good cause without prior notice upon the issuance of an interlocutory stop order by the Chairman of the Nevada State Gaming Control Board. The Shelf Approval does not constitute a finding, recommendation or approval by any of the Nevada Gaming Authorities as to the accuracy or adequacy of the offering memorandum or the investment merits of the securities. Any representation to the contrary is unlawful.</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Approval of Changes in Control. </w:t>
      </w:r>
      <w:r>
        <w:rPr>
          <w:rFonts w:ascii="Arial" w:cs="Arial" w:eastAsia="Arial" w:hAnsi="Arial"/>
          <w:sz w:val="18"/>
          <w:szCs w:val="18"/>
          <w:color w:val="auto"/>
        </w:rPr>
        <w:t>A registered company must obtain the prior approval of the Nevada Gaming Commission with respect to a change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 through merger; consolidation; stock or asset acquisitions; management or consulting agreements; or any act or conduct by a person by which the person obtains control of the registered company.</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Entities seeking to acquire control of a registered company must satisfy the Nevada State Gaming Control Board and Nevada Gaming Commission with respect to a variety of stringent standards before assuming control of the registered company. The Nevada Gaming Commission may also require controlling stockholders, officers, directors and other persons having a material relationship or involvement with the entity proposing to acquire control to be investigated and licensed as part of the approval process relating to the transaction.</w:t>
      </w:r>
    </w:p>
    <w:p>
      <w:pPr>
        <w:spacing w:after="0" w:line="143" w:lineRule="exact"/>
        <w:rPr>
          <w:sz w:val="20"/>
          <w:szCs w:val="20"/>
          <w:color w:val="auto"/>
        </w:rPr>
      </w:pPr>
    </w:p>
    <w:p>
      <w:pPr>
        <w:ind w:right="240" w:firstLine="456"/>
        <w:spacing w:after="0" w:line="323" w:lineRule="auto"/>
        <w:rPr>
          <w:sz w:val="20"/>
          <w:szCs w:val="20"/>
          <w:color w:val="auto"/>
        </w:rPr>
      </w:pPr>
      <w:r>
        <w:rPr>
          <w:rFonts w:ascii="Arial" w:cs="Arial" w:eastAsia="Arial" w:hAnsi="Arial"/>
          <w:sz w:val="15"/>
          <w:szCs w:val="15"/>
          <w:b w:val="1"/>
          <w:bCs w:val="1"/>
          <w:i w:val="1"/>
          <w:iCs w:val="1"/>
          <w:color w:val="auto"/>
        </w:rPr>
        <w:t xml:space="preserve">Approval of Defensive Tactics. </w:t>
      </w:r>
      <w:r>
        <w:rPr>
          <w:rFonts w:ascii="Arial" w:cs="Arial" w:eastAsia="Arial" w:hAnsi="Arial"/>
          <w:sz w:val="15"/>
          <w:szCs w:val="15"/>
          <w:color w:val="auto"/>
        </w:rPr>
        <w:t>The Nevada legislature has declared that some corporate acquisitions opposed by management, repurchases of voting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securities and corporate defense tactics affecting Nevada corporate gaming licensees or affecting registered companies that are affiliated with the operations of Nevada gaming licensees may be harmful to stable and productive corporate gaming. The Nevada Gaming Commission has established a regulatory scheme to reduce the potential adverse effects of these business practices upon Nevada’s gaming industry and to further Nevada’s policy in order to:</w:t>
      </w:r>
    </w:p>
    <w:p>
      <w:pPr>
        <w:spacing w:after="0" w:line="17"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assure the financial stability of corporate gaming licensees and their affiliated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preserve the beneficial aspects of conducting business in the corporate form;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promote a neutral environment for the orderly governance of corporate affairs.</w:t>
      </w:r>
    </w:p>
    <w:p>
      <w:pPr>
        <w:spacing w:after="0" w:line="17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Approvals may be required from the Nevada Gaming Commission before a registered company can make exceptional repurchases of voting securities above its current market price and before a corporate acquisition opposed by management can be consummated. The Nevada Gaming Control Act also requires prior approval of a plan of recapitalization proposed by a registered company’s Board of Directors in response to a tender offer made directly to its stockholders for the purpose of acquiring control.</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Fees and Taxes. </w:t>
      </w:r>
      <w:r>
        <w:rPr>
          <w:rFonts w:ascii="Arial" w:cs="Arial" w:eastAsia="Arial" w:hAnsi="Arial"/>
          <w:sz w:val="18"/>
          <w:szCs w:val="18"/>
          <w:color w:val="auto"/>
        </w:rPr>
        <w:t>License fees and taxes, computed in various ways depending on the type of gaming or activity involved, are payable to the State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Nevada and to the counties and cities in which the licensed subsidiaries’ respective operations are conducted. Depending upon the particular fee or tax involved, these fees and taxes are payable monthly, quarterly or annually and are based upon:</w:t>
      </w:r>
    </w:p>
    <w:p>
      <w:pPr>
        <w:spacing w:after="0" w:line="59"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percentage of the gross revenue received;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gaming devices operated;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table games operated.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live entertainment tax also is imposed on admission charges and sales of food, beverages and merchandise where live entertainment is furnished.</w:t>
      </w:r>
    </w:p>
    <w:p>
      <w:pPr>
        <w:spacing w:after="0" w:line="19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Foreign Gaming Investigations. </w:t>
      </w:r>
      <w:r>
        <w:rPr>
          <w:rFonts w:ascii="Arial" w:cs="Arial" w:eastAsia="Arial" w:hAnsi="Arial"/>
          <w:sz w:val="16"/>
          <w:szCs w:val="16"/>
          <w:color w:val="auto"/>
        </w:rPr>
        <w:t>Any person who is licensed, required to be licensed, registered, required to be registered in Nevada, or is under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control with such persons (collectively, “licensees”), and who proposes to become involved in a gaming venture outside of Nevada, is required to deposit with the Nevada State Gaming Control Board, and thereafter maintain, a revolving fund in the amount of $10,000 to pay the expenses of investigation of the Nevada State Gaming Control Board of the licensee’s or registrant’s participation in such foreign gaming. The revolving fund is subject to increase or decrease at the discretion of the Nevada Gaming Commission. Licensees and registrants are required to comply with the foreign gaming reporting requirements imposed by the Nevada Gaming Control Act. A licensee or registrant is also subject to disciplinary action by the Nevada Gaming Commission if it:</w:t>
      </w:r>
    </w:p>
    <w:p>
      <w:pPr>
        <w:spacing w:after="0" w:line="39"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knowingly violates any laws of the foreign jurisdiction pertaining to the foreign gaming operation;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fails to conduct the foreign gaming operation in accordance with the standards of honesty and integrity required of Nevada gaming operations;</w:t>
      </w:r>
    </w:p>
    <w:p>
      <w:pPr>
        <w:spacing w:after="0" w:line="113" w:lineRule="exact"/>
        <w:rPr>
          <w:rFonts w:ascii="Arial" w:cs="Arial" w:eastAsia="Arial" w:hAnsi="Arial"/>
          <w:sz w:val="16"/>
          <w:szCs w:val="16"/>
          <w:color w:val="auto"/>
        </w:rPr>
      </w:pPr>
    </w:p>
    <w:p>
      <w:pPr>
        <w:ind w:left="900" w:right="200" w:hanging="325"/>
        <w:spacing w:after="0" w:line="357" w:lineRule="auto"/>
        <w:tabs>
          <w:tab w:leader="none" w:pos="9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engages in any activity or enters into any association that is unsuitable because it poses an unreasonable threat to the control of gaming in Nevada, reflects or tends to reflect, discredit or disrepute upon the State of Nevada or gaming in Nevada, or is contrary to the gaming policies of Nevada;</w:t>
      </w:r>
    </w:p>
    <w:p>
      <w:pPr>
        <w:ind w:left="900" w:hanging="325"/>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engages in activities or enters into associations that are harmful to the State of Nevada or its ability to collect gaming taxes and fees; or,</w:t>
      </w:r>
    </w:p>
    <w:p>
      <w:pPr>
        <w:spacing w:after="0" w:line="113" w:lineRule="exact"/>
        <w:rPr>
          <w:rFonts w:ascii="Arial" w:cs="Arial" w:eastAsia="Arial" w:hAnsi="Arial"/>
          <w:sz w:val="16"/>
          <w:szCs w:val="16"/>
          <w:color w:val="auto"/>
        </w:rPr>
      </w:pPr>
    </w:p>
    <w:p>
      <w:pPr>
        <w:ind w:left="900" w:right="10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employs, contracts with or associates with a person in the foreign operation who has been denied a license or finding of suitability in Nevada on the ground of unsuitability.</w:t>
      </w:r>
    </w:p>
    <w:p>
      <w:pPr>
        <w:spacing w:after="0" w:line="132"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b w:val="1"/>
          <w:bCs w:val="1"/>
          <w:i w:val="1"/>
          <w:iCs w:val="1"/>
          <w:color w:val="auto"/>
        </w:rPr>
        <w:t xml:space="preserve">Licenses for Conduct of Gaming and Sale of Alcoholic Beverages. </w:t>
      </w:r>
      <w:r>
        <w:rPr>
          <w:rFonts w:ascii="Arial" w:cs="Arial" w:eastAsia="Arial" w:hAnsi="Arial"/>
          <w:sz w:val="16"/>
          <w:szCs w:val="16"/>
          <w:color w:val="auto"/>
        </w:rPr>
        <w:t>The conduct of gaming activities and the service and sale of alcoholic beverages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Wynn Las Vegas are subject to licensing, control and regulation by the Clark County Liquor and Gaming Licensing Board, which has granted Wynn Las Vegas licenses for such purposes. In addition, the Clark County Liquor and Gaming Licensing Board has the authority to approve all persons owning or controlling the stock of any corporation controlling a gaming license. Clark County gaming and liquor licenses are not transferable. The County has full power to limit, condition, suspend or revoke any license. Any disciplinary action could, and revocation would, have a substantial negative impact upon our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Regulations</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addition to gaming regulations, we are subject to extensive local, state and federal laws and regulations. These include, but are not limited to, laws and regulations relating to alcoholic beverages, environmental matters, employment and immigration, currency and other transactions, taxation, zoning and building codes, marketing and advertising, timeshare, lending, debt collection, privacy, telemarketing, money laundering, laws and regulations administered by the Office of Foreign Assets Control, and anti-bribery laws, including the Foreign Corrupt Practices Act. Such laws and regulations could change or could be interpreted differently in the future, or new laws and regulations could be enacted. Any material changes, new laws or regulations, or material differences in interpretations by courts or governmental authorities could adversely affect our business and operating results.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may experience fluctuations in revenues and cash flows from month to month, however, we do not believe that our business is materially impacted by seasonality.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2013, we had a total of approximately 9,500 full-time equivalent employees.</w:t>
      </w:r>
    </w:p>
    <w:p>
      <w:pPr>
        <w:spacing w:after="0" w:line="171"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color w:val="auto"/>
        </w:rPr>
        <w:t>We entered into a ten year collective bargaining agreement with the Culinary and Bartenders Union local covering approximately 5,575 employees at our Las Vegas Operations that will expire in 2015. We also entered into a ten year collective bargaining agreement with the Transportation Workers Union in November 2010, which covers the table games dealers at Wynn Las Vegas. Certain other unions may seek to organize the workers of our Las Vegas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Among our most important marks are our trademarks and service marks that use the name “WYNN.” Holdings has registered with the U.S. Patent and Trademark Office (“PTO”) and various foreign patent and trademark registries, a variety of the WYNN-related trademarks and service marks in connection with a variety of goods and services. These marks include “WYNN LAS VEGAS” and “ENCORE.” Some of the applications are based upon ongoing use and others are based upon a bona fide intent to use the marks.</w:t>
      </w:r>
    </w:p>
    <w:p>
      <w:pPr>
        <w:spacing w:after="0" w:line="143"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A common element of most of these marks is the use of the surname “WYNN.” As a general rule, a surname (or the portion of a mark primarily constituting a surname) is not eligible for registration unless the surname has acquired “secondary meaning.” To date, Holdings has been successful in demonstrating to the PTO such secondary meaning for the Wynn name in certain of the applications based upon factors including Mr. Wynn’s prominence as a resort developer.</w:t>
      </w:r>
    </w:p>
    <w:p>
      <w:pPr>
        <w:spacing w:after="0" w:line="143"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85"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have also filed applications with various foreign patent and trademark registries, including registries in Macau, China, Singapore, Hong Kong, Taiwan, Japan, certain European countries and various other jurisdictions throughout the world, to register a variety of WYNN-related trademarks and service marks in connection with a variety of goods and services. These marks include many of the same marks filed with the United States PTO and include “WYNN LAS VEGAS” and “ENCORE.” Some of the applications are based upon ongoing use and others are based upon a bona fide intent to use the marks.</w:t>
      </w:r>
    </w:p>
    <w:p>
      <w:pPr>
        <w:spacing w:after="0" w:line="11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recognize that our intellectual property assets, including the word and logo version of “WYNN,” are among our most valuable assets. As a result, and in connection with expansion of our resort and gaming activities outside the United States, we have undertaken a program to register our trademarks and other intellectual property rights in relevant jurisdictions. We have retained counsel and intend to take all steps necessary to not only acquire, but protect our intellectual property rights against unauthorized use throughout the world.</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August 6, 2004, Holdings entered into agreements with Mr. Wynn that confirm and clarify its rights to use the “Wynn” name and Mr. Wynn’s persona in connection with our casino resorts. Under a Surname Rights Agreement, Mr. Wynn has acknowledged Holdings’ exclusive, fully paid-up, perpetual, worldwide right to use, and to own and register trademarks and service marks incorporating, the “Wynn” name for casino resorts and related businesses, together with the right to sublicense the name and marks to our affiliates. Under a Rights of Publicity License, Mr. Wynn has granted Holdings the exclusive, royalty-free, worldwide right to use his full name, persona and related rights of publicity for casino resorts and related businesses, together with the ability to sublicense the persona and publicity rights to our affiliates, until October 24, 2017. Holdings has entered into sublicense agreements with us relating to our use of Mr. Wynn’s name and persona, as well as other intellectual property.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make forward-looking statements in this Annual Report on Form 10-K based upon the beliefs and assumptions of our management and on information currently available to us. Forward-looking statements include, but are not limited to, information about our possible or assumed future results of operations, which follow under the headings “Overview”, “Our Resorts” and “Liquidity and Capital Resources” and other statements throughout this report preceded by, followed by or that include the words “may,” “will,” “should,” “would,” “could,” “believe,” “expect,” “anticipate,” “estimate,” “intend,” “plan,” “continue” or the negative of these terms or similar expressions.</w:t>
      </w:r>
    </w:p>
    <w:p>
      <w:pPr>
        <w:spacing w:after="0" w:line="14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Forward-looking statements are subject to a number of risks and uncertainties that could cause actual results to differ materially from those we express in these forward-looking statements, including the risks and uncertainties in Item 1A—“Risk Factors” and other factors we describe from time to time in our periodic filings with the SEC, such as:</w:t>
      </w:r>
    </w:p>
    <w:p>
      <w:pPr>
        <w:spacing w:after="0" w:line="59" w:lineRule="exact"/>
        <w:rPr>
          <w:sz w:val="20"/>
          <w:szCs w:val="20"/>
          <w:color w:val="auto"/>
        </w:rPr>
      </w:pPr>
    </w:p>
    <w:p>
      <w:pPr>
        <w:ind w:left="440" w:hanging="324"/>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volatility and weakness in world-wide credit and financial markets and from governmental intervention in the financial markets;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violations of law by Mr. Kazuo Okada, a former shareholder of ours;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or enforcement actions;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dependence on Wynn Las Vegas for all of our cash flow;</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 and actions taken by our competitors;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maintain our customer relationships and collect end enforce gaming debts;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occupancy rates and average daily room rates;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 tourism trends given the current domestic and international economic conditions;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approvals under applicable jurisdictional laws and regulations (including gaming laws and regulations);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global macroeconomic conditions;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decreases in levels of travel, leisure and consumer spending;</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cybersecurity risk including misappropriation of customer information or other breaches of information security;</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 of environmental regulation;</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that an outbreak of an infectious disease or the impact of a natural disaster may have on the travel and leisure industry;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consequences of military conflicts and any future security alerts and/or terrorist attacks.</w:t>
      </w:r>
    </w:p>
    <w:p>
      <w:pPr>
        <w:spacing w:after="0" w:line="171"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report.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following risk factors, among others, could cause our financial performance to differ significantly from the goals, plans, objectives, intentions and expectations expressed in this Annual Report on Form 10-K. If any of the following risks and uncertainties or other risks and uncertainties not currently known to us or not currently considered to be material actually occurs, our business, financial condition or operating results could be harmed substantially.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Substantial Indebtedness</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highly leveraged and future cash flow may not be sufficient for us to meet our obligations, and we might have difficulty obtaining more financing.</w:t>
      </w:r>
    </w:p>
    <w:p>
      <w:pPr>
        <w:spacing w:after="0" w:line="12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have a substantial amount of consolidated debt in relation to our equity. As of December 31, 2013, we had total outstanding debt of approximately $3.1 billion, and may incur more in the future. Our substantial indebtedness could have important consequences. For example:</w:t>
      </w:r>
    </w:p>
    <w:p>
      <w:pPr>
        <w:spacing w:after="0" w:line="51" w:lineRule="exact"/>
        <w:rPr>
          <w:sz w:val="20"/>
          <w:szCs w:val="20"/>
          <w:color w:val="auto"/>
        </w:rPr>
      </w:pPr>
    </w:p>
    <w:p>
      <w:pPr>
        <w:ind w:left="440" w:right="800" w:hanging="324"/>
        <w:spacing w:after="0" w:line="268" w:lineRule="auto"/>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meet our payment obligations or otherwise default under the agreements governing our indebtedness could result in acceleration of our indebtedness and bankruptcy;</w:t>
      </w:r>
    </w:p>
    <w:p>
      <w:pPr>
        <w:spacing w:after="0" w:line="50" w:lineRule="exact"/>
        <w:rPr>
          <w:rFonts w:ascii="Arial" w:cs="Arial" w:eastAsia="Arial" w:hAnsi="Arial"/>
          <w:sz w:val="18"/>
          <w:szCs w:val="18"/>
          <w:color w:val="auto"/>
        </w:rPr>
      </w:pPr>
    </w:p>
    <w:p>
      <w:pPr>
        <w:ind w:left="440" w:right="20" w:hanging="324"/>
        <w:spacing w:after="0" w:line="268" w:lineRule="auto"/>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servicing our indebtedness requires a substantial portion of our cash flow from the operations of Wynn Las Vegas and reduces the amount of available cash, if any, to fund working capital and other cash requirements;</w:t>
      </w:r>
    </w:p>
    <w:p>
      <w:pPr>
        <w:spacing w:after="0" w:line="50" w:lineRule="exact"/>
        <w:rPr>
          <w:rFonts w:ascii="Arial" w:cs="Arial" w:eastAsia="Arial" w:hAnsi="Arial"/>
          <w:sz w:val="18"/>
          <w:szCs w:val="18"/>
          <w:color w:val="auto"/>
        </w:rPr>
      </w:pPr>
    </w:p>
    <w:p>
      <w:pPr>
        <w:ind w:left="440" w:hanging="324"/>
        <w:spacing w:after="0" w:line="306" w:lineRule="auto"/>
        <w:tabs>
          <w:tab w:leader="none" w:pos="4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may experience decreased revenues from our operations due to decreased consumer spending levels and high unemployment, and could fail to generate sufficient cash to fund our liquidity needs and/or fail to satisfy the covenants to which we are subject under our existing indebtedness. Our business may not generate sufficient cash flow from operations to pay our indebtedness or to fund our other liquidity needs; and</w:t>
      </w:r>
    </w:p>
    <w:p>
      <w:pPr>
        <w:spacing w:after="0" w:line="25" w:lineRule="exact"/>
        <w:rPr>
          <w:rFonts w:ascii="Arial" w:cs="Arial" w:eastAsia="Arial" w:hAnsi="Arial"/>
          <w:sz w:val="16"/>
          <w:szCs w:val="16"/>
          <w:color w:val="auto"/>
        </w:rPr>
      </w:pPr>
    </w:p>
    <w:p>
      <w:pPr>
        <w:ind w:left="440" w:right="200" w:hanging="324"/>
        <w:spacing w:after="0" w:line="268" w:lineRule="auto"/>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not be able to obtain additional financing if needed, to satisfy working capital requirements, or pay for other capital expenditures, debt service or other obligations.</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Under the terms of the instruments governing our indebtedness, subject to certain limitations, we are permitted to incur additional indebtedness. If we incur additional indebtedness, the risks described above will be exacerbated.</w:t>
      </w:r>
    </w:p>
    <w:p>
      <w:pPr>
        <w:spacing w:after="0" w:line="21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The Indentures governing our indebtedness contain covenants that restrict our ability to engage in certain transactions and may impair our ability to respond to changing business and economic conditions.</w:t>
      </w:r>
    </w:p>
    <w:p>
      <w:pPr>
        <w:spacing w:after="0" w:line="51"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instruments governing our indebtedness restrict our ability to engage in certain transactions and may limit our ability to respond to changing business and economic conditions. The restrictions include, among other things, limitations on our ability and the ability of our restricted subsidiaries to:</w:t>
      </w:r>
    </w:p>
    <w:p>
      <w:pPr>
        <w:spacing w:after="0" w:line="4" w:lineRule="exact"/>
        <w:rPr>
          <w:sz w:val="20"/>
          <w:szCs w:val="20"/>
          <w:color w:val="auto"/>
        </w:rPr>
      </w:pPr>
    </w:p>
    <w:p>
      <w:pPr>
        <w:ind w:left="440" w:hanging="324"/>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 dividends or distributions or repurchase equity;</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create liens on assets to secure debt;</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issue stock of, or member’s interests in, subsidiaries;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engage in other businesses;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merge or consolidate with another company;</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0" w:hanging="324"/>
        <w:spacing w:after="0"/>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issue disqualified stock;</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create dividend and other payment restrictions affecting subsidiaries;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designate restricted and unrestricted subsidiaries.</w:t>
      </w:r>
    </w:p>
    <w:p>
      <w:pPr>
        <w:spacing w:after="0" w:line="25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Future indebtedness could also contain covenants more restrictive than those under our existing indebtedness, including covenants requiring us to maintain minimum financial ratios.</w:t>
      </w:r>
    </w:p>
    <w:p>
      <w:pPr>
        <w:spacing w:after="0" w:line="5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 default under one of the instruments governing our indebtedness could result in acceleration of our indebtedness, which could result in an event of default under other debt. If our debt is accelerated, we may not have sufficient assets or cash flow to fully repay our borrowings and we may not be able to repay, refinance or restructure the payments on such debt. Such a default would have a significant adverse effect on our business, financial condition and results of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Stephen A. Wynn could significantly harm our business.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ability to maintain our competitive position is dependent to a large degree on the efforts, skills and reputation of Stephen A. Wynn, the Chairman of the Board, Chief Executive Officer and one of the principal stockholders of Wynn Resorts. In 2008, Wynn Resorts extended the term of Mr. Wynn’s employment agreement until October 2020. However, we cannot assure you that Mr. Wynn will remain with Wynn Resorts, Limited. If Wynn Resorts loses the services of Mr. Wynn, or if he is unable to devote sufficient attention to our operations for any other reason, our business may be significantly impaired.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relies on high-end international customers and may be affected by adverse political and economic conditions</w:t>
      </w:r>
    </w:p>
    <w:p>
      <w:pPr>
        <w:spacing w:after="0" w:line="90" w:lineRule="exact"/>
        <w:rPr>
          <w:sz w:val="20"/>
          <w:szCs w:val="20"/>
          <w:color w:val="auto"/>
        </w:rPr>
      </w:pPr>
    </w:p>
    <w:p>
      <w:pPr>
        <w:ind w:right="400" w:firstLine="456"/>
        <w:spacing w:after="0" w:line="256" w:lineRule="auto"/>
        <w:rPr>
          <w:sz w:val="20"/>
          <w:szCs w:val="20"/>
          <w:color w:val="auto"/>
        </w:rPr>
      </w:pPr>
      <w:r>
        <w:rPr>
          <w:rFonts w:ascii="Arial" w:cs="Arial" w:eastAsia="Arial" w:hAnsi="Arial"/>
          <w:sz w:val="18"/>
          <w:szCs w:val="18"/>
          <w:color w:val="auto"/>
        </w:rPr>
        <w:t>A significant portion of our revenue at Wynn Las Vegas is attributable to high-end international customers, primarily from China. As a result, our operations are subject to significant political, economic and social risks inherent in doing business with customers from emerging markets. Any economic disruption or contraction in China could impact the number of customers from this region who visit our property or the amount which they may be willing to spend.</w:t>
      </w:r>
    </w:p>
    <w:p>
      <w:pPr>
        <w:spacing w:after="0" w:line="22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Potential violations of law by Mr. Okada (formerly the largest beneficial owner of Wynn Resorts’ shares) and his affiliates could have adverse consequences to Wynn Resorts.</w:t>
      </w:r>
    </w:p>
    <w:p>
      <w:pPr>
        <w:spacing w:after="0" w:line="5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On February 18, 2012, the Board of Directors of Wynn Resorts received a report from Freeh, Sporkin &amp; Sullivan, LLP (the “Freeh Report”) detailing numerous instances of conduct constituting prima facie violations of the FCPA by Kazuo Okada (formerly the largest beneficial owner of our shares) and certain of his affiliates. See Item 3—“Legal Proceedings”, and Item 8—“Financial Statements and Supplementary Data”, Note 11 “Commitments and Contingencies.” Wynn Resorts has provided the Freeh Report to applicable regulators and intends to cooperate with any related investigation that such regulators may undertake. The conduct of Mr. Okada and his affiliates and any resulting regulatory investigations could have adverse consequences to Wynn Resorts. A finding by regulatory authorities that Mr. Okada violated the FCPA on Company property and/or otherwise involved Wynn Resorts in criminal or civil violations could result in actions by regulatory authorities against Wynn Resorts. Relatedly, regulators could pursue separate investigations into Wynn Resorts’ compliance with applicable laws, including in response to litigation filed by Mr. Okada suggesting improprieties in connection with Wynn Resorts’ donation to the University of Macau and a related informal inquiry by the SEC into this donation. While Wynn Resorts believes that it is in full compliance with all applicable laws, any such investigations could result in actions by regulators against Wynn Resorts, which could negatively affect Wynn Resorts’ financial condition or results of operations.</w:t>
      </w: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b w:val="1"/>
          <w:bCs w:val="1"/>
          <w:i w:val="1"/>
          <w:iCs w:val="1"/>
          <w:color w:val="auto"/>
        </w:rPr>
        <w:t>Mr. Okada and his affiliates have challenged the redemption of Aruze USA, Inc.’s Shares. An adverse judgment or settlement resulting from the related litigation could reduce Wynn Resorts’ profits or limit Wynn Resorts’ ability to operate its business.</w:t>
      </w:r>
    </w:p>
    <w:p>
      <w:pPr>
        <w:spacing w:after="0" w:line="51"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On February 18, 2012, after receiving the Freeh Report, the Board of Directors of Wynn Resorts determined that Aruze USA, Inc., Universal Entertainment Corporation and Mr. Kazuo Okada (collectively, the “Okada Parties”) were “unsuitable” within the meaning of Article VII of Wynn Resorts’ articles of incorporation and redeemed all of Aruze USA, Inc.’s shares of Wynn Resorts’ common stock. See Item 3—“Legal Proceedings” and Item 8—“Financial Statements and Supplementary Data”, Note 11—“Commitments and Contingencies”. On February 19, 2012, Wynn Resorts filed a complaint in the Eighth Judicial District Court, Clark County, Nevada against the Okada Parties (as amended, the “Complaint”), alleging breaches of fiduciary duty and related claims (the “Redemption Action”) arising from the activities addressed in the Freeh Report. The Company is seeking compensatory and special damages as well as a declaration that it acted lawfully and in full compliance with its articles of incorporation, bylaws and other governing documents in redeeming and cancelling the shares of Aruze, USA, Inc. On March 12, 2012, the Okada Parties filed an answer denying the claims and a counterclaim (as amended, the “Counterclaim”) against the Company, each of the members of the Company’s Board of Directors (other than Mr. Okada) and Wynn Resorts’ General Counsel (collectively, the “Wynn Parties”), seeking, among other things a declaration that the redemption of Aruze USA, Inc.’s shares was void, an injunction restoring Aruze USA, Inc.’s share ownership, damages in an unspecified amount and rescission of the Amended and Restated Stockholders Agreement, dated as of January 6, 2010, by and among Aruze USA, Inc., Stephen A. Wynn, and Elaine Wynn (the “Stockholders Agreement”). In connection with the Redemption Action and Counterclaim</w:t>
      </w:r>
    </w:p>
    <w:p>
      <w:pPr>
        <w:spacing w:after="0" w:line="5" w:lineRule="exact"/>
        <w:rPr>
          <w:sz w:val="20"/>
          <w:szCs w:val="20"/>
          <w:color w:val="auto"/>
        </w:rPr>
      </w:pPr>
    </w:p>
    <w:p>
      <w:pPr>
        <w:ind w:firstLine="8"/>
        <w:spacing w:after="0" w:line="286" w:lineRule="auto"/>
        <w:tabs>
          <w:tab w:leader="none" w:pos="2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various Okada Parties filed a complaint in the Tokyo District Court against the Company, all members of the Board (other than Mr. Okada) and the Company’s General Counsel alleging that the press release issued by the Company in connection with the Redemption Action has damaged their social evaluation and credibility and seeking damages and legal fees, (2) four federal derivative actions were commenced against the Company and all members of its Board of Directors, (3) two state derivative actions were commenced against the Company and all members of its Board of Directors and (4) regulatory inquiries and investigations were initiated against the Company. See Item 3—“Legal Proceedings”, for a full description of these matters and status as of the date of this report. The Company is vigorously pursuing its claims against the Okada Parties, and together with the other counter-defendants, vigorously defending against the Counterclaims and other actions asserted against them. However, as with all litigation, the outcome of these proceedings cannot be predicted. Any adverse judgments or settlements involving payment of a material sum of money could cause a material adverse effect on our financial condition and results of operations and could expose us to additional claims by third parties, including current or former investors or regulators. Any adverse judgments or settlements would reduce our profits and could limit our ability to operate our business.</w:t>
      </w:r>
    </w:p>
    <w:p>
      <w:pPr>
        <w:spacing w:after="0" w:line="20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Ongoing litigation and other disputes with Mr. Okada and certain of his affiliates could distract management and result in negative publicity and additional scrutiny of regulators.</w:t>
      </w:r>
    </w:p>
    <w:p>
      <w:pPr>
        <w:spacing w:after="0" w:line="5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There has been widespread publicity of the findings in the Freeh Report of prima facie violations of law by Mr. Okada and his affiliates, the Board’s unsuitability finding, the redemption of shares and related litigation. The actions, litigation, and publicity could reduce demand for shares of Wynn Resorts and Wynn Macau, Limited and thereby have a negative impact on the trading prices of their respective shares. The disputes may also lead to additional scrutiny from regulators, which could lead to investigations relating to, and possibly a negative impact on, Wynn Resorts’ gaming licenses, including the gaming licenses held by Wynn Las Vegas and possibly have a negative impact on Wynn Resorts’ ability to bid successfully for new gaming market opportunities. See Item 8 —“Financial Statements and Supplementary Data”, Note 11 “Commitments and Contingencies.”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violation of the Anti-Money Laundering Laws or Regulations or the Foreign Corrupt Practices Act could have a negative impact on us.</w:t>
      </w:r>
    </w:p>
    <w:p>
      <w:pPr>
        <w:spacing w:after="0" w:line="11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deal with significant amounts of cash in our operations and are subject to various reporting and anti-money laundering laws and regulations. Further, Wynn Resorts has operations, and a significant portion of its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revenue is derived from customers, outside of the United States. Wynn Resorts and the Company are therefore subject to regulations imposed by the FCPA and other anti-corruption laws that generally prohibit U.S. companies and their intermediaries from offering, promising, authorizing or making improper payments to foreign government officials for the purpose of obtaining or retaining business. Any violation of such anti-money laundering laws or regulations, violations of the FCPA and other anti-corruption laws may result in severe criminal and civil sanctions as well as other penalties, which could have a negative effect on our results of operations and the SEC and U.S. Department of Justice have increased their enforcement activities with respect such laws and regulations. Internal control policies and procedures and employee training and compliance programs that we have implemented to deter prohibited practices may not be effective in prohibiting our directors, employees, contractors or agents from violating or circumventing our policies and the law. If our directors, employees or agents fail to comply with applicable laws or Company policies governing our international operations, the Company may face investigations, prosecutions and other legal proceedings and actions which could result in civil penalties, administrative remedies and criminal sanctions. Any future government investigations, prosecutions or other legal proceedings or actions, however, could have a negative impact on us.</w:t>
      </w:r>
    </w:p>
    <w:p>
      <w:pPr>
        <w:spacing w:after="0" w:line="12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Kazuo Okada, one of Wynn Resorts’ former directors, failed to comply with internal training in the FCPA and failed to return to Wynn Resorts an executed Acknowledgment agreeing to comply with the Wynn Resorts’ Code of Business Conduct and Ethics. For additional information on the Freeh Report, which detailed numerous instances of conduct constituting prima facie violations of the FCPA by Mr. Okada and certain of his affiliates, and the redemption of Aruze USA, Inc.’s shares, see Item 8—“Financial Statements and Supplementary Data”, Note 11 “Commitments and Contingencies.” On February 19, 2012, Wynn Resorts’ filed a complaint in Nevada state court against Mr. Okada and other entities alleging, among other things, breach of fiduciary duty in connection with alleged violations of the FCPA. For a detailed description of the legal proceedings between the Company and Mr. Okada and his affiliates, see Item 3—“Legal Proceedings.”</w:t>
      </w:r>
    </w:p>
    <w:p>
      <w:pPr>
        <w:spacing w:after="0" w:line="228"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b w:val="1"/>
          <w:bCs w:val="1"/>
          <w:i w:val="1"/>
          <w:iCs w:val="1"/>
          <w:color w:val="auto"/>
        </w:rPr>
        <w:t>We are entirely dependent on Wynn Las Vegas for all of our cash flow, which subjects us to greater risks than a gaming company with more operating properties.</w:t>
      </w:r>
    </w:p>
    <w:p>
      <w:pPr>
        <w:spacing w:after="0" w:line="5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are entirely dependent upon Wynn Las Vegas for all of our cash flow and we do not expect to have material assets or operations other than Wynn Las Vegas. As a result, we are subject to a greater degree of risk than a gaming company with more operating properties or greater geographic diversification. The risks to which we have a greater degree of exposure include the following:</w:t>
      </w:r>
    </w:p>
    <w:p>
      <w:pPr>
        <w:spacing w:after="0" w:line="59"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local economic and competitive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local and state governmental laws and regulations, including gaming laws and regulations;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natural and other disasters, including the outbreak of infectious diseases;</w:t>
      </w:r>
    </w:p>
    <w:p>
      <w:pPr>
        <w:spacing w:after="0" w:line="90"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increase in the cost of utilities for our properties as a result of, among other things, power shortages in California or other western states with which Nevada shares a single regional power grid or a shortage of natural resources such as water;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decline in the number of visitors to Las Vegas;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decrease in gaming and non-casino activities at Wynn Las Vegas.</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Any of the factors outlined above could negatively affect our results of operations and our ability to make payments or maintain our covenants with respect to our debt.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casino, hotel, convention and other facilities face intense competition.</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casino/hotel industry is highly competitive and additional developments have recently opened or are currently underway. Resorts located on or near the Las Vegas Strip, such as Wynn Las Vegas, compete with other Las Vegas Strip hotels and with other hotel casinos in Las Vegas.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Wynn Las Vegas also competes, to some extent, with other hotel/casino facilities in Nevada, throughout the United States and elsewhere in the world. In addition, the legalization of casino gaming in or near metropolitan areas from which we attract customers could have a negative effect on our business. New or renovated casinos in Asia, including Wynn Resorts’ property in Macau, could draw Asian gaming customers away from Las Vegas. Increased competition could result in a loss of customers, which may negatively affect our cash flows and results of operations.</w:t>
      </w:r>
    </w:p>
    <w:p>
      <w:pPr>
        <w:spacing w:after="0" w:line="194"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Our business relies on high-end, international customers to whom we often extend credit, and we may not be able to collect gaming receivables from our credit players or credit play may decrease.</w:t>
      </w:r>
    </w:p>
    <w:p>
      <w:pPr>
        <w:spacing w:after="0" w:line="5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 significant portion of our table games revenue at Wynn Las Vegas is attributable to the play of a limited number of international customers. The loss or a reduction in the play of the most significant of these customers could have a substantial negative effect on our future operating results. A downturn in economic conditions in the countries in which these customers reside could cause a further reduction in the frequency of visits by and revenue generated from these customers.</w:t>
      </w:r>
    </w:p>
    <w:p>
      <w:pPr>
        <w:spacing w:after="0" w:line="143"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We conduct our gaming activities on a credit as well as a cash basis. This credit is unsecured. Table games players typically are extended more credit than slot players, and high-stakes players typically are extended more credit than patrons who tend to wager lower amounts. The collectability of receivables from international customers could be negatively affected by future business or economic trends or by significant events in the countries in which these customers reside. We will extend credit to those customers whose level of play and financial resources, in the opinion of management, warrant such an extension.</w:t>
      </w:r>
    </w:p>
    <w:p>
      <w:pPr>
        <w:spacing w:after="0" w:line="9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 addition, high-end gaming is more volatile than other forms of gaming, and variances in win-loss results attributable to high-end gaming may have a positive or negative impact on cash flow and earnings in a particular quarter.</w:t>
      </w:r>
    </w:p>
    <w:p>
      <w:pPr>
        <w:spacing w:after="0" w:line="13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While gaming debts evidenced by a credit instrument, including what is commonly referred to as a “marker,” are enforceable under the current laws of Nevada, and judgments on gaming debts are enforceable in all states under the Full Faith and Credit Clause of the United States Constitution, other jurisdictions may determine that direct or indirect enforcement of gaming debts is against public policy. Although courts of some foreign nations will enforce gaming debts directly and the assets in the United States of foreign debtors may be used to satisfy a judgment, judgments on gaming debts from U.S. courts are not binding on the courts of many foreign nations. We cannot assure you that we will be able to collect the full amount of gaming debts owed to us, even in jurisdictions that enforce them. Recent changes in economic conditions may make it more difficult to assess creditworthiness and more difficult to collect the full amount of any gaming debt owed to us. Our inability to collect gaming debts could have a significant negative impact on our operating results.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particularly sensitive to reductions in discretionary consumer spending as a result of downturns in the economy.</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Consumer demand for hotel/casino resorts, trade shows and conventions and for the type of luxury amenities that we offer is particularly sensitive to downturns in the economy which adversely impact discretionary spending on leisure activities. Changes in discretionary consumer spending or consumer preferences brought about by the factors such as perceived or actual general economic conditions, high unemployment, the housing foreclosure crisis, perceived or actual changes to disposable consumer income and wealth, an economic recession and changes in consumer confidence in the economy, or fears of war and future acts of terrorism could reduce customer demand for the luxury amenities and leisure activities we offer, and may have a significant negative impact on our operating results.</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59" w:right="2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b w:val="1"/>
          <w:bCs w:val="1"/>
          <w:i w:val="1"/>
          <w:iCs w:val="1"/>
          <w:color w:val="auto"/>
        </w:rPr>
        <w:t>Our business is particularly sensitive to the willingness of our customers to travel. Acts of terrorism, regional political events and developments in the conflicts in certain countries could cause severe disruptions in air travel that reduce the number of visitors to our facilities, resulting in a material adverse effect on our business and financial condition, results of operations or cash flows.</w:t>
      </w:r>
    </w:p>
    <w:p>
      <w:pPr>
        <w:spacing w:after="0" w:line="5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are dependent on the willingness of our customers to travel. Only a small amount of our business is and will be generated by local residents. Most of our customers travel to reach our Las Vegas property. Acts of terrorism may severely disrupt domestic and international travel, which would result in a decrease in customer visits to Las Vegas, including to Wynn Las Vegas. Disruptions in air or other forms of travel as a result of any further terrorist act, outbreak of hostilities or escalation of war would have an adverse effect on our business and financial condition, results of operations or cash flows.</w:t>
      </w:r>
    </w:p>
    <w:p>
      <w:pPr>
        <w:spacing w:after="0" w:line="19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We are subject to extensive state and local regulation, and licensing and gaming authorities have significant control over our operations, which could have a negative effect on our business.</w:t>
      </w:r>
    </w:p>
    <w:p>
      <w:pPr>
        <w:spacing w:after="0" w:line="5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operations of Wynn Las Vegas are contingent upon maintaining all necessary regulatory licenses, permits, approvals, registrations, findings of suitability, orders and authorizations. The laws, regulations and ordinances requiring these licenses, permits and other approvals generally relate to the responsibility, financial stability and character of the owners and managers of gaming operations, as well as persons financially interested or involved in gaming operations. The scope of the approvals required to open and operate a facility is extensive. We received all approvals for the opening of Wynn Las Vegas | Encore; however, we are subject to ongoing regulation to maintain these operations.</w:t>
      </w:r>
    </w:p>
    <w:p>
      <w:pPr>
        <w:spacing w:after="0" w:line="1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Nevada Gaming Commission may require the holder of any debt or securities that we or Wynn Resorts issue to file applications, be investigated and be found suitable to own our or Wynn Resorts’ securities if it has reason to believe that the security ownership would be inconsistent with the declared policies of the State of Nevada.</w:t>
      </w:r>
    </w:p>
    <w:p>
      <w:pPr>
        <w:spacing w:after="0" w:line="14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Nevada regulatory authorities have broad powers to request detailed financial and other information, to limit, condition, suspend or revoke a registration, gaming license or related approval and to approve changes in our operations. Substantial fines or forfeiture of assets for violations of gaming laws or regulations may be levied. The suspension or revocation of any license which may be granted to us or the levy of substantial fines or forfeiture of assets could significantly harm our business, financial condition and results of operations. Furthermore, compliance costs associated with gaming laws, regulations and licenses are significant. Any change in the laws, regulations or licenses applicable to our business or a violation of any current or future laws or regulations applicable to our business or gaming licenses could require us to make substantial expenditures or could otherwise negatively affect our gaming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taxation by various governments and agencies. The rate of taxation could change.</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are subject to taxation in the United States at the federal, state and local level. Specific rates of taxation can be changed by legislative action. Increases in taxation could adversely affect our results of operations.</w:t>
      </w:r>
    </w:p>
    <w:p>
      <w:pPr>
        <w:spacing w:after="0" w:line="21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Our insurance coverage may not be adequate to cover all possible losses that we could suffer, including losses resulting from terrorism, and our insurance costs may increase.</w:t>
      </w:r>
    </w:p>
    <w:p>
      <w:pPr>
        <w:spacing w:after="0" w:line="5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have comprehensive property and liability insurance policies for our properties with coverage features and insured limits that we believe are customary in their breadth and scope. However, in the event of a substantial loss, the insurance coverage we carry may not be sufficient to pay the full market value or replacement cost of our lost investment or could result in certain losses being totally uninsured. As a result, we could lose some or all of the capital we have invested in a property, as well as the anticipated future revenue from the property, and we could remain obligated for debt or other financial obligations related to the property.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Market forces beyond our control may limit the scope of the insurance coverage we can obtain in the future or our ability to obtain coverage at reasonable rates. Certain catastrophic losses may be uninsurable or too expensive to justify obtaining insurance. As a result, if we suffer such a catastrophic loss, we may not be successful in obtaining future insurance without increases in cost or decreases in coverage levels. Furthermore, our debt instruments and other material agreements require us to maintain a certain minimum level of insurance. Failure to satisfy these requirements could result in an event of default under these debt instruments or material agreements, which would negatively affect our business and financial condition.</w:t>
      </w:r>
    </w:p>
    <w:p>
      <w:pPr>
        <w:spacing w:after="0" w:line="197"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b w:val="1"/>
          <w:bCs w:val="1"/>
          <w:i w:val="1"/>
          <w:iCs w:val="1"/>
          <w:color w:val="auto"/>
        </w:rPr>
        <w:t>If a third party successfully challenges Holdings’ ownership of, or right to use, the Wynn-related intellectual property rights, our business or results of operations could be harmed.</w:t>
      </w:r>
    </w:p>
    <w:p>
      <w:pPr>
        <w:spacing w:after="0" w:line="51" w:lineRule="exact"/>
        <w:rPr>
          <w:sz w:val="20"/>
          <w:szCs w:val="20"/>
          <w:color w:val="auto"/>
        </w:rPr>
      </w:pPr>
    </w:p>
    <w:p>
      <w:pPr>
        <w:ind w:right="360" w:firstLine="456"/>
        <w:spacing w:after="0" w:line="323" w:lineRule="auto"/>
        <w:rPr>
          <w:sz w:val="20"/>
          <w:szCs w:val="20"/>
          <w:color w:val="auto"/>
        </w:rPr>
      </w:pPr>
      <w:r>
        <w:rPr>
          <w:rFonts w:ascii="Arial" w:cs="Arial" w:eastAsia="Arial" w:hAnsi="Arial"/>
          <w:sz w:val="15"/>
          <w:szCs w:val="15"/>
          <w:color w:val="auto"/>
        </w:rPr>
        <w:t>Our intellectual property assets, including the word and the logo version of “Wynn,” are among our most valuable assets. We have sublicensed certain Wynn-related trademarks and service marks from Holdings. Holdings has filed applications with the United States Patent and Trademark Office (“PTO”), to register a variety of WYNN-related trademarks and service marks in connection with a variety of goods and services. These marks include “WYNN LAS VEGAS” and “ENCORE.” Some of the applications are based upon ongoing use and others are based upon a bona fide intent to use the marks.</w:t>
      </w:r>
    </w:p>
    <w:p>
      <w:pPr>
        <w:spacing w:after="0" w:line="9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 common element of most of these marks is the use of the surname, “WYNN.” As a general rule, a surname (or the portion of a mark primarily constituting a surname) is not eligible for registration unless the surname has acquired “secondary meaning.” To date, Holdings has been successful in demonstrating to the PTO such secondary meaning for the Wynn name, in certain of the applications, based upon factors including Mr. Wynn’s prominence as a resort developer, but we cannot assure you that we will be successful with the other pending applications.</w:t>
      </w:r>
    </w:p>
    <w:p>
      <w:pPr>
        <w:spacing w:after="0" w:line="11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Even if Holdings is able to obtain registration of the WYNN-related marks, such 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140" w:lineRule="exact"/>
        <w:rPr>
          <w:sz w:val="20"/>
          <w:szCs w:val="20"/>
          <w:color w:val="auto"/>
        </w:rPr>
      </w:pPr>
    </w:p>
    <w:p>
      <w:pPr>
        <w:ind w:right="280" w:firstLine="456"/>
        <w:spacing w:after="0" w:line="291" w:lineRule="auto"/>
        <w:rPr>
          <w:sz w:val="20"/>
          <w:szCs w:val="20"/>
          <w:color w:val="auto"/>
        </w:rPr>
      </w:pPr>
      <w:r>
        <w:rPr>
          <w:rFonts w:ascii="Arial" w:cs="Arial" w:eastAsia="Arial" w:hAnsi="Arial"/>
          <w:sz w:val="16"/>
          <w:szCs w:val="16"/>
          <w:color w:val="auto"/>
        </w:rPr>
        <w:t>Furthermore, due to the increased use of technology in computerized gaming machines and in business operations generally, other forms of intellectual property rights (such as patents and copyrights) are becoming of increased relevance. It is possible that, in the future, third parties might assert superior intellectual property rights or allege that their intellectual property rights cover some aspect of our operations. The defense of such allegations may result in substantial expenses, and, if such claims are successfully prosecuted, may have a material impact on our business. Efforts we take to acquire and protect our intellectual property rights against unauthorized use throughout the world, which may include retaining counsel and commencing litigation in various jurisdictions, may be costly and may not be successful in protecting and preserving the status and value of our intellectual property assets.</w:t>
      </w:r>
    </w:p>
    <w:p>
      <w:pPr>
        <w:spacing w:after="0" w:line="20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Our information technology and other systems are subject to cyber security risk including misappropriation of customer information or other breaches of information security.</w:t>
      </w:r>
    </w:p>
    <w:p>
      <w:pPr>
        <w:spacing w:after="0" w:line="51"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rely on information technology and other systems to maintain and transmit customer financial information, credit card settlements, credit card funds transmissions, mailing lists and reservations information. The systems and processes we have implemented to protect customers, employees and company information, including maintaining compliance with payment card industry standards and other security measures, are subject to the ever-changing risk of compromised security. These risks include cyber and physical security breaches, system failure, computer viruses, and negligent or intentional misuse by customers, company employees, or employees of third party vendors. The steps we take to deter and mitigate these risks may not be successful and our insurance coverage for protecting against cybersecurity risks may not be sufficient. Any disruption, compromise or loss of data or systems that results from a cybersecurity attack or breach could materially</w:t>
      </w:r>
    </w:p>
    <w:p>
      <w:pPr>
        <w:spacing w:after="0" w:line="1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45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adversely impact, operations or regulatory compliance and could result in remedial expenses, fines, litigation, and loss of reputation, potentially impacting our financial results.</w:t>
      </w:r>
    </w:p>
    <w:p>
      <w:pPr>
        <w:spacing w:after="0" w:line="21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Because we own real property, we are subject to extensive environmental regulation, which creates uncertainty regarding future environmental expenditures and liabilities.</w:t>
      </w:r>
    </w:p>
    <w:p>
      <w:pPr>
        <w:spacing w:after="0" w:line="5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have incurred costs to comply with environmental requirements, such as those relating to discharges into the air, water and land, the handling and disposal of solid and hazardous waste and the cleanup of properties affected by hazardous substances. Under these and other environmental requirements we may be required to investigate and clean up hazardous or toxic substances or chemical releases at our property. As an owner or operator, we could also be held responsible to a governmental entity or third parties for property damage, personal injury and investigation and cleanup costs incurred by them in connection with any contamination.</w:t>
      </w:r>
    </w:p>
    <w:p>
      <w:pPr>
        <w:spacing w:after="0" w:line="14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These laws typically impose cleanup responsibility and liability without regard to whether the owner or operator knew of or caused the presence of the contaminants. The liability under those laws has been interpreted to be joint and several unless the harm is divisible and there is a reasonable basis for allocation of the responsibility. The costs of investigation, remediation or removal of those substances may be substantial, and the presence of those substances, or the failure to remediate a property properly, may impair our ability to use our property.</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Wynn Resorts’ officers, directors and substantial stockholders are able to exert significant influence over our operations and future direction.</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ultimate parent company is Wynn Resorts. As of December 31, 2013, Mr. Wynn and Elaine P. Wynn own 10,026,708 shares and 9,659,355 shares, respectively, or in the aggregate approximately 19.5%, of Wynn Resorts’ outstanding common stock. As a result, Mr. Wynn and Elaine P. Wynn, to the extent they vote their shares in a similar manner, may be able to exert significant influence over all matters requiring our stockholders’ approval, including the approval of significant corporate transactions. In addition, until February 2012, Aruze USA, Inc. owned 24,549,222 shares of Wynn Resorts’ outstanding common stock. On February 18, 2012, Wynn Resorts redeemed all of the shares of Wynn Resorts’ common stock held by Aruze USA, Inc. For additional information on the redemption, see Item 8—“Financial Statements and Supplementary Data”, Note 11 “Commitments and Contingencies”.</w:t>
      </w:r>
    </w:p>
    <w:p>
      <w:pPr>
        <w:spacing w:after="0" w:line="12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Under the Amended and Restated Stockholders Agreement, dated as of January 6, 2010, by and among Stephen A. Wynn, Elaine P. Wynn and Aruze USA, Inc. (the “Amended and Restated Stockholders Agreement”), Mr. Wynn and Elaine P. Wynn have agreed to vote the shares of Wynn Resorts’ common stock held by them subject to the terms of the Amended and Restated Stockholders Agreement in a manner so as to elect to our Board of Directors each of the nominees contained on each and every slate of directors endorsed by Mr. Wynn, which slate will include, subject to certain exceptions, Elaine P. Wynn. As a result of this voting arrangement, Mr. Wynn, as a practical matter, exercises significant influence over the slate of directors to be elected to Wynn Resorts’ Board of Directors. In addition, with stated exceptions, the Amended and Restated Stockholders Agreement requires the written consent of the other party prior to any party selling any shares of Wynn Resorts’ common stock that it owns.</w:t>
      </w:r>
    </w:p>
    <w:p>
      <w:pPr>
        <w:spacing w:after="0" w:line="118"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In June 2012, in connection with the pending litigation between Wynn Resorts and Aruze USA, Inc., Elaine P. Wynn submitted a cross claim against</w:t>
      </w:r>
    </w:p>
    <w:p>
      <w:pPr>
        <w:spacing w:after="0" w:line="38"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Mr. Wynn and Kazuo Okada seeking to void the Amended and Restated Stockholders Agreement. The indentures governing the Company’s indebtedness provide that if Mr. Wynn, together with certain related parties, in the aggregate beneficially owns a lesser percentage of the outstanding common stock of Wynn Resorts than is beneficially owned by any other person, a change of control will have occurred. If Elaine Wynn prevails in her cross claim, Stephen A. Wynn would not beneficially own or control Elaine Wynn’s shares and a change in control may result under the Company’s debt documents. For additional information on the cross claim, see Item 8—“Financial Statements and Supplementary Data”, Note 6 “Long-Term Debt” and Note 11 “Commitments and Contingencies”.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In November 2006, the Board of Directors of Wynn Resorts approved an amendment of its bylaws that exempts future acquisitions of shares of Wynn Resorts’ common stock by either Mr. Wynn or Aruze USA, Inc. from Nevada’s acquisition of controlling interest statutes. The Nevada acquisition of controlling interest statutes require stockholder approval in order to exercise voting rights in connection with any acquisition of a controlling interest in certain Nevada corporations unless the articles of incorporation or bylaws of the corporation in effect on the 10th day following the acquisition of a controlling interest by certain acquiring persons provide that these statutes do not apply to the corporation or to the acquisition specifically by types of existing or future stockholders. These statutes define a “controlling interest” as (i) one-fifth or more but less than one-third, (ii) one-third or more but less than a majority, or (iii) a majority or more, of the voting power in the election of directors. As a result of the bylaw amendment, either Mr. Wynn or Aruze USA, Inc. or their respective affiliates may acquire ownership of outstanding voting shares of Wynn Resorts permitting them to exercise more than one-third but less than a majority, or a majority or more, of all of the voting power of the corporation in the election of directors, without requiring a resolution of the stockholders of the corporation granting voting rights in the control shares acquired.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Las Vegas Land</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Wynn Las Vegas, located at the intersection of the Las Vegas Strip and Sands Avenue, occupies approximately 215 acres of land (of which approximately 140 acres comprise the Wynn Las Vegas golf course) fronting the Las Vegas Strip and utilizes approximately 18 additional acres across Sands Avenue, a portion of which is improved with an employee parking garage and approximately 5 acres adjacent to the golf course on which an office building is located. Commencing September 18, 2012, when the golf course land and related water rights were distributed to Wynn Resorts, we lease approximately 140 acres (upon which the golf course is located) and water rights from Wynn Resorts.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Las Vegas Water Rights</w:t>
      </w:r>
    </w:p>
    <w:p>
      <w:pPr>
        <w:spacing w:after="0" w:line="96"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Commencing September 18, 2012, when the golf course land and related water rights were distributed to Wynn Resorts, we lease from Wynn Resorts, approximately 834 acre-feet of permitted and certificated water rights, which we currently use to irrigate the golf course. We also lease from Wynn Resorts approximately 151.5 acre-feet of permitted and certificated water rights for commercial use.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are occasionally party to lawsuits. As with all litigation, no assurance can be provided as to the outcome of such matters and we note that litigation inherently involves significant costs. For more information regarding the Company’s legal matters see Item 8—“Financial Statements and Supplementary Data”, Note 11 “Commitments and Contingencies”.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90" w:lineRule="exact"/>
        <w:rPr>
          <w:sz w:val="20"/>
          <w:szCs w:val="20"/>
          <w:color w:val="auto"/>
        </w:rPr>
      </w:pPr>
    </w:p>
    <w:p>
      <w:pPr>
        <w:ind w:right="2040"/>
        <w:spacing w:after="0" w:line="34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2"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There is no established trading market for our membership interests. We do not intend to list the membership interests on any national securities exchange or seek the admission thereof to trading in the National Association of Securities Dealers Automated Quotation System. We do not intend to make a market in the membership interests, nor are we obligated to do so.</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Holdings owns all of the membership interests in the Company as of the date of this filing.</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9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On September 18, 2012, the Company distributed to Wynn Resorts, Limited, the Wynn Las Vegas golf course land, the related water rights, and $700 million in cash.</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Restrictions imposed by our debt instruments significantly restrict us from making dividends or distributions. Specifically, we are restricted under the indentures governing our first mortgage notes and senior notes from making certain “restricted payments” as defined in the indentures. These restricted payments include the payment of distributions to any direct or indirect holders of our membership interests. These restricted payments cannot be made until certain financial and non-financial criteria have been satisfied.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following reflects the selected consolidated financial data of Wynn Las Vegas, LLC and its subsidiaries. This data should be read together with our consolidated financial statements and notes thereto, Item 7—“Management’s Discussion and Analysis of Financial Condition and Results of Operations” and the other information contained in this Annual Report on Form 10-K.</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2"/>
          </w:tcPr>
          <w:p>
            <w:pPr>
              <w:jc w:val="center"/>
              <w:ind w:right="996"/>
              <w:spacing w:after="0"/>
              <w:rPr>
                <w:sz w:val="20"/>
                <w:szCs w:val="20"/>
                <w:color w:val="auto"/>
              </w:rPr>
            </w:pPr>
            <w:r>
              <w:rPr>
                <w:rFonts w:ascii="Arial" w:cs="Arial" w:eastAsia="Arial" w:hAnsi="Arial"/>
                <w:sz w:val="14"/>
                <w:szCs w:val="14"/>
                <w:b w:val="1"/>
                <w:bCs w:val="1"/>
                <w:color w:val="auto"/>
                <w:w w:val="85"/>
              </w:rPr>
              <w:t>Years Ended December 31,</w:t>
            </w:r>
          </w:p>
        </w:tc>
        <w:tc>
          <w:tcPr>
            <w:tcW w:w="10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2013</w:t>
            </w:r>
          </w:p>
        </w:tc>
        <w:tc>
          <w:tcPr>
            <w:tcW w:w="122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2012</w:t>
            </w:r>
          </w:p>
        </w:tc>
        <w:tc>
          <w:tcPr>
            <w:tcW w:w="1400" w:type="dxa"/>
            <w:vAlign w:val="bottom"/>
            <w:tcBorders>
              <w:bottom w:val="single" w:sz="8" w:color="auto"/>
            </w:tcBorders>
          </w:tcPr>
          <w:p>
            <w:pPr>
              <w:jc w:val="center"/>
              <w:ind w:left="101"/>
              <w:spacing w:after="0" w:line="142" w:lineRule="exact"/>
              <w:rPr>
                <w:sz w:val="20"/>
                <w:szCs w:val="20"/>
                <w:color w:val="auto"/>
              </w:rPr>
            </w:pPr>
            <w:r>
              <w:rPr>
                <w:rFonts w:ascii="Arial" w:cs="Arial" w:eastAsia="Arial" w:hAnsi="Arial"/>
                <w:sz w:val="14"/>
                <w:szCs w:val="14"/>
                <w:b w:val="1"/>
                <w:bCs w:val="1"/>
                <w:color w:val="auto"/>
                <w:w w:val="83"/>
              </w:rPr>
              <w:t>2011</w:t>
            </w:r>
          </w:p>
        </w:tc>
        <w:tc>
          <w:tcPr>
            <w:tcW w:w="1300" w:type="dxa"/>
            <w:vAlign w:val="bottom"/>
            <w:tcBorders>
              <w:bottom w:val="single" w:sz="8" w:color="auto"/>
            </w:tcBorders>
          </w:tcPr>
          <w:p>
            <w:pPr>
              <w:jc w:val="right"/>
              <w:ind w:right="436"/>
              <w:spacing w:after="0" w:line="142" w:lineRule="exact"/>
              <w:rPr>
                <w:sz w:val="20"/>
                <w:szCs w:val="20"/>
                <w:color w:val="auto"/>
              </w:rPr>
            </w:pPr>
            <w:r>
              <w:rPr>
                <w:rFonts w:ascii="Arial" w:cs="Arial" w:eastAsia="Arial" w:hAnsi="Arial"/>
                <w:sz w:val="14"/>
                <w:szCs w:val="14"/>
                <w:b w:val="1"/>
                <w:bCs w:val="1"/>
                <w:color w:val="auto"/>
              </w:rPr>
              <w:t>2010</w:t>
            </w:r>
          </w:p>
        </w:tc>
        <w:tc>
          <w:tcPr>
            <w:tcW w:w="102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4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0" w:type="dxa"/>
            <w:vAlign w:val="bottom"/>
          </w:tcPr>
          <w:p>
            <w:pPr>
              <w:jc w:val="center"/>
              <w:ind w:left="141"/>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Net revenues</w:t>
            </w:r>
          </w:p>
        </w:tc>
        <w:tc>
          <w:tcPr>
            <w:tcW w:w="1380" w:type="dxa"/>
            <w:vAlign w:val="bottom"/>
            <w:gridSpan w:val="2"/>
          </w:tcPr>
          <w:p>
            <w:pPr>
              <w:jc w:val="right"/>
              <w:ind w:right="12"/>
              <w:spacing w:after="0"/>
              <w:rPr>
                <w:sz w:val="20"/>
                <w:szCs w:val="20"/>
                <w:color w:val="auto"/>
              </w:rPr>
            </w:pPr>
            <w:r>
              <w:rPr>
                <w:rFonts w:ascii="Arial" w:cs="Arial" w:eastAsia="Arial" w:hAnsi="Arial"/>
                <w:sz w:val="18"/>
                <w:szCs w:val="18"/>
                <w:color w:val="auto"/>
              </w:rPr>
              <w:t>$1,581,288</w:t>
            </w:r>
          </w:p>
        </w:tc>
        <w:tc>
          <w:tcPr>
            <w:tcW w:w="1220" w:type="dxa"/>
            <w:vAlign w:val="bottom"/>
          </w:tcPr>
          <w:p>
            <w:pPr>
              <w:jc w:val="right"/>
              <w:spacing w:after="0"/>
              <w:rPr>
                <w:sz w:val="20"/>
                <w:szCs w:val="20"/>
                <w:color w:val="auto"/>
              </w:rPr>
            </w:pPr>
            <w:r>
              <w:rPr>
                <w:rFonts w:ascii="Arial" w:cs="Arial" w:eastAsia="Arial" w:hAnsi="Arial"/>
                <w:sz w:val="18"/>
                <w:szCs w:val="18"/>
                <w:color w:val="auto"/>
              </w:rPr>
              <w:t>$1,487,606</w:t>
            </w:r>
          </w:p>
        </w:tc>
        <w:tc>
          <w:tcPr>
            <w:tcW w:w="1400" w:type="dxa"/>
            <w:vAlign w:val="bottom"/>
          </w:tcPr>
          <w:p>
            <w:pPr>
              <w:jc w:val="right"/>
              <w:ind w:right="121"/>
              <w:spacing w:after="0"/>
              <w:rPr>
                <w:sz w:val="20"/>
                <w:szCs w:val="20"/>
                <w:color w:val="auto"/>
              </w:rPr>
            </w:pPr>
            <w:r>
              <w:rPr>
                <w:rFonts w:ascii="Arial" w:cs="Arial" w:eastAsia="Arial" w:hAnsi="Arial"/>
                <w:sz w:val="18"/>
                <w:szCs w:val="18"/>
                <w:color w:val="auto"/>
              </w:rPr>
              <w:t>$ 1,481,895</w:t>
            </w:r>
          </w:p>
        </w:tc>
        <w:tc>
          <w:tcPr>
            <w:tcW w:w="1300" w:type="dxa"/>
            <w:vAlign w:val="bottom"/>
          </w:tcPr>
          <w:p>
            <w:pPr>
              <w:jc w:val="right"/>
              <w:ind w:right="176"/>
              <w:spacing w:after="0"/>
              <w:rPr>
                <w:sz w:val="20"/>
                <w:szCs w:val="20"/>
                <w:color w:val="auto"/>
              </w:rPr>
            </w:pPr>
            <w:r>
              <w:rPr>
                <w:rFonts w:ascii="Arial" w:cs="Arial" w:eastAsia="Arial" w:hAnsi="Arial"/>
                <w:sz w:val="18"/>
                <w:szCs w:val="18"/>
                <w:color w:val="auto"/>
              </w:rPr>
              <w:t>$ 1,296,556</w:t>
            </w:r>
          </w:p>
        </w:tc>
        <w:tc>
          <w:tcPr>
            <w:tcW w:w="1020" w:type="dxa"/>
            <w:vAlign w:val="bottom"/>
          </w:tcPr>
          <w:p>
            <w:pPr>
              <w:jc w:val="right"/>
              <w:spacing w:after="0"/>
              <w:rPr>
                <w:sz w:val="20"/>
                <w:szCs w:val="20"/>
                <w:color w:val="auto"/>
              </w:rPr>
            </w:pPr>
            <w:r>
              <w:rPr>
                <w:rFonts w:ascii="Arial" w:cs="Arial" w:eastAsia="Arial" w:hAnsi="Arial"/>
                <w:sz w:val="18"/>
                <w:szCs w:val="18"/>
                <w:color w:val="auto"/>
              </w:rPr>
              <w:t>$ 1,230,120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3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167,050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74,027</w:t>
            </w:r>
          </w:p>
        </w:tc>
        <w:tc>
          <w:tcPr>
            <w:tcW w:w="1400" w:type="dxa"/>
            <w:vAlign w:val="bottom"/>
            <w:shd w:val="clear" w:color="auto" w:fill="CCEEFF"/>
          </w:tcPr>
          <w:p>
            <w:pPr>
              <w:jc w:val="right"/>
              <w:ind w:right="121"/>
              <w:spacing w:after="0"/>
              <w:rPr>
                <w:sz w:val="20"/>
                <w:szCs w:val="20"/>
                <w:color w:val="auto"/>
              </w:rPr>
            </w:pPr>
            <w:r>
              <w:rPr>
                <w:rFonts w:ascii="Arial" w:cs="Arial" w:eastAsia="Arial" w:hAnsi="Arial"/>
                <w:sz w:val="18"/>
                <w:szCs w:val="18"/>
                <w:color w:val="auto"/>
              </w:rPr>
              <w:t>101,319</w:t>
            </w:r>
          </w:p>
        </w:tc>
        <w:tc>
          <w:tcPr>
            <w:tcW w:w="13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(81,314)</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(144,279)</w:t>
            </w:r>
          </w:p>
        </w:tc>
      </w:tr>
      <w:tr>
        <w:trPr>
          <w:trHeight w:val="222"/>
        </w:trPr>
        <w:tc>
          <w:tcPr>
            <w:tcW w:w="4980" w:type="dxa"/>
            <w:vAlign w:val="bottom"/>
          </w:tcPr>
          <w:p>
            <w:pPr>
              <w:spacing w:after="0"/>
              <w:rPr>
                <w:sz w:val="20"/>
                <w:szCs w:val="20"/>
                <w:color w:val="auto"/>
              </w:rPr>
            </w:pPr>
            <w:r>
              <w:rPr>
                <w:rFonts w:ascii="Arial" w:cs="Arial" w:eastAsia="Arial" w:hAnsi="Arial"/>
                <w:sz w:val="18"/>
                <w:szCs w:val="18"/>
                <w:color w:val="auto"/>
              </w:rPr>
              <w:t>Net loss</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(96,283)</w:t>
            </w:r>
          </w:p>
        </w:tc>
        <w:tc>
          <w:tcPr>
            <w:tcW w:w="1220" w:type="dxa"/>
            <w:vAlign w:val="bottom"/>
          </w:tcPr>
          <w:p>
            <w:pPr>
              <w:jc w:val="right"/>
              <w:spacing w:after="0"/>
              <w:rPr>
                <w:sz w:val="20"/>
                <w:szCs w:val="20"/>
                <w:color w:val="auto"/>
              </w:rPr>
            </w:pPr>
            <w:r>
              <w:rPr>
                <w:rFonts w:ascii="Arial" w:cs="Arial" w:eastAsia="Arial" w:hAnsi="Arial"/>
                <w:sz w:val="18"/>
                <w:szCs w:val="18"/>
                <w:color w:val="auto"/>
              </w:rPr>
              <w:t>(154,496)</w:t>
            </w:r>
          </w:p>
        </w:tc>
        <w:tc>
          <w:tcPr>
            <w:tcW w:w="1400" w:type="dxa"/>
            <w:vAlign w:val="bottom"/>
          </w:tcPr>
          <w:p>
            <w:pPr>
              <w:jc w:val="right"/>
              <w:ind w:right="61"/>
              <w:spacing w:after="0"/>
              <w:rPr>
                <w:sz w:val="20"/>
                <w:szCs w:val="20"/>
                <w:color w:val="auto"/>
              </w:rPr>
            </w:pPr>
            <w:r>
              <w:rPr>
                <w:rFonts w:ascii="Arial" w:cs="Arial" w:eastAsia="Arial" w:hAnsi="Arial"/>
                <w:sz w:val="18"/>
                <w:szCs w:val="18"/>
                <w:color w:val="auto"/>
              </w:rPr>
              <w:t>(95,632)</w:t>
            </w:r>
          </w:p>
        </w:tc>
        <w:tc>
          <w:tcPr>
            <w:tcW w:w="1300" w:type="dxa"/>
            <w:vAlign w:val="bottom"/>
          </w:tcPr>
          <w:p>
            <w:pPr>
              <w:jc w:val="right"/>
              <w:ind w:right="116"/>
              <w:spacing w:after="0"/>
              <w:rPr>
                <w:sz w:val="20"/>
                <w:szCs w:val="20"/>
                <w:color w:val="auto"/>
              </w:rPr>
            </w:pPr>
            <w:r>
              <w:rPr>
                <w:rFonts w:ascii="Arial" w:cs="Arial" w:eastAsia="Arial" w:hAnsi="Arial"/>
                <w:sz w:val="18"/>
                <w:szCs w:val="18"/>
                <w:color w:val="auto"/>
              </w:rPr>
              <w:t>(348,329)</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(309,870)</w:t>
            </w:r>
          </w:p>
        </w:tc>
      </w:tr>
      <w:tr>
        <w:trPr>
          <w:trHeight w:val="345"/>
        </w:trPr>
        <w:tc>
          <w:tcPr>
            <w:tcW w:w="49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86"/>
              </w:rPr>
              <w:t>As of December 31,</w:t>
            </w:r>
          </w:p>
        </w:tc>
        <w:tc>
          <w:tcPr>
            <w:tcW w:w="1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980" w:type="dxa"/>
            <w:vAlign w:val="bottom"/>
          </w:tcPr>
          <w:p>
            <w:pPr>
              <w:spacing w:after="0"/>
              <w:rPr>
                <w:sz w:val="12"/>
                <w:szCs w:val="12"/>
                <w:color w:val="auto"/>
              </w:rPr>
            </w:pPr>
          </w:p>
        </w:tc>
        <w:tc>
          <w:tcPr>
            <w:tcW w:w="1380" w:type="dxa"/>
            <w:vAlign w:val="bottom"/>
            <w:tcBorders>
              <w:bottom w:val="single" w:sz="8" w:color="auto"/>
            </w:tcBorders>
            <w:gridSpan w:val="2"/>
          </w:tcPr>
          <w:p>
            <w:pPr>
              <w:jc w:val="right"/>
              <w:ind w:right="772"/>
              <w:spacing w:after="0" w:line="142" w:lineRule="exact"/>
              <w:rPr>
                <w:sz w:val="20"/>
                <w:szCs w:val="20"/>
                <w:color w:val="auto"/>
              </w:rPr>
            </w:pPr>
            <w:r>
              <w:rPr>
                <w:rFonts w:ascii="Arial" w:cs="Arial" w:eastAsia="Arial" w:hAnsi="Arial"/>
                <w:sz w:val="14"/>
                <w:szCs w:val="14"/>
                <w:b w:val="1"/>
                <w:bCs w:val="1"/>
                <w:color w:val="auto"/>
              </w:rPr>
              <w:t>2013</w:t>
            </w:r>
          </w:p>
        </w:tc>
        <w:tc>
          <w:tcPr>
            <w:tcW w:w="1220" w:type="dxa"/>
            <w:vAlign w:val="bottom"/>
            <w:tcBorders>
              <w:bottom w:val="single" w:sz="8" w:color="auto"/>
            </w:tcBorders>
          </w:tcPr>
          <w:p>
            <w:pPr>
              <w:jc w:val="right"/>
              <w:ind w:right="596"/>
              <w:spacing w:after="0" w:line="142" w:lineRule="exact"/>
              <w:rPr>
                <w:sz w:val="20"/>
                <w:szCs w:val="20"/>
                <w:color w:val="auto"/>
              </w:rPr>
            </w:pPr>
            <w:r>
              <w:rPr>
                <w:rFonts w:ascii="Arial" w:cs="Arial" w:eastAsia="Arial" w:hAnsi="Arial"/>
                <w:sz w:val="14"/>
                <w:szCs w:val="14"/>
                <w:b w:val="1"/>
                <w:bCs w:val="1"/>
                <w:color w:val="auto"/>
              </w:rPr>
              <w:t>2012</w:t>
            </w:r>
          </w:p>
        </w:tc>
        <w:tc>
          <w:tcPr>
            <w:tcW w:w="1400" w:type="dxa"/>
            <w:vAlign w:val="bottom"/>
            <w:tcBorders>
              <w:bottom w:val="single" w:sz="8" w:color="auto"/>
            </w:tcBorders>
          </w:tcPr>
          <w:p>
            <w:pPr>
              <w:jc w:val="center"/>
              <w:ind w:right="181"/>
              <w:spacing w:after="0" w:line="142" w:lineRule="exact"/>
              <w:rPr>
                <w:sz w:val="20"/>
                <w:szCs w:val="20"/>
                <w:color w:val="auto"/>
              </w:rPr>
            </w:pPr>
            <w:r>
              <w:rPr>
                <w:rFonts w:ascii="Arial" w:cs="Arial" w:eastAsia="Arial" w:hAnsi="Arial"/>
                <w:sz w:val="14"/>
                <w:szCs w:val="14"/>
                <w:b w:val="1"/>
                <w:bCs w:val="1"/>
                <w:color w:val="auto"/>
                <w:w w:val="83"/>
              </w:rPr>
              <w:t>2011</w:t>
            </w:r>
          </w:p>
        </w:tc>
        <w:tc>
          <w:tcPr>
            <w:tcW w:w="1300" w:type="dxa"/>
            <w:vAlign w:val="bottom"/>
            <w:tcBorders>
              <w:bottom w:val="single" w:sz="8" w:color="auto"/>
            </w:tcBorders>
          </w:tcPr>
          <w:p>
            <w:pPr>
              <w:jc w:val="right"/>
              <w:ind w:right="516"/>
              <w:spacing w:after="0" w:line="142" w:lineRule="exact"/>
              <w:rPr>
                <w:sz w:val="20"/>
                <w:szCs w:val="20"/>
                <w:color w:val="auto"/>
              </w:rPr>
            </w:pPr>
            <w:r>
              <w:rPr>
                <w:rFonts w:ascii="Arial" w:cs="Arial" w:eastAsia="Arial" w:hAnsi="Arial"/>
                <w:sz w:val="14"/>
                <w:szCs w:val="14"/>
                <w:b w:val="1"/>
                <w:bCs w:val="1"/>
                <w:color w:val="auto"/>
              </w:rPr>
              <w:t>2010</w:t>
            </w:r>
          </w:p>
        </w:tc>
        <w:tc>
          <w:tcPr>
            <w:tcW w:w="102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4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0" w:type="dxa"/>
            <w:vAlign w:val="bottom"/>
          </w:tcPr>
          <w:p>
            <w:pPr>
              <w:jc w:val="center"/>
              <w:ind w:right="181"/>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380" w:type="dxa"/>
            <w:vAlign w:val="bottom"/>
            <w:gridSpan w:val="2"/>
          </w:tcPr>
          <w:p>
            <w:pPr>
              <w:jc w:val="right"/>
              <w:ind w:right="512"/>
              <w:spacing w:after="0"/>
              <w:rPr>
                <w:sz w:val="20"/>
                <w:szCs w:val="20"/>
                <w:color w:val="auto"/>
              </w:rPr>
            </w:pPr>
            <w:r>
              <w:rPr>
                <w:rFonts w:ascii="Arial" w:cs="Arial" w:eastAsia="Arial" w:hAnsi="Arial"/>
                <w:sz w:val="18"/>
                <w:szCs w:val="18"/>
                <w:color w:val="auto"/>
                <w:w w:val="91"/>
              </w:rPr>
              <w:t>$  231,156</w:t>
            </w:r>
          </w:p>
        </w:tc>
        <w:tc>
          <w:tcPr>
            <w:tcW w:w="1220" w:type="dxa"/>
            <w:vAlign w:val="bottom"/>
          </w:tcPr>
          <w:p>
            <w:pPr>
              <w:jc w:val="right"/>
              <w:ind w:right="336"/>
              <w:spacing w:after="0"/>
              <w:rPr>
                <w:sz w:val="20"/>
                <w:szCs w:val="20"/>
                <w:color w:val="auto"/>
              </w:rPr>
            </w:pPr>
            <w:r>
              <w:rPr>
                <w:rFonts w:ascii="Arial" w:cs="Arial" w:eastAsia="Arial" w:hAnsi="Arial"/>
                <w:sz w:val="18"/>
                <w:szCs w:val="18"/>
                <w:color w:val="auto"/>
                <w:w w:val="91"/>
              </w:rPr>
              <w:t>$  148,415</w:t>
            </w:r>
          </w:p>
        </w:tc>
        <w:tc>
          <w:tcPr>
            <w:tcW w:w="1400" w:type="dxa"/>
            <w:vAlign w:val="bottom"/>
          </w:tcPr>
          <w:p>
            <w:pPr>
              <w:jc w:val="right"/>
              <w:ind w:right="361"/>
              <w:spacing w:after="0"/>
              <w:rPr>
                <w:sz w:val="20"/>
                <w:szCs w:val="20"/>
                <w:color w:val="auto"/>
              </w:rPr>
            </w:pPr>
            <w:r>
              <w:rPr>
                <w:rFonts w:ascii="Arial" w:cs="Arial" w:eastAsia="Arial" w:hAnsi="Arial"/>
                <w:sz w:val="18"/>
                <w:szCs w:val="18"/>
                <w:color w:val="auto"/>
              </w:rPr>
              <w:t>$  201,399</w:t>
            </w:r>
          </w:p>
        </w:tc>
        <w:tc>
          <w:tcPr>
            <w:tcW w:w="1300" w:type="dxa"/>
            <w:vAlign w:val="bottom"/>
          </w:tcPr>
          <w:p>
            <w:pPr>
              <w:jc w:val="right"/>
              <w:ind w:right="256"/>
              <w:spacing w:after="0"/>
              <w:rPr>
                <w:sz w:val="20"/>
                <w:szCs w:val="20"/>
                <w:color w:val="auto"/>
              </w:rPr>
            </w:pPr>
            <w:r>
              <w:rPr>
                <w:rFonts w:ascii="Arial" w:cs="Arial" w:eastAsia="Arial" w:hAnsi="Arial"/>
                <w:sz w:val="18"/>
                <w:szCs w:val="18"/>
                <w:color w:val="auto"/>
              </w:rPr>
              <w:t>$   52,540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66,354</w:t>
            </w:r>
          </w:p>
        </w:tc>
        <w:tc>
          <w:tcPr>
            <w:tcW w:w="10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38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4,619</w:t>
            </w:r>
          </w:p>
        </w:tc>
        <w:tc>
          <w:tcPr>
            <w:tcW w:w="122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rPr>
              <w:t>2,518</w:t>
            </w:r>
          </w:p>
        </w:tc>
        <w:tc>
          <w:tcPr>
            <w:tcW w:w="1400" w:type="dxa"/>
            <w:vAlign w:val="bottom"/>
            <w:shd w:val="clear" w:color="auto" w:fill="CCEEFF"/>
          </w:tcPr>
          <w:p>
            <w:pPr>
              <w:jc w:val="right"/>
              <w:ind w:right="361"/>
              <w:spacing w:after="0"/>
              <w:rPr>
                <w:sz w:val="20"/>
                <w:szCs w:val="20"/>
                <w:color w:val="auto"/>
              </w:rPr>
            </w:pPr>
            <w:r>
              <w:rPr>
                <w:rFonts w:ascii="Arial" w:cs="Arial" w:eastAsia="Arial" w:hAnsi="Arial"/>
                <w:sz w:val="18"/>
                <w:szCs w:val="18"/>
                <w:color w:val="auto"/>
              </w:rPr>
              <w:t>6,368</w:t>
            </w:r>
          </w:p>
        </w:tc>
        <w:tc>
          <w:tcPr>
            <w:tcW w:w="130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19,281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23,973</w:t>
            </w:r>
          </w:p>
        </w:tc>
        <w:tc>
          <w:tcPr>
            <w:tcW w:w="10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Total assets</w:t>
            </w:r>
          </w:p>
        </w:tc>
        <w:tc>
          <w:tcPr>
            <w:tcW w:w="1380" w:type="dxa"/>
            <w:vAlign w:val="bottom"/>
            <w:gridSpan w:val="2"/>
          </w:tcPr>
          <w:p>
            <w:pPr>
              <w:jc w:val="right"/>
              <w:ind w:right="512"/>
              <w:spacing w:after="0"/>
              <w:rPr>
                <w:sz w:val="20"/>
                <w:szCs w:val="20"/>
                <w:color w:val="auto"/>
              </w:rPr>
            </w:pPr>
            <w:r>
              <w:rPr>
                <w:rFonts w:ascii="Arial" w:cs="Arial" w:eastAsia="Arial" w:hAnsi="Arial"/>
                <w:sz w:val="18"/>
                <w:szCs w:val="18"/>
                <w:color w:val="auto"/>
                <w:w w:val="97"/>
              </w:rPr>
              <w:t>3,576,648</w:t>
            </w:r>
          </w:p>
        </w:tc>
        <w:tc>
          <w:tcPr>
            <w:tcW w:w="1220" w:type="dxa"/>
            <w:vAlign w:val="bottom"/>
          </w:tcPr>
          <w:p>
            <w:pPr>
              <w:jc w:val="right"/>
              <w:ind w:right="336"/>
              <w:spacing w:after="0"/>
              <w:rPr>
                <w:sz w:val="20"/>
                <w:szCs w:val="20"/>
                <w:color w:val="auto"/>
              </w:rPr>
            </w:pPr>
            <w:r>
              <w:rPr>
                <w:rFonts w:ascii="Arial" w:cs="Arial" w:eastAsia="Arial" w:hAnsi="Arial"/>
                <w:sz w:val="18"/>
                <w:szCs w:val="18"/>
                <w:color w:val="auto"/>
                <w:w w:val="97"/>
              </w:rPr>
              <w:t>3,669,881</w:t>
            </w:r>
          </w:p>
        </w:tc>
        <w:tc>
          <w:tcPr>
            <w:tcW w:w="1400" w:type="dxa"/>
            <w:vAlign w:val="bottom"/>
          </w:tcPr>
          <w:p>
            <w:pPr>
              <w:jc w:val="right"/>
              <w:ind w:right="361"/>
              <w:spacing w:after="0"/>
              <w:rPr>
                <w:sz w:val="20"/>
                <w:szCs w:val="20"/>
                <w:color w:val="auto"/>
              </w:rPr>
            </w:pPr>
            <w:r>
              <w:rPr>
                <w:rFonts w:ascii="Arial" w:cs="Arial" w:eastAsia="Arial" w:hAnsi="Arial"/>
                <w:sz w:val="18"/>
                <w:szCs w:val="18"/>
                <w:color w:val="auto"/>
              </w:rPr>
              <w:t>4,035,398</w:t>
            </w:r>
          </w:p>
        </w:tc>
        <w:tc>
          <w:tcPr>
            <w:tcW w:w="1300" w:type="dxa"/>
            <w:vAlign w:val="bottom"/>
          </w:tcPr>
          <w:p>
            <w:pPr>
              <w:jc w:val="right"/>
              <w:ind w:right="256"/>
              <w:spacing w:after="0"/>
              <w:rPr>
                <w:sz w:val="20"/>
                <w:szCs w:val="20"/>
                <w:color w:val="auto"/>
              </w:rPr>
            </w:pPr>
            <w:r>
              <w:rPr>
                <w:rFonts w:ascii="Arial" w:cs="Arial" w:eastAsia="Arial" w:hAnsi="Arial"/>
                <w:sz w:val="18"/>
                <w:szCs w:val="18"/>
                <w:color w:val="auto"/>
              </w:rPr>
              <w:t>4,108,516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4,254,324</w:t>
            </w:r>
          </w:p>
        </w:tc>
        <w:tc>
          <w:tcPr>
            <w:tcW w:w="10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obligations [1]</w:t>
            </w:r>
          </w:p>
        </w:tc>
        <w:tc>
          <w:tcPr>
            <w:tcW w:w="138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w w:val="97"/>
              </w:rPr>
              <w:t>3,305,306</w:t>
            </w:r>
          </w:p>
        </w:tc>
        <w:tc>
          <w:tcPr>
            <w:tcW w:w="122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w w:val="97"/>
              </w:rPr>
              <w:t>3,272,853</w:t>
            </w:r>
          </w:p>
        </w:tc>
        <w:tc>
          <w:tcPr>
            <w:tcW w:w="1400" w:type="dxa"/>
            <w:vAlign w:val="bottom"/>
            <w:shd w:val="clear" w:color="auto" w:fill="CCEEFF"/>
          </w:tcPr>
          <w:p>
            <w:pPr>
              <w:jc w:val="right"/>
              <w:ind w:right="361"/>
              <w:spacing w:after="0"/>
              <w:rPr>
                <w:sz w:val="20"/>
                <w:szCs w:val="20"/>
                <w:color w:val="auto"/>
              </w:rPr>
            </w:pPr>
            <w:r>
              <w:rPr>
                <w:rFonts w:ascii="Arial" w:cs="Arial" w:eastAsia="Arial" w:hAnsi="Arial"/>
                <w:sz w:val="18"/>
                <w:szCs w:val="18"/>
                <w:color w:val="auto"/>
              </w:rPr>
              <w:t>2,632,164</w:t>
            </w:r>
          </w:p>
        </w:tc>
        <w:tc>
          <w:tcPr>
            <w:tcW w:w="130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2,730,738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2,638,083</w:t>
            </w:r>
          </w:p>
        </w:tc>
        <w:tc>
          <w:tcPr>
            <w:tcW w:w="100" w:type="dxa"/>
            <w:vAlign w:val="bottom"/>
            <w:shd w:val="clear" w:color="auto" w:fill="CCEEFF"/>
          </w:tcPr>
          <w:p>
            <w:pPr>
              <w:spacing w:after="0"/>
              <w:rPr>
                <w:sz w:val="18"/>
                <w:szCs w:val="18"/>
                <w:color w:val="auto"/>
              </w:rPr>
            </w:pPr>
          </w:p>
        </w:tc>
      </w:tr>
      <w:tr>
        <w:trPr>
          <w:trHeight w:val="222"/>
        </w:trPr>
        <w:tc>
          <w:tcPr>
            <w:tcW w:w="4980" w:type="dxa"/>
            <w:vAlign w:val="bottom"/>
          </w:tcPr>
          <w:p>
            <w:pPr>
              <w:spacing w:after="0"/>
              <w:rPr>
                <w:sz w:val="20"/>
                <w:szCs w:val="20"/>
                <w:color w:val="auto"/>
              </w:rPr>
            </w:pPr>
            <w:r>
              <w:rPr>
                <w:rFonts w:ascii="Arial" w:cs="Arial" w:eastAsia="Arial" w:hAnsi="Arial"/>
                <w:sz w:val="18"/>
                <w:szCs w:val="18"/>
                <w:color w:val="auto"/>
              </w:rPr>
              <w:t>Member’s equity (deficit)</w:t>
            </w:r>
          </w:p>
        </w:tc>
        <w:tc>
          <w:tcPr>
            <w:tcW w:w="1380" w:type="dxa"/>
            <w:vAlign w:val="bottom"/>
            <w:gridSpan w:val="2"/>
          </w:tcPr>
          <w:p>
            <w:pPr>
              <w:jc w:val="right"/>
              <w:ind w:right="452"/>
              <w:spacing w:after="0"/>
              <w:rPr>
                <w:sz w:val="20"/>
                <w:szCs w:val="20"/>
                <w:color w:val="auto"/>
              </w:rPr>
            </w:pPr>
            <w:r>
              <w:rPr>
                <w:rFonts w:ascii="Arial" w:cs="Arial" w:eastAsia="Arial" w:hAnsi="Arial"/>
                <w:sz w:val="18"/>
                <w:szCs w:val="18"/>
                <w:color w:val="auto"/>
              </w:rPr>
              <w:t>(22,801)</w:t>
            </w:r>
          </w:p>
        </w:tc>
        <w:tc>
          <w:tcPr>
            <w:tcW w:w="1220" w:type="dxa"/>
            <w:vAlign w:val="bottom"/>
          </w:tcPr>
          <w:p>
            <w:pPr>
              <w:jc w:val="right"/>
              <w:ind w:right="336"/>
              <w:spacing w:after="0"/>
              <w:rPr>
                <w:sz w:val="20"/>
                <w:szCs w:val="20"/>
                <w:color w:val="auto"/>
              </w:rPr>
            </w:pPr>
            <w:r>
              <w:rPr>
                <w:rFonts w:ascii="Arial" w:cs="Arial" w:eastAsia="Arial" w:hAnsi="Arial"/>
                <w:sz w:val="18"/>
                <w:szCs w:val="18"/>
                <w:color w:val="auto"/>
              </w:rPr>
              <w:t>67,085</w:t>
            </w:r>
          </w:p>
        </w:tc>
        <w:tc>
          <w:tcPr>
            <w:tcW w:w="1400" w:type="dxa"/>
            <w:vAlign w:val="bottom"/>
          </w:tcPr>
          <w:p>
            <w:pPr>
              <w:jc w:val="right"/>
              <w:ind w:right="361"/>
              <w:spacing w:after="0"/>
              <w:rPr>
                <w:sz w:val="20"/>
                <w:szCs w:val="20"/>
                <w:color w:val="auto"/>
              </w:rPr>
            </w:pPr>
            <w:r>
              <w:rPr>
                <w:rFonts w:ascii="Arial" w:cs="Arial" w:eastAsia="Arial" w:hAnsi="Arial"/>
                <w:sz w:val="18"/>
                <w:szCs w:val="18"/>
                <w:color w:val="auto"/>
              </w:rPr>
              <w:t>1,010,307</w:t>
            </w:r>
          </w:p>
        </w:tc>
        <w:tc>
          <w:tcPr>
            <w:tcW w:w="1300" w:type="dxa"/>
            <w:vAlign w:val="bottom"/>
          </w:tcPr>
          <w:p>
            <w:pPr>
              <w:jc w:val="right"/>
              <w:ind w:right="256"/>
              <w:spacing w:after="0"/>
              <w:rPr>
                <w:sz w:val="20"/>
                <w:szCs w:val="20"/>
                <w:color w:val="auto"/>
              </w:rPr>
            </w:pPr>
            <w:r>
              <w:rPr>
                <w:rFonts w:ascii="Arial" w:cs="Arial" w:eastAsia="Arial" w:hAnsi="Arial"/>
                <w:sz w:val="18"/>
                <w:szCs w:val="18"/>
                <w:color w:val="auto"/>
              </w:rPr>
              <w:t>1,098,502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1,385,553</w:t>
            </w:r>
          </w:p>
        </w:tc>
        <w:tc>
          <w:tcPr>
            <w:tcW w:w="100" w:type="dxa"/>
            <w:vAlign w:val="bottom"/>
          </w:tcPr>
          <w:p>
            <w:pPr>
              <w:spacing w:after="0"/>
              <w:rPr>
                <w:sz w:val="19"/>
                <w:szCs w:val="19"/>
                <w:color w:val="auto"/>
              </w:rPr>
            </w:pPr>
          </w:p>
        </w:tc>
      </w:tr>
    </w:tbl>
    <w:p>
      <w:pPr>
        <w:spacing w:after="0" w:line="188" w:lineRule="exact"/>
        <w:rPr>
          <w:sz w:val="20"/>
          <w:szCs w:val="20"/>
          <w:color w:val="auto"/>
        </w:rPr>
      </w:pPr>
    </w:p>
    <w:p>
      <w:pPr>
        <w:ind w:left="5620" w:right="4640" w:hanging="5612"/>
        <w:spacing w:after="0" w:line="440" w:lineRule="auto"/>
        <w:tabs>
          <w:tab w:leader="none" w:pos="448"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long-term debt, interest rate swap, long-term amounts due to affiliates, and other. 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following discussion should be read in conjunction with, and is qualified in its entirety by, the consolidated financial statements and the notes thereto included elsewhere in this Annual Report on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are a developer, owner and operator of destination casino resorts. We currently own and operate Wynn Las Vegas | Encore (“Wynn Las Vegas”), a fully integrated destination casino resort in Las Vegas, Nevada. Wynn Las Vegas, located at the intersection of the Las Vegas Strip and Sands Avenue, occupies approximately 215 acres of land (of which approximately 140 acres comprise the Wynn Las Vegas golf course) fronting the Las Vegas Strip and utilizes approximately 18 additional acres across Sands Avenue, a portion of which is improved with an employee parking garage and approximately 5 acres adjacent to the golf course on which an office building is located. Commencing September 18, 2012, when the golf course land and related water rights were distributed to Wynn Resorts, we lease approximately 140 acres (upon which the golf course is located) and water rights from Wynn Resorts.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Las Vegas resort complex features:</w:t>
      </w:r>
    </w:p>
    <w:p>
      <w:pPr>
        <w:spacing w:after="0" w:line="90" w:lineRule="exact"/>
        <w:rPr>
          <w:sz w:val="20"/>
          <w:szCs w:val="20"/>
          <w:color w:val="auto"/>
        </w:rPr>
      </w:pPr>
    </w:p>
    <w:p>
      <w:pPr>
        <w:ind w:left="900" w:right="40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Approximately 186,000 square feet of casino space, offering 24-hour gaming and a full range of games, including private gaming salons, a sky casino, a poker room, and a race and sports book;</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Two luxury hotel towers with a total of 4,748 spacious hotel rooms, suites and villas;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34 food and beverage outlets featuring signature chefs;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Ferrari and Maserati automobile dealership;</w:t>
      </w:r>
    </w:p>
    <w:p>
      <w:pPr>
        <w:spacing w:after="0" w:line="90" w:lineRule="exact"/>
        <w:rPr>
          <w:rFonts w:ascii="Arial" w:cs="Arial" w:eastAsia="Arial" w:hAnsi="Arial"/>
          <w:sz w:val="18"/>
          <w:szCs w:val="18"/>
          <w:color w:val="auto"/>
        </w:rPr>
      </w:pPr>
    </w:p>
    <w:p>
      <w:pPr>
        <w:ind w:left="900" w:right="60" w:hanging="325"/>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Approximately 96,000 square feet of high-end, brand-name retail shopping, including stores and boutiques by Alexander McQueen, Brioni, Cartier, Chanel, Chloé, Chopard, Dior, Graff, Hermes, IWC Schaffhausen, Jaeger-LeCoultre, Loro Piana, Louis Vuitton, Manolo Blahnik, Nicholas Kirkwood, Oscar de la Renta, Piaget, Rolex, Vertu and others;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Recreation and leisure facilities, including an 18-hole golf course, swimming pools, private cabanas and two full service spas and salons;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Two showrooms;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Three nightclubs and a beach club.</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Construction and Future Development</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During 2013, we remodeled our villas and two of our restaurants. In response to our evaluation of our property and the reaction of our guests, we have made and expect to continue to remodel and make enhancements and refinements to our resort complex.</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offer gaming, hotel accommodations, dining, entertainment, retail shopping, convention services and other amenities at our resort. We currently rely solely upon the operations of Wynn Las Vegas for our operating cash flow. Concentration of our cash flows to Wynn Las Vegas exposes us to certain risks that competitors, whose operations are more diversified, may be better able to control. In addition to the concentration of operations to Wynn Las Vegas, many of our customers are premium gaming customers who wager on credit, thus exposing us to increased credit risk. High-end gaming also increases the potential for variability in our results.</w:t>
      </w:r>
    </w:p>
    <w:p>
      <w:pPr>
        <w:spacing w:after="0" w:line="14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recorded a net loss for the year ended December 31, 2013 of $96.3 million compared to the net loss of $154.5 million recorded for the year ended December 31, 2012. Our results for the year ended December 31, 2013 were benefitted by improved profits, primarily in the casino department ($82.5 million) where we experienced a higher table games win percentage as compared to the prior year.</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459" w:right="3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Measures</w:t>
      </w:r>
    </w:p>
    <w:p>
      <w:pPr>
        <w:spacing w:after="0" w:line="9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Certain key operating statistics specific to the gaming industry are included in our discussion of the Company’s operational performance for the periods in which a Consolidated Statement of Operations and Comprehensive Loss is presented. Below are definitions of the statistics discussed:</w:t>
      </w:r>
    </w:p>
    <w:p>
      <w:pPr>
        <w:spacing w:after="0" w:line="4"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Table games win is the amount of drop that is retained and recorded as casino revenue.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Drop is the amount of cash and net markers issued that are deposited in a gaming table’s drop box.</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Slot win is the amount of handle (representing the total amount wagered) that is retained and is recorded as casino revenue.</w:t>
      </w:r>
    </w:p>
    <w:p>
      <w:pPr>
        <w:spacing w:after="0" w:line="9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 including promotional allowances (less service charges, if any) by total rooms occupied, including complimentary rooms.</w:t>
      </w:r>
    </w:p>
    <w:p>
      <w:pPr>
        <w:spacing w:after="0" w:line="5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Revenue per Available Room (“REVPAR”) is calculated by dividing total room revenue including promotional allowances (less service charges, if any) by total rooms available.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Occupancy is calculated by dividing total occupied rooms including complimentary rooms by total rooms available.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year ended December 31, 2013 compared to the year ended December 31, 2012.</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Net revenues for the year ended December 31, 2013 are comprised of $682.8 million in casino revenues (43.2% of total net revenues) and $898.5 million of net non-casino revenues (56.8% of total net revenues). Net revenues for the year ended December 31, 2012 are comprised of $592.3 million in casino revenues (39.8% of total net revenues) and $895.3 million of net non-casino revenues (60.2% of total net revenues).</w:t>
      </w:r>
    </w:p>
    <w:p>
      <w:pPr>
        <w:spacing w:after="0" w:line="107"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Casino revenues are comprised of the net win from our table games and slot machine operations. We experienced an increase in casino revenues of $90.5 million (15.3%) to $682.8 million for the year ended December 31, 2013, compared to $592.3 million for the year ended December 31, 2012, due to an increase in our table games win percentage (before discounts).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key gaming statistics related to our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3"/>
          </w:tcPr>
          <w:p>
            <w:pPr>
              <w:jc w:val="right"/>
              <w:ind w:right="917"/>
              <w:spacing w:after="0"/>
              <w:rPr>
                <w:sz w:val="20"/>
                <w:szCs w:val="20"/>
                <w:color w:val="auto"/>
              </w:rPr>
            </w:pPr>
            <w:r>
              <w:rPr>
                <w:rFonts w:ascii="Arial" w:cs="Arial" w:eastAsia="Arial" w:hAnsi="Arial"/>
                <w:sz w:val="14"/>
                <w:szCs w:val="14"/>
                <w:b w:val="1"/>
                <w:bCs w:val="1"/>
                <w:color w:val="auto"/>
                <w:w w:val="92"/>
              </w:rPr>
              <w:t>Years Ended December 31,</w:t>
            </w:r>
          </w:p>
        </w:tc>
        <w:tc>
          <w:tcPr>
            <w:tcW w:w="7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jc w:val="right"/>
              <w:ind w:right="557"/>
              <w:spacing w:after="0" w:line="129" w:lineRule="exact"/>
              <w:rPr>
                <w:sz w:val="20"/>
                <w:szCs w:val="20"/>
                <w:color w:val="auto"/>
              </w:rPr>
            </w:pPr>
            <w:r>
              <w:rPr>
                <w:rFonts w:ascii="Arial" w:cs="Arial" w:eastAsia="Arial" w:hAnsi="Arial"/>
                <w:sz w:val="14"/>
                <w:szCs w:val="14"/>
                <w:b w:val="1"/>
                <w:bCs w:val="1"/>
                <w:color w:val="auto"/>
                <w:w w:val="88"/>
              </w:rPr>
              <w:t>Increase/</w:t>
            </w:r>
          </w:p>
        </w:tc>
        <w:tc>
          <w:tcPr>
            <w:tcW w:w="7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Percent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right"/>
              <w:ind w:right="597"/>
              <w:spacing w:after="0"/>
              <w:rPr>
                <w:sz w:val="20"/>
                <w:szCs w:val="20"/>
                <w:color w:val="auto"/>
              </w:rPr>
            </w:pPr>
            <w:r>
              <w:rPr>
                <w:rFonts w:ascii="Arial" w:cs="Arial" w:eastAsia="Arial" w:hAnsi="Arial"/>
                <w:sz w:val="14"/>
                <w:szCs w:val="14"/>
                <w:b w:val="1"/>
                <w:bCs w:val="1"/>
                <w:color w:val="auto"/>
              </w:rPr>
              <w:t>2013</w:t>
            </w:r>
          </w:p>
        </w:tc>
        <w:tc>
          <w:tcPr>
            <w:tcW w:w="380" w:type="dxa"/>
            <w:vAlign w:val="bottom"/>
          </w:tcPr>
          <w:p>
            <w:pPr>
              <w:spacing w:after="0"/>
              <w:rPr>
                <w:sz w:val="14"/>
                <w:szCs w:val="14"/>
                <w:color w:val="auto"/>
              </w:rPr>
            </w:pPr>
          </w:p>
        </w:tc>
        <w:tc>
          <w:tcPr>
            <w:tcW w:w="1120" w:type="dxa"/>
            <w:vAlign w:val="bottom"/>
          </w:tcPr>
          <w:p>
            <w:pPr>
              <w:jc w:val="right"/>
              <w:ind w:right="597"/>
              <w:spacing w:after="0"/>
              <w:rPr>
                <w:sz w:val="20"/>
                <w:szCs w:val="20"/>
                <w:color w:val="auto"/>
              </w:rPr>
            </w:pPr>
            <w:r>
              <w:rPr>
                <w:rFonts w:ascii="Arial" w:cs="Arial" w:eastAsia="Arial" w:hAnsi="Arial"/>
                <w:sz w:val="14"/>
                <w:szCs w:val="14"/>
                <w:b w:val="1"/>
                <w:bCs w:val="1"/>
                <w:color w:val="auto"/>
              </w:rPr>
              <w:t>2012</w:t>
            </w:r>
          </w:p>
        </w:tc>
        <w:tc>
          <w:tcPr>
            <w:tcW w:w="360" w:type="dxa"/>
            <w:vAlign w:val="bottom"/>
          </w:tcPr>
          <w:p>
            <w:pPr>
              <w:spacing w:after="0"/>
              <w:rPr>
                <w:sz w:val="14"/>
                <w:szCs w:val="14"/>
                <w:color w:val="auto"/>
              </w:rPr>
            </w:pPr>
          </w:p>
        </w:tc>
        <w:tc>
          <w:tcPr>
            <w:tcW w:w="1200" w:type="dxa"/>
            <w:vAlign w:val="bottom"/>
          </w:tcPr>
          <w:p>
            <w:pPr>
              <w:jc w:val="right"/>
              <w:ind w:right="497"/>
              <w:spacing w:after="0"/>
              <w:rPr>
                <w:sz w:val="20"/>
                <w:szCs w:val="20"/>
                <w:color w:val="auto"/>
              </w:rPr>
            </w:pPr>
            <w:r>
              <w:rPr>
                <w:rFonts w:ascii="Arial" w:cs="Arial" w:eastAsia="Arial" w:hAnsi="Arial"/>
                <w:sz w:val="14"/>
                <w:szCs w:val="14"/>
                <w:b w:val="1"/>
                <w:bCs w:val="1"/>
                <w:color w:val="auto"/>
                <w:w w:val="83"/>
              </w:rPr>
              <w:t>(Decrease)</w:t>
            </w: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180" w:type="dxa"/>
            <w:vAlign w:val="bottom"/>
            <w:tcBorders>
              <w:top w:val="single" w:sz="8" w:color="auto"/>
            </w:tcBorders>
            <w:gridSpan w:val="5"/>
          </w:tcPr>
          <w:p>
            <w:pPr>
              <w:jc w:val="right"/>
              <w:ind w:right="77"/>
              <w:spacing w:after="0" w:line="142" w:lineRule="exact"/>
              <w:rPr>
                <w:sz w:val="20"/>
                <w:szCs w:val="20"/>
                <w:color w:val="auto"/>
              </w:rPr>
            </w:pPr>
            <w:r>
              <w:rPr>
                <w:rFonts w:ascii="Arial" w:cs="Arial" w:eastAsia="Arial" w:hAnsi="Arial"/>
                <w:sz w:val="14"/>
                <w:szCs w:val="14"/>
                <w:b w:val="1"/>
                <w:bCs w:val="1"/>
                <w:color w:val="auto"/>
              </w:rPr>
              <w:t>(amounts in thousands, except for win per day amounts)</w:t>
            </w:r>
          </w:p>
        </w:tc>
        <w:tc>
          <w:tcPr>
            <w:tcW w:w="7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Drop</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17"/>
              <w:spacing w:after="0"/>
              <w:rPr>
                <w:sz w:val="20"/>
                <w:szCs w:val="20"/>
                <w:color w:val="auto"/>
              </w:rPr>
            </w:pPr>
            <w:r>
              <w:rPr>
                <w:rFonts w:ascii="Arial" w:cs="Arial" w:eastAsia="Arial" w:hAnsi="Arial"/>
                <w:sz w:val="18"/>
                <w:szCs w:val="18"/>
                <w:color w:val="auto"/>
                <w:w w:val="87"/>
              </w:rPr>
              <w:t>2,617,634</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37"/>
              <w:spacing w:after="0"/>
              <w:rPr>
                <w:sz w:val="20"/>
                <w:szCs w:val="20"/>
                <w:color w:val="auto"/>
              </w:rPr>
            </w:pPr>
            <w:r>
              <w:rPr>
                <w:rFonts w:ascii="Arial" w:cs="Arial" w:eastAsia="Arial" w:hAnsi="Arial"/>
                <w:sz w:val="18"/>
                <w:szCs w:val="18"/>
                <w:color w:val="auto"/>
                <w:w w:val="84"/>
              </w:rPr>
              <w:t>2,591,833</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437"/>
              <w:spacing w:after="0"/>
              <w:rPr>
                <w:sz w:val="20"/>
                <w:szCs w:val="20"/>
                <w:color w:val="auto"/>
              </w:rPr>
            </w:pPr>
            <w:r>
              <w:rPr>
                <w:rFonts w:ascii="Arial" w:cs="Arial" w:eastAsia="Arial" w:hAnsi="Arial"/>
                <w:sz w:val="18"/>
                <w:szCs w:val="18"/>
                <w:color w:val="auto"/>
              </w:rPr>
              <w:t>25,801</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Table games win</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7"/>
              <w:spacing w:after="0"/>
              <w:rPr>
                <w:sz w:val="20"/>
                <w:szCs w:val="20"/>
                <w:color w:val="auto"/>
              </w:rPr>
            </w:pPr>
            <w:r>
              <w:rPr>
                <w:rFonts w:ascii="Arial" w:cs="Arial" w:eastAsia="Arial" w:hAnsi="Arial"/>
                <w:sz w:val="18"/>
                <w:szCs w:val="18"/>
                <w:color w:val="auto"/>
              </w:rPr>
              <w:t>657,927</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37"/>
              <w:spacing w:after="0"/>
              <w:rPr>
                <w:sz w:val="20"/>
                <w:szCs w:val="20"/>
                <w:color w:val="auto"/>
              </w:rPr>
            </w:pPr>
            <w:r>
              <w:rPr>
                <w:rFonts w:ascii="Arial" w:cs="Arial" w:eastAsia="Arial" w:hAnsi="Arial"/>
                <w:sz w:val="18"/>
                <w:szCs w:val="18"/>
                <w:color w:val="auto"/>
              </w:rPr>
              <w:t>567,014</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437"/>
              <w:spacing w:after="0"/>
              <w:rPr>
                <w:sz w:val="20"/>
                <w:szCs w:val="20"/>
                <w:color w:val="auto"/>
              </w:rPr>
            </w:pPr>
            <w:r>
              <w:rPr>
                <w:rFonts w:ascii="Arial" w:cs="Arial" w:eastAsia="Arial" w:hAnsi="Arial"/>
                <w:sz w:val="18"/>
                <w:szCs w:val="18"/>
                <w:color w:val="auto"/>
              </w:rPr>
              <w:t>90,913</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Table games win %</w:t>
            </w: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25.1%</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21.9%</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37"/>
              <w:spacing w:after="0"/>
              <w:rPr>
                <w:sz w:val="20"/>
                <w:szCs w:val="20"/>
                <w:color w:val="auto"/>
              </w:rPr>
            </w:pPr>
            <w:r>
              <w:rPr>
                <w:rFonts w:ascii="Arial" w:cs="Arial" w:eastAsia="Arial" w:hAnsi="Arial"/>
                <w:sz w:val="18"/>
                <w:szCs w:val="18"/>
                <w:color w:val="auto"/>
              </w:rPr>
              <w:t>3.2 pts</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Table games win per unit per day</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7"/>
              <w:spacing w:after="0"/>
              <w:rPr>
                <w:sz w:val="20"/>
                <w:szCs w:val="20"/>
                <w:color w:val="auto"/>
              </w:rPr>
            </w:pPr>
            <w:r>
              <w:rPr>
                <w:rFonts w:ascii="Arial" w:cs="Arial" w:eastAsia="Arial" w:hAnsi="Arial"/>
                <w:sz w:val="18"/>
                <w:szCs w:val="18"/>
                <w:color w:val="auto"/>
              </w:rPr>
              <w:t>7,729</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37"/>
              <w:spacing w:after="0"/>
              <w:rPr>
                <w:sz w:val="20"/>
                <w:szCs w:val="20"/>
                <w:color w:val="auto"/>
              </w:rPr>
            </w:pPr>
            <w:r>
              <w:rPr>
                <w:rFonts w:ascii="Arial" w:cs="Arial" w:eastAsia="Arial" w:hAnsi="Arial"/>
                <w:sz w:val="18"/>
                <w:szCs w:val="18"/>
                <w:color w:val="auto"/>
              </w:rPr>
              <w:t>7,031</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437"/>
              <w:spacing w:after="0"/>
              <w:rPr>
                <w:sz w:val="20"/>
                <w:szCs w:val="20"/>
                <w:color w:val="auto"/>
              </w:rPr>
            </w:pPr>
            <w:r>
              <w:rPr>
                <w:rFonts w:ascii="Arial" w:cs="Arial" w:eastAsia="Arial" w:hAnsi="Arial"/>
                <w:sz w:val="18"/>
                <w:szCs w:val="18"/>
                <w:color w:val="auto"/>
              </w:rPr>
              <w:t>698</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Slot machine handle</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17"/>
              <w:spacing w:after="0"/>
              <w:rPr>
                <w:sz w:val="20"/>
                <w:szCs w:val="20"/>
                <w:color w:val="auto"/>
              </w:rPr>
            </w:pPr>
            <w:r>
              <w:rPr>
                <w:rFonts w:ascii="Arial" w:cs="Arial" w:eastAsia="Arial" w:hAnsi="Arial"/>
                <w:sz w:val="18"/>
                <w:szCs w:val="18"/>
                <w:color w:val="auto"/>
                <w:w w:val="87"/>
              </w:rPr>
              <w:t>2,874,646</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37"/>
              <w:spacing w:after="0"/>
              <w:rPr>
                <w:sz w:val="20"/>
                <w:szCs w:val="20"/>
                <w:color w:val="auto"/>
              </w:rPr>
            </w:pPr>
            <w:r>
              <w:rPr>
                <w:rFonts w:ascii="Arial" w:cs="Arial" w:eastAsia="Arial" w:hAnsi="Arial"/>
                <w:sz w:val="18"/>
                <w:szCs w:val="18"/>
                <w:color w:val="auto"/>
                <w:w w:val="84"/>
              </w:rPr>
              <w:t>2,908,678</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77"/>
              <w:spacing w:after="0"/>
              <w:rPr>
                <w:sz w:val="20"/>
                <w:szCs w:val="20"/>
                <w:color w:val="auto"/>
              </w:rPr>
            </w:pPr>
            <w:r>
              <w:rPr>
                <w:rFonts w:ascii="Arial" w:cs="Arial" w:eastAsia="Arial" w:hAnsi="Arial"/>
                <w:sz w:val="18"/>
                <w:szCs w:val="18"/>
                <w:color w:val="auto"/>
              </w:rPr>
              <w:t>(34,032)</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Slot machine win</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7"/>
              <w:spacing w:after="0"/>
              <w:rPr>
                <w:sz w:val="20"/>
                <w:szCs w:val="20"/>
                <w:color w:val="auto"/>
              </w:rPr>
            </w:pPr>
            <w:r>
              <w:rPr>
                <w:rFonts w:ascii="Arial" w:cs="Arial" w:eastAsia="Arial" w:hAnsi="Arial"/>
                <w:sz w:val="18"/>
                <w:szCs w:val="18"/>
                <w:color w:val="auto"/>
              </w:rPr>
              <w:t>177,452</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37"/>
              <w:spacing w:after="0"/>
              <w:rPr>
                <w:sz w:val="20"/>
                <w:szCs w:val="20"/>
                <w:color w:val="auto"/>
              </w:rPr>
            </w:pPr>
            <w:r>
              <w:rPr>
                <w:rFonts w:ascii="Arial" w:cs="Arial" w:eastAsia="Arial" w:hAnsi="Arial"/>
                <w:sz w:val="18"/>
                <w:szCs w:val="18"/>
                <w:color w:val="auto"/>
              </w:rPr>
              <w:t>177,420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437"/>
              <w:spacing w:after="0"/>
              <w:rPr>
                <w:sz w:val="20"/>
                <w:szCs w:val="20"/>
                <w:color w:val="auto"/>
              </w:rPr>
            </w:pPr>
            <w:r>
              <w:rPr>
                <w:rFonts w:ascii="Arial" w:cs="Arial" w:eastAsia="Arial" w:hAnsi="Arial"/>
                <w:sz w:val="18"/>
                <w:szCs w:val="18"/>
                <w:color w:val="auto"/>
              </w:rPr>
              <w:t>32</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Slot machine win per unit per day</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17"/>
              <w:spacing w:after="0"/>
              <w:rPr>
                <w:sz w:val="20"/>
                <w:szCs w:val="20"/>
                <w:color w:val="auto"/>
              </w:rPr>
            </w:pPr>
            <w:r>
              <w:rPr>
                <w:rFonts w:ascii="Arial" w:cs="Arial" w:eastAsia="Arial" w:hAnsi="Arial"/>
                <w:sz w:val="18"/>
                <w:szCs w:val="18"/>
                <w:color w:val="auto"/>
              </w:rPr>
              <w:t>239</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37"/>
              <w:spacing w:after="0"/>
              <w:rPr>
                <w:sz w:val="20"/>
                <w:szCs w:val="20"/>
                <w:color w:val="auto"/>
              </w:rPr>
            </w:pPr>
            <w:r>
              <w:rPr>
                <w:rFonts w:ascii="Arial" w:cs="Arial" w:eastAsia="Arial" w:hAnsi="Arial"/>
                <w:sz w:val="18"/>
                <w:szCs w:val="18"/>
                <w:color w:val="auto"/>
              </w:rPr>
              <w:t>206</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437"/>
              <w:spacing w:after="0"/>
              <w:rPr>
                <w:sz w:val="20"/>
                <w:szCs w:val="20"/>
                <w:color w:val="auto"/>
              </w:rPr>
            </w:pPr>
            <w:r>
              <w:rPr>
                <w:rFonts w:ascii="Arial" w:cs="Arial" w:eastAsia="Arial" w:hAnsi="Arial"/>
                <w:sz w:val="18"/>
                <w:szCs w:val="18"/>
                <w:color w:val="auto"/>
              </w:rPr>
              <w:t>33</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For the year ended December 31, 2013, room revenues were $377.6 million, which represents a $15.3 million (4.2%) increase over the $362.3 million generated in the prior year. During the year ended December 31, 2013, we experienced an increase in both occupancy and room rates as compared to the prior year. ADR has increased as we adjusted rates in an effort to attract customers who would take advantage of all aspects of our resort.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key operating measures related to our room revenue.</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96"/>
              </w:rPr>
              <w:t>Years Ended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39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December 31,</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920" w:type="dxa"/>
            <w:vAlign w:val="bottom"/>
            <w:tcBorders>
              <w:bottom w:val="single" w:sz="8" w:color="CCEEFF"/>
            </w:tcBorders>
          </w:tcPr>
          <w:p>
            <w:pPr>
              <w:spacing w:after="0"/>
              <w:rPr>
                <w:sz w:val="12"/>
                <w:szCs w:val="12"/>
                <w:color w:val="auto"/>
              </w:rPr>
            </w:pPr>
          </w:p>
        </w:tc>
        <w:tc>
          <w:tcPr>
            <w:tcW w:w="25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3"/>
              </w:rPr>
              <w:t>2013</w:t>
            </w:r>
          </w:p>
        </w:tc>
        <w:tc>
          <w:tcPr>
            <w:tcW w:w="9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9"/>
              </w:rPr>
              <w:t>2012</w:t>
            </w:r>
          </w:p>
        </w:tc>
        <w:tc>
          <w:tcPr>
            <w:tcW w:w="200" w:type="dxa"/>
            <w:vAlign w:val="bottom"/>
            <w:tcBorders>
              <w:bottom w:val="single" w:sz="8" w:color="CCEEFF"/>
            </w:tcBorders>
          </w:tcPr>
          <w:p>
            <w:pPr>
              <w:spacing w:after="0"/>
              <w:rPr>
                <w:sz w:val="12"/>
                <w:szCs w:val="12"/>
                <w:color w:val="auto"/>
              </w:rPr>
            </w:pPr>
          </w:p>
        </w:tc>
      </w:tr>
      <w:tr>
        <w:trPr>
          <w:trHeight w:val="210"/>
        </w:trPr>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Average Daily Rate</w:t>
            </w:r>
          </w:p>
        </w:tc>
        <w:tc>
          <w:tcPr>
            <w:tcW w:w="2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00" w:type="dxa"/>
            <w:vAlign w:val="bottom"/>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Occupancy</w:t>
            </w: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692"/>
              <w:spacing w:after="0"/>
              <w:rPr>
                <w:sz w:val="20"/>
                <w:szCs w:val="20"/>
                <w:color w:val="auto"/>
              </w:rPr>
            </w:pPr>
            <w:r>
              <w:rPr>
                <w:rFonts w:ascii="Arial" w:cs="Arial" w:eastAsia="Arial" w:hAnsi="Arial"/>
                <w:sz w:val="18"/>
                <w:szCs w:val="18"/>
                <w:color w:val="auto"/>
              </w:rPr>
              <w:t>84.6%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82.9%</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9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Other non-casino revenues for the year ended December 31, 2013, included food and beverage revenues of $489.1 million, retail revenues of $91.9 million, entertainment revenues of $65.4 million, and other revenues from outlets, including the spa and salon of $63 million. Other non-casino revenues for the year ended December 31, 2012, included food and beverage revenues of $491 million, retail revenues of $85.1 million, entertainment revenues of $81.8 million, and other revenues from outlets such as the spa and salon of $61.7 million. Entertainment revenues decreased from the prior year period due to a show that ended its run in November 2012. Retail revenues increased $6.8 million (8.0%) as we completed the reconfiguration to certain stores in our retail area in the first half of 2013.</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 ended December 31, 2013, departmental expenses included casino expenses of $315.8 million, room expenses of $129.6 million, food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beverage expenses of $308 million, and entertainment, retail and other expenses of $129.2 million. Also included are general and administrative expenses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$243.1 million and $7.5 million charged as a provision for doubtful accounts receivable. For the year ended December 31, 2012, departmental expenses included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casino expenses of $307.8 million, room expenses of $124 million, food and beverage expenses of $290.1 million, and entertainment, retail and other expenses of</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$140.1 million. Also included are general and administrative expenses of $231.2 million and $18.3 million charged as a provision for doubtful accounts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receivable.</w:t>
      </w:r>
    </w:p>
    <w:p>
      <w:pPr>
        <w:spacing w:after="0" w:line="16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Casino and room expense increased commensurate with the increase in revenue. Food and beverage expenses increased primarily due to additional nightclub promotional costs. Entertainment, retail and other expenses decreased primarily due to a show in the Encore Theater that ended in November 2012. General and administrative expenses increased primarily due to intercompany golf course and water rights lease expense that began in September 2012 as well as advertising and other administrative costs.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Since opening Wynn Las Vegas, management fees payable to Wynn Resorts for certain corporate management services have been charged and accrued at a rate equal to 1.5% of net revenues. These fees will be paid upon meeting certain leverage ratios and satisfying certain other criteria set forth in our first mortgage note and senior note indentures. Management fees were $23.7 million for the year ended December 31, 2013, compared to $22.3 million for the year ended December 31, 2012, as revenues increased.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Depreciation and amortization for the year ended December 31, 2013 was $245.1 million compared to $250.2 million for the year ended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2012. The decrease was due to the “Le Rêve” show production rights becoming fully amortized in the first half of 2013.</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Property charges and other for the year ended December 31, 2013, were $12.2 million compared to $29.6 million for the year ended December 31, 2012. Property charges for the year ended December 31, 2013 included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the termination of a contract, miscellaneous renovations and abandonments at our resort complex and entertainment development costs. Property charges and other for the year ended December 31, 2012, include the remodel of one restaurant, termination costs associated with a show that ended its run in November 2012, and miscellaneous renovations and abandonments at our resort.</w:t>
      </w:r>
    </w:p>
    <w:p>
      <w:pPr>
        <w:spacing w:after="0" w:line="14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In response to our evaluation of our resort complex and the reactions of our guests, we continue to make enhancements and refinements. The costs relating to assets retired as a result of these enhancement and refinement efforts will be expensed as property charges.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Interest expense was $223.2 million for the year ended December 31, 2013, compared to $224.3 million for the year ended December 31, 2012. No interest was capitalized during either period. Our interest expense decreased approximately $1.1 million primarily due to the issuance of the $500 million 4 1/4% senior notes in May 2013 and the extinguishment of the $500 million 7 7/8% first mortgage notes.</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Changes in the fair value of our interest rate swaps are recorded as an increase (decrease) in swap fair value in each year. We recorded a gain of $2.3 million for the year ended December 31, 2012, resulting from the increase in the fair value of our interest rate swap during the year. This swap was terminated in June 2012 for a payment of $2.4 million.</w:t>
      </w:r>
    </w:p>
    <w:p>
      <w:pPr>
        <w:spacing w:after="0" w:line="14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On May 22, 2013, we completed the tender offer for the 7 7/8% first mortgage notes due 2017 (the “2017 Notes”) as discussed in our Consolidated Financial Statements, Note 6—“Long-Term Debt”. In connection with this tender offer, we paid $19.6 million in consideration to those holders who tendered their notes. Additionally, we expensed $6.7 million of unamortized debt issue costs and original issue discount related to the 2017 Notes and incurred other fees of approximately $0.3 million related to the tender offer. On November 1, 2013, we redeemed the untendered 2017 Notes plus accrued and unpaid interest. The total redemption fees paid were $8.9 million and we expensed $4.9 million of unamortized financing costs and original issue discount.</w:t>
      </w:r>
    </w:p>
    <w:p>
      <w:pPr>
        <w:spacing w:after="0" w:line="1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On March 12, 2012, we entered into an eighth amendment to our Amended and Restated Credit Agreement (the “Wynn Las Vegas Credit Agreement”). In connection with this amendment we prepaid all term loans under the Wynn Las Vegas Credit Agreement, terminated all of our revolving credit commitments that were due to expire in 2013, and terminated all but $100 million of our revolving credit commitments expiring in 2015. In connection with this transaction, we expensed deferred financing fees of $4.8 million.</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As described Item 8—“Financial Statements and Supplementary Data”, Note 6 “Long-Term Debt”, we terminated the Wynn Las Vegas Credit Agreement on September 17, 2012. In connection with the termination, we expensed $2.6 million of previously deferred financing costs and third party fees related to the Wynn Las Vegas Credit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year ended December 31, 2012 compared to the year ended December 31, 2011</w:t>
      </w:r>
      <w:r>
        <w:rPr>
          <w:rFonts w:ascii="Arial" w:cs="Arial" w:eastAsia="Arial" w:hAnsi="Arial"/>
          <w:sz w:val="18"/>
          <w:szCs w:val="18"/>
          <w:i w:val="1"/>
          <w:iCs w:val="1"/>
          <w:color w:val="auto"/>
        </w:rPr>
        <w:t>.</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Net revenues for the year ended December 31, 2012 are comprised of $592.3 million in casino revenues (39.8% of total net revenues) and $895.3 million of net non-casino revenues (60.2% of total net revenues). Net revenues for the year ended December 31, 2011 were comprised of $625.2 million in casino revenues (42.2% of total net revenues) and $856.7 million of net non-casino revenues (57.8% of total net revenues).</w:t>
      </w:r>
    </w:p>
    <w:p>
      <w:pPr>
        <w:spacing w:after="0" w:line="10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Casino revenues are comprised of the net win from our table games and slot machine operations. We experienced a decrease in casino revenues of $32.9 million (5.3%) to $592.3 million for the year ended December 31, 2012, compared to $625.2 million for the year ended December 31, 2011, due to a decrease in our table games win percentage (before discounts).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key gaming statistics related to our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3"/>
          </w:tcPr>
          <w:p>
            <w:pPr>
              <w:jc w:val="right"/>
              <w:ind w:right="915"/>
              <w:spacing w:after="0"/>
              <w:rPr>
                <w:sz w:val="20"/>
                <w:szCs w:val="20"/>
                <w:color w:val="auto"/>
              </w:rPr>
            </w:pPr>
            <w:r>
              <w:rPr>
                <w:rFonts w:ascii="Arial" w:cs="Arial" w:eastAsia="Arial" w:hAnsi="Arial"/>
                <w:sz w:val="14"/>
                <w:szCs w:val="14"/>
                <w:b w:val="1"/>
                <w:bCs w:val="1"/>
                <w:color w:val="auto"/>
                <w:w w:val="88"/>
              </w:rPr>
              <w:t>Years Ended December 31,</w:t>
            </w:r>
          </w:p>
        </w:tc>
        <w:tc>
          <w:tcPr>
            <w:tcW w:w="6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jc w:val="right"/>
              <w:ind w:right="515"/>
              <w:spacing w:after="0" w:line="129" w:lineRule="exact"/>
              <w:rPr>
                <w:sz w:val="20"/>
                <w:szCs w:val="20"/>
                <w:color w:val="auto"/>
              </w:rPr>
            </w:pPr>
            <w:r>
              <w:rPr>
                <w:rFonts w:ascii="Arial" w:cs="Arial" w:eastAsia="Arial" w:hAnsi="Arial"/>
                <w:sz w:val="14"/>
                <w:szCs w:val="14"/>
                <w:b w:val="1"/>
                <w:bCs w:val="1"/>
                <w:color w:val="auto"/>
                <w:w w:val="85"/>
              </w:rPr>
              <w:t>Increase/</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500" w:type="dxa"/>
            <w:vAlign w:val="bottom"/>
            <w:gridSpan w:val="2"/>
          </w:tcPr>
          <w:p>
            <w:pPr>
              <w:jc w:val="right"/>
              <w:ind w:right="475"/>
              <w:spacing w:after="0" w:line="149" w:lineRule="exact"/>
              <w:rPr>
                <w:sz w:val="20"/>
                <w:szCs w:val="20"/>
                <w:color w:val="auto"/>
              </w:rPr>
            </w:pPr>
            <w:r>
              <w:rPr>
                <w:rFonts w:ascii="Arial" w:cs="Arial" w:eastAsia="Arial" w:hAnsi="Arial"/>
                <w:sz w:val="14"/>
                <w:szCs w:val="14"/>
                <w:b w:val="1"/>
                <w:bCs w:val="1"/>
                <w:color w:val="auto"/>
              </w:rPr>
              <w:t>(Decrease)</w:t>
            </w:r>
          </w:p>
        </w:tc>
        <w:tc>
          <w:tcPr>
            <w:tcW w:w="92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ind w:right="597"/>
              <w:spacing w:after="0"/>
              <w:rPr>
                <w:sz w:val="20"/>
                <w:szCs w:val="20"/>
                <w:color w:val="auto"/>
              </w:rPr>
            </w:pPr>
            <w:r>
              <w:rPr>
                <w:rFonts w:ascii="Arial" w:cs="Arial" w:eastAsia="Arial" w:hAnsi="Arial"/>
                <w:sz w:val="14"/>
                <w:szCs w:val="14"/>
                <w:b w:val="1"/>
                <w:bCs w:val="1"/>
                <w:color w:val="auto"/>
              </w:rPr>
              <w:t>2012</w:t>
            </w:r>
          </w:p>
        </w:tc>
        <w:tc>
          <w:tcPr>
            <w:tcW w:w="360" w:type="dxa"/>
            <w:vAlign w:val="bottom"/>
          </w:tcPr>
          <w:p>
            <w:pPr>
              <w:spacing w:after="0"/>
              <w:rPr>
                <w:sz w:val="14"/>
                <w:szCs w:val="14"/>
                <w:color w:val="auto"/>
              </w:rPr>
            </w:pPr>
          </w:p>
        </w:tc>
        <w:tc>
          <w:tcPr>
            <w:tcW w:w="1120" w:type="dxa"/>
            <w:vAlign w:val="bottom"/>
          </w:tcPr>
          <w:p>
            <w:pPr>
              <w:jc w:val="right"/>
              <w:ind w:right="597"/>
              <w:spacing w:after="0"/>
              <w:rPr>
                <w:sz w:val="20"/>
                <w:szCs w:val="20"/>
                <w:color w:val="auto"/>
              </w:rPr>
            </w:pPr>
            <w:r>
              <w:rPr>
                <w:rFonts w:ascii="Arial" w:cs="Arial" w:eastAsia="Arial" w:hAnsi="Arial"/>
                <w:sz w:val="14"/>
                <w:szCs w:val="14"/>
                <w:b w:val="1"/>
                <w:bCs w:val="1"/>
                <w:color w:val="auto"/>
              </w:rPr>
              <w:t>2011</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100" w:type="dxa"/>
            <w:vAlign w:val="bottom"/>
            <w:tcBorders>
              <w:top w:val="single" w:sz="8" w:color="auto"/>
            </w:tcBorders>
            <w:gridSpan w:val="5"/>
          </w:tcPr>
          <w:p>
            <w:pPr>
              <w:jc w:val="right"/>
              <w:ind w:right="75"/>
              <w:spacing w:after="0" w:line="142" w:lineRule="exact"/>
              <w:rPr>
                <w:sz w:val="20"/>
                <w:szCs w:val="20"/>
                <w:color w:val="auto"/>
              </w:rPr>
            </w:pPr>
            <w:r>
              <w:rPr>
                <w:rFonts w:ascii="Arial" w:cs="Arial" w:eastAsia="Arial" w:hAnsi="Arial"/>
                <w:sz w:val="14"/>
                <w:szCs w:val="14"/>
                <w:b w:val="1"/>
                <w:bCs w:val="1"/>
                <w:color w:val="auto"/>
              </w:rPr>
              <w:t>(amounts in thousands, except for win per day amounts)</w:t>
            </w:r>
          </w:p>
        </w:tc>
        <w:tc>
          <w:tcPr>
            <w:tcW w:w="6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Drop</w:t>
            </w: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37"/>
              <w:spacing w:after="0"/>
              <w:rPr>
                <w:sz w:val="20"/>
                <w:szCs w:val="20"/>
                <w:color w:val="auto"/>
              </w:rPr>
            </w:pPr>
            <w:r>
              <w:rPr>
                <w:rFonts w:ascii="Arial" w:cs="Arial" w:eastAsia="Arial" w:hAnsi="Arial"/>
                <w:sz w:val="18"/>
                <w:szCs w:val="18"/>
                <w:color w:val="auto"/>
                <w:w w:val="84"/>
              </w:rPr>
              <w:t>2,591,833</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37"/>
              <w:spacing w:after="0"/>
              <w:rPr>
                <w:sz w:val="20"/>
                <w:szCs w:val="20"/>
                <w:color w:val="auto"/>
              </w:rPr>
            </w:pPr>
            <w:r>
              <w:rPr>
                <w:rFonts w:ascii="Arial" w:cs="Arial" w:eastAsia="Arial" w:hAnsi="Arial"/>
                <w:sz w:val="18"/>
                <w:szCs w:val="18"/>
                <w:color w:val="auto"/>
                <w:w w:val="84"/>
              </w:rPr>
              <w:t>2,366,711</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w w:val="92"/>
              </w:rPr>
              <w:t>225,122</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Table games win</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37"/>
              <w:spacing w:after="0"/>
              <w:rPr>
                <w:sz w:val="20"/>
                <w:szCs w:val="20"/>
                <w:color w:val="auto"/>
              </w:rPr>
            </w:pPr>
            <w:r>
              <w:rPr>
                <w:rFonts w:ascii="Arial" w:cs="Arial" w:eastAsia="Arial" w:hAnsi="Arial"/>
                <w:sz w:val="18"/>
                <w:szCs w:val="18"/>
                <w:color w:val="auto"/>
              </w:rPr>
              <w:t>567,014</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37"/>
              <w:spacing w:after="0"/>
              <w:rPr>
                <w:sz w:val="20"/>
                <w:szCs w:val="20"/>
                <w:color w:val="auto"/>
              </w:rPr>
            </w:pPr>
            <w:r>
              <w:rPr>
                <w:rFonts w:ascii="Arial" w:cs="Arial" w:eastAsia="Arial" w:hAnsi="Arial"/>
                <w:sz w:val="18"/>
                <w:szCs w:val="18"/>
                <w:color w:val="auto"/>
              </w:rPr>
              <w:t>589,093</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75"/>
              <w:spacing w:after="0"/>
              <w:rPr>
                <w:sz w:val="20"/>
                <w:szCs w:val="20"/>
                <w:color w:val="auto"/>
              </w:rPr>
            </w:pPr>
            <w:r>
              <w:rPr>
                <w:rFonts w:ascii="Arial" w:cs="Arial" w:eastAsia="Arial" w:hAnsi="Arial"/>
                <w:sz w:val="18"/>
                <w:szCs w:val="18"/>
                <w:color w:val="auto"/>
                <w:w w:val="98"/>
              </w:rPr>
              <w:t>(22,079)</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Table games win %</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21.9%</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24.9%</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w w:val="90"/>
              </w:rPr>
              <w:t>(3.0) pts</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Table games win per unit per day</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37"/>
              <w:spacing w:after="0"/>
              <w:rPr>
                <w:sz w:val="20"/>
                <w:szCs w:val="20"/>
                <w:color w:val="auto"/>
              </w:rPr>
            </w:pPr>
            <w:r>
              <w:rPr>
                <w:rFonts w:ascii="Arial" w:cs="Arial" w:eastAsia="Arial" w:hAnsi="Arial"/>
                <w:sz w:val="18"/>
                <w:szCs w:val="18"/>
                <w:color w:val="auto"/>
              </w:rPr>
              <w:t>7,031</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37"/>
              <w:spacing w:after="0"/>
              <w:rPr>
                <w:sz w:val="20"/>
                <w:szCs w:val="20"/>
                <w:color w:val="auto"/>
              </w:rPr>
            </w:pPr>
            <w:r>
              <w:rPr>
                <w:rFonts w:ascii="Arial" w:cs="Arial" w:eastAsia="Arial" w:hAnsi="Arial"/>
                <w:sz w:val="18"/>
                <w:szCs w:val="18"/>
                <w:color w:val="auto"/>
              </w:rPr>
              <w:t>7,188</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75"/>
              <w:spacing w:after="0"/>
              <w:rPr>
                <w:sz w:val="20"/>
                <w:szCs w:val="20"/>
                <w:color w:val="auto"/>
              </w:rPr>
            </w:pPr>
            <w:r>
              <w:rPr>
                <w:rFonts w:ascii="Arial" w:cs="Arial" w:eastAsia="Arial" w:hAnsi="Arial"/>
                <w:sz w:val="18"/>
                <w:szCs w:val="18"/>
                <w:color w:val="auto"/>
              </w:rPr>
              <w:t>(157)</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Slot machine handle</w:t>
            </w: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37"/>
              <w:spacing w:after="0"/>
              <w:rPr>
                <w:sz w:val="20"/>
                <w:szCs w:val="20"/>
                <w:color w:val="auto"/>
              </w:rPr>
            </w:pPr>
            <w:r>
              <w:rPr>
                <w:rFonts w:ascii="Arial" w:cs="Arial" w:eastAsia="Arial" w:hAnsi="Arial"/>
                <w:sz w:val="18"/>
                <w:szCs w:val="18"/>
                <w:color w:val="auto"/>
                <w:w w:val="84"/>
              </w:rPr>
              <w:t>2,908,678</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37"/>
              <w:spacing w:after="0"/>
              <w:rPr>
                <w:sz w:val="20"/>
                <w:szCs w:val="20"/>
                <w:color w:val="auto"/>
              </w:rPr>
            </w:pPr>
            <w:r>
              <w:rPr>
                <w:rFonts w:ascii="Arial" w:cs="Arial" w:eastAsia="Arial" w:hAnsi="Arial"/>
                <w:sz w:val="18"/>
                <w:szCs w:val="18"/>
                <w:color w:val="auto"/>
                <w:w w:val="84"/>
              </w:rPr>
              <w:t>2,738,261</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w w:val="92"/>
              </w:rPr>
              <w:t>170,417</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Slot machine win</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37"/>
              <w:spacing w:after="0"/>
              <w:rPr>
                <w:sz w:val="20"/>
                <w:szCs w:val="20"/>
                <w:color w:val="auto"/>
              </w:rPr>
            </w:pPr>
            <w:r>
              <w:rPr>
                <w:rFonts w:ascii="Arial" w:cs="Arial" w:eastAsia="Arial" w:hAnsi="Arial"/>
                <w:sz w:val="18"/>
                <w:szCs w:val="18"/>
                <w:color w:val="auto"/>
              </w:rPr>
              <w:t>177,420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37"/>
              <w:spacing w:after="0"/>
              <w:rPr>
                <w:sz w:val="20"/>
                <w:szCs w:val="20"/>
                <w:color w:val="auto"/>
              </w:rPr>
            </w:pPr>
            <w:r>
              <w:rPr>
                <w:rFonts w:ascii="Arial" w:cs="Arial" w:eastAsia="Arial" w:hAnsi="Arial"/>
                <w:sz w:val="18"/>
                <w:szCs w:val="18"/>
                <w:color w:val="auto"/>
              </w:rPr>
              <w:t>170,027</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435"/>
              <w:spacing w:after="0"/>
              <w:rPr>
                <w:sz w:val="20"/>
                <w:szCs w:val="20"/>
                <w:color w:val="auto"/>
              </w:rPr>
            </w:pPr>
            <w:r>
              <w:rPr>
                <w:rFonts w:ascii="Arial" w:cs="Arial" w:eastAsia="Arial" w:hAnsi="Arial"/>
                <w:sz w:val="18"/>
                <w:szCs w:val="18"/>
                <w:color w:val="auto"/>
              </w:rPr>
              <w:t>7,393</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Slot machine win per unit per day</w:t>
            </w: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37"/>
              <w:spacing w:after="0"/>
              <w:rPr>
                <w:sz w:val="20"/>
                <w:szCs w:val="20"/>
                <w:color w:val="auto"/>
              </w:rPr>
            </w:pPr>
            <w:r>
              <w:rPr>
                <w:rFonts w:ascii="Arial" w:cs="Arial" w:eastAsia="Arial" w:hAnsi="Arial"/>
                <w:sz w:val="18"/>
                <w:szCs w:val="18"/>
                <w:color w:val="auto"/>
              </w:rPr>
              <w:t>206</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37"/>
              <w:spacing w:after="0"/>
              <w:rPr>
                <w:sz w:val="20"/>
                <w:szCs w:val="20"/>
                <w:color w:val="auto"/>
              </w:rPr>
            </w:pPr>
            <w:r>
              <w:rPr>
                <w:rFonts w:ascii="Arial" w:cs="Arial" w:eastAsia="Arial" w:hAnsi="Arial"/>
                <w:sz w:val="18"/>
                <w:szCs w:val="18"/>
                <w:color w:val="auto"/>
              </w:rPr>
              <w:t>184</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22</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For the year ended December 31, 2012, room revenues were $362.3 million, which represents an $8.3 million (2.3%) increase over the $354 million generated in the year ended December 31, 2011. We experienced an increase in room rates during the year ended December 31, 2012, compared to the prior year, with a 3.2 percentage point decrease in occupancy rate. We were able to achieve an increase in ADR as we adjusted rates to attract a high quality customer who would take advantage of all aspects of our resort. See the table below for key operating measures related to our room revenue.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key operating measures related to our room revenue.</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96"/>
              </w:rPr>
              <w:t>Years Ended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39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December 31,</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920" w:type="dxa"/>
            <w:vAlign w:val="bottom"/>
            <w:tcBorders>
              <w:bottom w:val="single" w:sz="8" w:color="CCEEFF"/>
            </w:tcBorders>
          </w:tcPr>
          <w:p>
            <w:pPr>
              <w:spacing w:after="0"/>
              <w:rPr>
                <w:sz w:val="12"/>
                <w:szCs w:val="12"/>
                <w:color w:val="auto"/>
              </w:rPr>
            </w:pPr>
          </w:p>
        </w:tc>
        <w:tc>
          <w:tcPr>
            <w:tcW w:w="25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3"/>
              </w:rPr>
              <w:t>2012</w:t>
            </w:r>
          </w:p>
        </w:tc>
        <w:tc>
          <w:tcPr>
            <w:tcW w:w="9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83"/>
              </w:rPr>
              <w:t>2011</w:t>
            </w:r>
          </w:p>
        </w:tc>
        <w:tc>
          <w:tcPr>
            <w:tcW w:w="200" w:type="dxa"/>
            <w:vAlign w:val="bottom"/>
            <w:tcBorders>
              <w:bottom w:val="single" w:sz="8" w:color="CCEEFF"/>
            </w:tcBorders>
          </w:tcPr>
          <w:p>
            <w:pPr>
              <w:spacing w:after="0"/>
              <w:rPr>
                <w:sz w:val="12"/>
                <w:szCs w:val="12"/>
                <w:color w:val="auto"/>
              </w:rPr>
            </w:pPr>
          </w:p>
        </w:tc>
      </w:tr>
      <w:tr>
        <w:trPr>
          <w:trHeight w:val="210"/>
        </w:trPr>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Average Daily Rate</w:t>
            </w:r>
          </w:p>
        </w:tc>
        <w:tc>
          <w:tcPr>
            <w:tcW w:w="2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200" w:type="dxa"/>
            <w:vAlign w:val="bottom"/>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Occupancy</w:t>
            </w: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692"/>
              <w:spacing w:after="0"/>
              <w:rPr>
                <w:sz w:val="20"/>
                <w:szCs w:val="20"/>
                <w:color w:val="auto"/>
              </w:rPr>
            </w:pPr>
            <w:r>
              <w:rPr>
                <w:rFonts w:ascii="Arial" w:cs="Arial" w:eastAsia="Arial" w:hAnsi="Arial"/>
                <w:sz w:val="18"/>
                <w:szCs w:val="18"/>
                <w:color w:val="auto"/>
              </w:rPr>
              <w:t>82.9%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86.1%</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9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Other non-casino revenues for the year ended December 31, 2012, included food and beverage revenues of $491 million, retail revenues of $85.1 million, entertainment revenues of $81.8 million, and other revenues from outlets such as the spa and salon of $61.7 million. Other non-casino revenues for the year ended December 31, 2011, included food and beverage revenues of $454.7 million, retail revenues of $87.3 million, entertainment revenues of $82.2 million, and other revenues from outlets, including the spa and salon, of $60.1 million. The increase in food and beverage revenue is due primarily to strong business in our beach club and nightclubs. Entertainment revenues decreased from the prior year primarily due to a show in the Encore Theater that ended its run in April 2011 and another show that ended its run in November 2012. Retail revenues decreased as we reconfigured the Encore retail area and rebranded some of our retail outlets.</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 ended December 31, 2012, departmental expenses included casino expenses of $307.8 million, room expenses of $124 million, food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beverage expenses of $290.1 million, and entertainment, retail and other expenses of $140.1 million. Also included are general and administrative expenses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$231.2 million and $18.3 million charged as a provision for doubtful accounts receivable. For the year ended December 31, 2011, departmental expenses included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casino expenses of $298.2 million, room expenses of $122.2 million, food and beverage expenses of $264.9 million, and entertainment, retail and other expenses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$147 million. Also included are general and administrative expenses of $225.5 million and $20.3 million charged as a provision for doubtful accounts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receivable.</w:t>
      </w:r>
    </w:p>
    <w:p>
      <w:pPr>
        <w:spacing w:after="0" w:line="165"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Casino expense increased due to higher promotional costs commensurate with the increase in table games drop and slot machine handle. Although our room revenues increased 2.3%, room expenses increased only 1.5%</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the revenue increase was driven primarily by increased ADR. Food and beverage expenses increased primarily due to additional nightclub promotional costs. Entertainment, retail and other expenses decreased primarily due to shows in the Encore Theater that ended in April 2011 and November 2012. General and administrative expenses increased primarily due to higher advertising costs.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Since opening Wynn Las Vegas, management fees payable to Wynn Resorts for certain corporate management services have been charged and accrued at a rate equal to 1.5% of net revenues. These fees will be paid upon meeting certain leverage ratios and satisfying certain other criteria set forth in our credit facilities and the first mortgage notes indentures. Management fees were $22.3 million for the year ended December 31, 2012, compared to $22.2 million for the year ended December 31, 2011, as revenues increased.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Depreciation and amortization for the year ended December 31, 2012 was $250.2 million compared to $263.6 million for the year ended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2011. This decrease is primarily due to assets with a three and six year life being fully depreciated during 2011.</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Property charges and other for the year ended December 31, 2012, were $29.6 million compared to $16.6 million for the year ended December 31, 2011. Property charges and other for the year ended December 31, 2012, include the remodel of one restaurant, termination costs associated with a show that ended its run in November 2012, and miscellaneous renovations and abandonments at our resort. Property charges and other for the year ended December 31, 2011 included miscellaneous renovations and abandonments at our resort, including modifications of the Encore retail esplanade, the closure of Blush nightclub and the write off of certain off-site golf memberships. Property charges and other for the year ended December 31, 2011 also includes the write off of costs related to the Sinatra “Dance with Me” show that ended its run earlier in the year.</w:t>
      </w:r>
    </w:p>
    <w:p>
      <w:pPr>
        <w:spacing w:after="0" w:line="12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In response to our evaluation of our resort complex and the reactions of our guests, we continue to make enhancements and refinements. The costs relating to assets retired as a result of these enhancement and refinement efforts will be expensed as property charges.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Interest expense was $224.3 million for the year ended December 31, 2012, compared to $201.3 million for the year ended December 31, 2011. No interest was capitalized during either period. Our interest expense increased $23 million primarily due to the issuance of the $900 million 5 3/8% first mortgage notes in March 2012, offset by the reduction of $370.9 million in term loan borrowings as described Item 8—“Financial Statements and Supplementary Data”, Note 6 “Long-Term Debt”.</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Changes in the fair value of our interest rate swaps are recorded as an increase (decrease) in swap fair value in each year. We recorded a gain of $2.3 million for the year ended December 31, 2012, resulting from the increase in the fair value of our interest rate swap during the year. This swap was terminated in June 2012. We recorded a gain of $3.8 million for the year ended December 31, 2011, resulting from the increase in the fair value of our interest rate swap from December 31, 2010 to December 31, 2011.</w:t>
      </w:r>
    </w:p>
    <w:p>
      <w:pPr>
        <w:spacing w:after="0" w:line="14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On March 12, 2012, we entered into an eighth amendment to the Wynn Las Vegas Credit Agreement. In connection with this amendment we prepaid all term loans under the Wynn Las Vegas Credit Agreement, terminated all of our revolving credit commitments that were due to expire in 2013, and terminated all but $100 million of our revolving credit commitments expiring in 2015. In connection with this transaction, we expensed deferred financing fees of $4.8 million.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As described in Item 8—“Financial Statements and Supplementary Data”, Note 6 “Long-Term Debt”, we terminated the Wynn Las Vegas Credit Agreement on September 17, 2012. In connection with the termination, we expensed $2.6 million of previously deferred financing costs and third party fees related to the Wynn Las Vegas Credit Agreement.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Activities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operating cash flows primarily consist of operating income generated by our resort (excluding depreciation and other non-cash charges), interest paid and changes in working capital accounts such as receivables, inventories, prepaid expenses and payables. Our table games play is a mix of cash play and credit play, while our slot machine play is conducted primarily on a cash basis. A significant portion of our table games revenue is attributable to the play of a limited number of high-end international customers who play on credit. Our ability to collect these gaming receivables may impact our operating cash flow for the period. Our rooms, food and beverage, and entertainment, retail and other revenue is conducted primarily on a cash basis or as a trade receivable. Accordingly, operating cash flows will be impacted by changes in operating income and accounts receivables.</w:t>
      </w:r>
    </w:p>
    <w:p>
      <w:pPr>
        <w:spacing w:after="0" w:line="12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Net cash provided by operations for the year ended December 31, 2013 was $189.8 million compared to $170.3 million provided by operations for the year ended December 31, 2012. This increase is primarily due to the increase in operating income as a result of increased casino department profitability. Cash flow from operations was negatively impacted by changes in ordinary working capital and increased interest payments.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Investing Activities</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Capital expenditures were approximately $63.9 million for the year ended December 31, 2013 and were related primarily to villa remodels, restaurant remodels and general property improvements. Capital expenditures were approximately $41.6 million for the year ended December 31, 2012, and were primarily related to the remodel of one of our restaurants, the reconfiguration of the Encore retail area and general property maintenance. Capital expenditures were approximately $65.2 million for the year ended December 31, 2011 and were primarily related to the room and suite remodel at Wynn Las Vegas that began in 2010, the new high limit slot salon, the new Tower Suites lobby and lounge area and other property remodels.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Financing Activities</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On May 15, 2013, we commenced the tender offer for any and all of the outstanding $500 million aggregate principal amount of the 2017 Notes of Wynn Las Vegas and Wynn Las Vegas Capital Corp., an indirect wholly owned subsidiary of Wynn Resorts, Limited (together with Wynn Las Vegas, the “Issuers”), and a solicitation of consents to certain proposed amendments to the indenture (the “2017 Indenture”) governing the 2017 Notes.</w:t>
      </w:r>
    </w:p>
    <w:p>
      <w:pPr>
        <w:spacing w:after="0" w:line="10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tender offer expired on May 21, 2013 and at the time of expiration, we received valid tenders with respect to approximately $274.7 million of the $500 million aggregate principal amount of the 2017 Notes outstanding. On May 22, 2013, note holders who validly tendered their 2017 Notes received the total consideration of $1,071.45 for each $1,000 principal amount of 2017 Notes, the premium portion of which totaled approximately $19.6 million. In accordance with accounting standards, the tender offer premium was expensed and is included in loss on extinguishment of debt in the accompanying Consolidated Statements of Operations and Comprehensive Loss. In addition, upon the tender offer completion, the Issuers entered into a supplemental indenture, which eliminated substantially all of the restrictive covenants and certain events of default from the 2017 Indenture.</w:t>
      </w:r>
    </w:p>
    <w:p>
      <w:pPr>
        <w:spacing w:after="0" w:line="120"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Also in connection with this transaction, unamortized financing costs and original issue discount related to the 2017 Notes totaling $6.7 million were expensed and are included in loss on extinguishment of debt in the accompanying Consolidated Statements of Operations and Comprehensive Loss.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On November 1, 2013, we redeemed the untendered 2017 Notes principal amount of $225.3 million. The redemption price was equal to 103.938% of the aggregate principal amount of the 2017 Notes plus accrued and unpaid interest on November 1, 2013. The total redemption fees paid were $8.9 million and we expensed $4.9 million of unamortized financing costs and original issue discount.</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Separately, on May 22, 2013, the Issuers completed the issuance of $500 million aggregate principal amount of 4 1/4% Senior Notes due 2023 (the “2023 Notes”) pursuant to an indenture, dated as of May 22, 2013 (the “2023 Indenture”), among the Issuers, all of the Issuers’ subsidiaries, other than Wynn Las Vegas Capital Corp. which was a co-issuer, and U.S. Bank National Association, as trustee. The 2023 Notes were issued at par. The Issuers used the net proceeds from the 2023 Notes to cover the cost of purchasing the 2017 Notes tendered in the tender offer. In addition, the Issuers satisfied and discharged the 2017 Indenture and, in November 2013, used the remaining net proceeds to redeem any and all of the 2017 Notes not previously tendered. In connection with the issuance of the 2023 Notes, we capitalized approximately $4.1 million of financing costs.</w:t>
      </w:r>
    </w:p>
    <w:p>
      <w:pPr>
        <w:spacing w:after="0" w:line="12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2023 Notes will mature on May 30, 2023 and bear interest at the rate of 5 1/4 % per annum. The Issuers may redeem all or a portion of the 2023 Notes at any time, which redemption price includes a make-whole premium if redeemed before February 28, 2023. The 2023 Notes are also subject to mandatory redemption requirements imposed by gaming laws and regulations of gaming authorities in Nevada.</w:t>
      </w:r>
    </w:p>
    <w:p>
      <w:pPr>
        <w:spacing w:after="0" w:line="14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2023 Indenture contains covenants limiting the Issuers’ and the Issuers’ restricted subsidiaries’ ability to: create liens on assets to secure debt; enter into sale-leaseback transactions; and merge or consolidate with another company. These covenants are subject to a number of important and significant limitations, qualifications and exceptions.</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2023 Notes are the Issuers’ senior unsecured obligations and rank pari passu in right of payment with the Issuers’ outstanding 7 7/8% First Mortgage Notes due 2020 (“7 7/8% 2020 Notes”), 7 3/4% First Mortgage Notes due (the “7 3/4% 2020 Notes”) and 5 3/8% First Mortgage Notes due 2022 (the “2022 Notes” and, together with the 7 7/8% 2020 Notes and 7 3/4% 2020 Notes, the “Existing Notes”). The 2023 Notes are secured by a first priority pledge of the Company’s equity interests, the effectiveness of which is subject to the prior approval of the Nevada gaming authorities. The equity interests of the Company also secure the Existing Notes. If Wynn Resorts, Limited receives an investment grade rating from one or more ratings agencies, the first priority pledge securing the 2023 Notes will be released.</w:t>
      </w:r>
    </w:p>
    <w:p>
      <w:pPr>
        <w:spacing w:after="0" w:line="14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March 12, 2012, the Issuers issued, in a private offering, $900 million aggregate principal amount of 2022 Notes pursuant to an Indenture, dated as of March 12, 2012 (the “2022 Indenture”). A portion of the proceeds were used to repay all amounts outstanding under the Wynn Las Vegas term loan facilities. In October 2012, the Issuers commenced an offer to exchange all of the 2022 Notes for notes registered under the Securities Act of 1933, as amended. The exchange offer closed on November 6, 2012.</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2022 Notes will mature on March 15, 2022 and bear interest at the rate of 5 3/8% per annum. The Issuers may redeem all or a portion of the 2022 Notes at any time on or after March 15, 2017, at a premium decreasing ratably to zero, plus accrued and unpaid interest. In addition, prior to March 15, 2015, the Issuers may redeem up to 35% of the aggregate principal amount of the 2022 Notes with the net proceeds of one or more qualified equity contributions made to the Issuers by their parent, Wynn Resorts, Limited. The 2022 Notes are also subject to mandatory redemption requirements imposed by gaming laws and regulations of gaming authorities in Nevada.</w:t>
      </w:r>
    </w:p>
    <w:p>
      <w:pPr>
        <w:spacing w:after="0" w:line="143"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The 2022 Indenture contains covenants limiting the Issuers’ and the Issuers’ restricted subsidiaries’ ability to: pay dividends or distributions or repurchase equity; incur additional debt; make investments; create liens on assets to secure debt; enter into transactions with affiliates; issue stock of, or member’s interests in, subsidiaries; enter into sale-leaseback transactions; engage in other businesses; merge or consolidate with another company;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transfer and sell assets; issue disqualified stock; create dividend and other payment restrictions affecting subsidiaries; and designate restricted and unrestricted subsidiaries. These covenants are subject to a number of important and significant limitations, qualifications and exceptions.</w:t>
      </w:r>
    </w:p>
    <w:p>
      <w:pPr>
        <w:spacing w:after="0" w:line="85"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Concurrently with the issuance of the 2022 Notes, we entered into an eighth amendment (“Amendment No. 8”) to its Amended and Restated Credit Agreement (the “Wynn Las Vegas Credit Agreement”). Amendment No. 8 amended the Wynn Las Vegas Credit Agreement to, among other things, permit the issuance of the 2022 Notes. With the issuance of the 2022 Notes, we prepaid all term loans under the Wynn Las Vegas Credit Agreement, terminated all of its revolving credit commitments that were due to expire in 2013, and terminated all but $100 million of its revolving credit commitments expiring in 2015. In connection with this transaction, we expensed deferred financing costs of $4.8 million.</w:t>
      </w:r>
    </w:p>
    <w:p>
      <w:pPr>
        <w:spacing w:after="0" w:line="1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 September 17, 2012, we terminated the Wynn Las Vegas Credit Agreement. No loans were outstanding under the Wynn Las Vegas Credit Agreement at the time of termination. Prior to such termination, certain letters of credit in which lenders had participated pursuant to the Wynn Las Vegas Credit Agreement were reallocated to a separate, unsecured letter of credit facility provided by Deutsche Bank, A.G. Wynn Las Vegas, LLC did not incur any early termination penalties in connection with the termination.</w:t>
      </w:r>
    </w:p>
    <w:p>
      <w:pPr>
        <w:spacing w:after="0" w:line="14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In connection with the termination, we expensed $2.6 million of previously deferred financing costs and third party fees related to the Wynn Las Vegas Credit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more information on our outstanding first mortgage notes, see Item 8—“Financial Statements and Supplementary Data”, Note 6 “Long-Term Debt.”</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 Resources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At December 31, 2013, we had approximately $231.2 million of cash and cash equivalents available for use without restriction, including for operations, debt service and retirement, new development activities, enhancements to our resort and general corporate purposes. We require a certain amount of cash on hand for operations. We anticipate such funds, together with any additional borrowings and cash generated from operations will satisfy our liquidity needs during 2014. Except for scheduled quarterly payments on one note payable, we have no debt maturities until April 2017.</w:t>
      </w:r>
    </w:p>
    <w:p>
      <w:pPr>
        <w:spacing w:after="0" w:line="113"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On September 17, 2012, the Company terminated its Amended and Restated Credit Agreement. No loans were outstanding at the time of termination. On September 18, 2012, the Company distributed to Wynn Resorts, Limited, the Wynn Las Vegas golf course land, the related water rights, and $700 million in cash.</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Off-Balance Sheet Arrangements</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have not entered into any transactions with special purpose entities nor do we engage in any derivatives except for previously discussed interest rate swaps. We do not have any retained or contingent interest in assets transferred to an unconsolidated entity. At December 31, 2013, we had unsecured outstanding letters of credit totaling $16.7 million.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scheduled contractual commitments at December 31, 2013 (amounts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6"/>
          </w:tcPr>
          <w:p>
            <w:pPr>
              <w:jc w:val="right"/>
              <w:ind w:right="860"/>
              <w:spacing w:after="0"/>
              <w:rPr>
                <w:sz w:val="20"/>
                <w:szCs w:val="20"/>
                <w:color w:val="auto"/>
              </w:rPr>
            </w:pPr>
            <w:r>
              <w:rPr>
                <w:rFonts w:ascii="Arial" w:cs="Arial" w:eastAsia="Arial" w:hAnsi="Arial"/>
                <w:sz w:val="14"/>
                <w:szCs w:val="14"/>
                <w:b w:val="1"/>
                <w:bCs w:val="1"/>
                <w:color w:val="auto"/>
                <w:w w:val="90"/>
              </w:rPr>
              <w:t>Payments Due By Period</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6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3"/>
          </w:tcPr>
          <w:p>
            <w:pPr>
              <w:jc w:val="center"/>
              <w:ind w:right="500"/>
              <w:spacing w:after="0" w:line="129" w:lineRule="exact"/>
              <w:rPr>
                <w:sz w:val="20"/>
                <w:szCs w:val="20"/>
                <w:color w:val="auto"/>
              </w:rPr>
            </w:pPr>
            <w:r>
              <w:rPr>
                <w:rFonts w:ascii="Arial" w:cs="Arial" w:eastAsia="Arial" w:hAnsi="Arial"/>
                <w:sz w:val="14"/>
                <w:szCs w:val="14"/>
                <w:b w:val="1"/>
                <w:bCs w:val="1"/>
                <w:color w:val="auto"/>
                <w:w w:val="75"/>
              </w:rPr>
              <w:t>Less</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6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Than</w:t>
            </w:r>
          </w:p>
        </w:tc>
        <w:tc>
          <w:tcPr>
            <w:tcW w:w="100" w:type="dxa"/>
            <w:vAlign w:val="bottom"/>
          </w:tcPr>
          <w:p>
            <w:pPr>
              <w:spacing w:after="0"/>
              <w:rPr>
                <w:sz w:val="12"/>
                <w:szCs w:val="12"/>
                <w:color w:val="auto"/>
              </w:rPr>
            </w:pPr>
          </w:p>
        </w:tc>
        <w:tc>
          <w:tcPr>
            <w:tcW w:w="400" w:type="dxa"/>
            <w:vAlign w:val="bottom"/>
          </w:tcPr>
          <w:p>
            <w:pPr>
              <w:jc w:val="right"/>
              <w:ind w:right="54"/>
              <w:spacing w:after="0" w:line="149" w:lineRule="exact"/>
              <w:rPr>
                <w:sz w:val="20"/>
                <w:szCs w:val="20"/>
                <w:color w:val="auto"/>
              </w:rPr>
            </w:pPr>
            <w:r>
              <w:rPr>
                <w:rFonts w:ascii="Arial" w:cs="Arial" w:eastAsia="Arial" w:hAnsi="Arial"/>
                <w:sz w:val="14"/>
                <w:szCs w:val="14"/>
                <w:b w:val="1"/>
                <w:bCs w:val="1"/>
                <w:color w:val="auto"/>
                <w:w w:val="96"/>
              </w:rPr>
              <w:t>1 to</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54"/>
              <w:spacing w:after="0" w:line="149" w:lineRule="exact"/>
              <w:rPr>
                <w:sz w:val="20"/>
                <w:szCs w:val="20"/>
                <w:color w:val="auto"/>
              </w:rPr>
            </w:pPr>
            <w:r>
              <w:rPr>
                <w:rFonts w:ascii="Arial" w:cs="Arial" w:eastAsia="Arial" w:hAnsi="Arial"/>
                <w:sz w:val="14"/>
                <w:szCs w:val="14"/>
                <w:b w:val="1"/>
                <w:bCs w:val="1"/>
                <w:color w:val="auto"/>
                <w:w w:val="96"/>
              </w:rPr>
              <w:t>4 to</w:t>
            </w:r>
          </w:p>
        </w:tc>
        <w:tc>
          <w:tcPr>
            <w:tcW w:w="420" w:type="dxa"/>
            <w:vAlign w:val="bottom"/>
          </w:tcPr>
          <w:p>
            <w:pPr>
              <w:spacing w:after="0"/>
              <w:rPr>
                <w:sz w:val="12"/>
                <w:szCs w:val="12"/>
                <w:color w:val="auto"/>
              </w:rPr>
            </w:pPr>
          </w:p>
        </w:tc>
        <w:tc>
          <w:tcPr>
            <w:tcW w:w="104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After</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6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85"/>
              </w:rPr>
              <w:t>1 Year</w:t>
            </w: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3 Years</w:t>
            </w:r>
          </w:p>
        </w:tc>
        <w:tc>
          <w:tcPr>
            <w:tcW w:w="42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5 Years</w:t>
            </w:r>
          </w:p>
        </w:tc>
        <w:tc>
          <w:tcPr>
            <w:tcW w:w="420" w:type="dxa"/>
            <w:vAlign w:val="bottom"/>
          </w:tcPr>
          <w:p>
            <w:pPr>
              <w:spacing w:after="0"/>
              <w:rPr>
                <w:sz w:val="14"/>
                <w:szCs w:val="14"/>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5 Years</w:t>
            </w:r>
          </w:p>
        </w:tc>
        <w:tc>
          <w:tcPr>
            <w:tcW w:w="7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r>
      <w:tr>
        <w:trPr>
          <w:trHeight w:val="210"/>
        </w:trPr>
        <w:tc>
          <w:tcPr>
            <w:tcW w:w="6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Long-term debt obligations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4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$3,102.0</w:t>
            </w:r>
          </w:p>
        </w:tc>
        <w:tc>
          <w:tcPr>
            <w:tcW w:w="4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$3,134.6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Fixed interest payments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202.0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404.0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404.0</w:t>
            </w:r>
          </w:p>
        </w:tc>
        <w:tc>
          <w:tcPr>
            <w:tcW w:w="1460" w:type="dxa"/>
            <w:vAlign w:val="bottom"/>
            <w:gridSpan w:val="3"/>
          </w:tcPr>
          <w:p>
            <w:pPr>
              <w:jc w:val="right"/>
              <w:ind w:right="420"/>
              <w:spacing w:after="0"/>
              <w:rPr>
                <w:sz w:val="20"/>
                <w:szCs w:val="20"/>
                <w:color w:val="auto"/>
              </w:rPr>
            </w:pPr>
            <w:r>
              <w:rPr>
                <w:rFonts w:ascii="Arial" w:cs="Arial" w:eastAsia="Arial" w:hAnsi="Arial"/>
                <w:sz w:val="18"/>
                <w:szCs w:val="18"/>
                <w:color w:val="auto"/>
              </w:rPr>
              <w:t>455.4</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1,465.4</w:t>
            </w:r>
          </w:p>
        </w:tc>
        <w:tc>
          <w:tcPr>
            <w:tcW w:w="10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Estimated variable interest payments [1]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Operating leases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0.3</w:t>
            </w:r>
          </w:p>
        </w:tc>
        <w:tc>
          <w:tcPr>
            <w:tcW w:w="1460" w:type="dxa"/>
            <w:vAlign w:val="bottom"/>
            <w:gridSpan w:val="3"/>
          </w:tcPr>
          <w:p>
            <w:pPr>
              <w:jc w:val="right"/>
              <w:ind w:right="420"/>
              <w:spacing w:after="0"/>
              <w:rPr>
                <w:sz w:val="20"/>
                <w:szCs w:val="20"/>
                <w:color w:val="auto"/>
              </w:rPr>
            </w:pPr>
            <w:r>
              <w:rPr>
                <w:rFonts w:ascii="Arial" w:cs="Arial" w:eastAsia="Arial" w:hAnsi="Arial"/>
                <w:sz w:val="18"/>
                <w:szCs w:val="18"/>
                <w:color w:val="auto"/>
              </w:rPr>
              <w:t>2.4</w:t>
            </w:r>
          </w:p>
        </w:tc>
        <w:tc>
          <w:tcPr>
            <w:tcW w:w="62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Construction contracts and commitments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Employment agreements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25.6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w:t>
            </w:r>
          </w:p>
        </w:tc>
        <w:tc>
          <w:tcPr>
            <w:tcW w:w="42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Other [2]</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8"/>
                <w:szCs w:val="18"/>
                <w:color w:val="auto"/>
              </w:rPr>
            </w:pPr>
          </w:p>
        </w:tc>
      </w:tr>
      <w:tr>
        <w:trPr>
          <w:trHeight w:val="222"/>
        </w:trPr>
        <w:tc>
          <w:tcPr>
            <w:tcW w:w="6900" w:type="dxa"/>
            <w:vAlign w:val="bottom"/>
          </w:tcPr>
          <w:p>
            <w:pPr>
              <w:ind w:left="440"/>
              <w:spacing w:after="0"/>
              <w:rPr>
                <w:sz w:val="20"/>
                <w:szCs w:val="20"/>
                <w:color w:val="auto"/>
              </w:rPr>
            </w:pPr>
            <w:r>
              <w:rPr>
                <w:rFonts w:ascii="Arial" w:cs="Arial" w:eastAsia="Arial" w:hAnsi="Arial"/>
                <w:sz w:val="18"/>
                <w:szCs w:val="18"/>
                <w:color w:val="auto"/>
              </w:rPr>
              <w:t>Total commitments</w:t>
            </w: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255.2</w:t>
            </w:r>
          </w:p>
        </w:tc>
        <w:tc>
          <w:tcPr>
            <w:tcW w:w="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432.1</w:t>
            </w: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435.1</w:t>
            </w:r>
          </w:p>
        </w:tc>
        <w:tc>
          <w:tcPr>
            <w:tcW w:w="1460" w:type="dxa"/>
            <w:vAlign w:val="bottom"/>
            <w:gridSpan w:val="3"/>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3,559.8</w:t>
            </w:r>
          </w:p>
        </w:tc>
        <w:tc>
          <w:tcPr>
            <w:tcW w:w="62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4,682.2</w:t>
            </w:r>
          </w:p>
        </w:tc>
        <w:tc>
          <w:tcPr>
            <w:tcW w:w="100" w:type="dxa"/>
            <w:vAlign w:val="bottom"/>
          </w:tcPr>
          <w:p>
            <w:pPr>
              <w:spacing w:after="0"/>
              <w:rPr>
                <w:sz w:val="19"/>
                <w:szCs w:val="19"/>
                <w:color w:val="auto"/>
              </w:rPr>
            </w:pPr>
          </w:p>
        </w:tc>
      </w:tr>
      <w:tr>
        <w:trPr>
          <w:trHeight w:val="20"/>
        </w:trPr>
        <w:tc>
          <w:tcPr>
            <w:tcW w:w="6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620" w:hanging="452"/>
        <w:spacing w:after="0" w:line="254"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Amounts for all periods represent our estimated future interest payments on our debt facilities based upon amounts outstanding and LIBOR rates at December 31, 2013. Actual rates will vary.</w:t>
      </w: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includes open purchase orders.</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Liquidity Matters</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We are restricted under the indentures governing the first mortgage notes and senior notes from making certain “restricted payments” as defined in the indentures. These restricted payments include the payments of dividends or distributions to any direct or indirect holders of equity interests of Wynn Las Vegas, LLC. These restricted payments may not be made until certain other financial and non-financial criteria have been satisfied.</w:t>
      </w:r>
    </w:p>
    <w:p>
      <w:pPr>
        <w:spacing w:after="0" w:line="10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intend to fund our operations and capital requirements from cash on hand and operating cash flow. We cannot be sure that we will generate sufficient cash flow from operations or that future borrowings that are available to us, if any, will be sufficient to enable us to service and repay our indebtedness and to fund our other liquidity needs. We cannot be sure that we will be able to refinance any of our indebtedness on acceptable terms or at all. Certain legal matters may also impact our liquidity. As described in Item 8—“Financial Statements and Supplementary Data”, Note 11—“Commitments and Contingencies”, Elaine Wynn has submitted a cross claim against Steve Wynn and Kazuo Okada. The indentures for the Company’s 7 7/8% first mortgage notes due 2020, 7 3/4% first mortgage notes due 2020 (the “2020 Indentures”) and the indenture for Company’s 4 1/4% Senior Notes due 2023 (the “2023 Indenture,” and, together with the 2020 Indentures, the “Indentures”) provide that if Stephen A. Wynn, together with certain related parties, in the aggregate beneficially owns a lesser percentage of the outstanding common stock of Wynn Resorts than are beneficially owned by any other person, a change of control will have occurred. If Elaine Wynn prevails in her cross claim, Stephen A. Wynn would not beneficially own or control Elaine Wynn’s shares and a change in control may result under the Company’s debt documents.</w:t>
      </w:r>
    </w:p>
    <w:p>
      <w:pPr>
        <w:spacing w:after="0" w:line="12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In the future, we may periodically consider repurchasing our outstanding notes for cash. The amount of any notes to be repurchased, as well as the timing of any repurchases, will be based on business, market and other conditions and factors, including price, contractual requirements or consents, and capital availability. Any repurchases might be made using a variety of methods, which may include open market purchases, privately negotiated transactions, or by any combination of those methods, in compliance with applicable securities laws and regulations.</w:t>
      </w:r>
    </w:p>
    <w:p>
      <w:pPr>
        <w:spacing w:after="0" w:line="11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New business developments or other unforeseen events may occur, resulting in the need to raise additional funds. We continue to explore opportunities to develop additional gaming or related businesses in Las Vegas, as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well as other domestic or international markets. There can be no assurances regarding the business prospects with respect to any other opportunity. Any other development would require us to obtain additional financing.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Management’s discussion and analysis of our results of operations and liquidity and capital resources are based on our consolidated financial statements. Our consolidated financial statements were prepared in conformity with accounting principles generally accepted in the United States of America. Certain of our accounting policies require management to apply significant judgment in defining the appropriate assumptions integral to financial estimates. On an ongoing basis, management evaluates those estimates, including those relating to the estimated lives of depreciable assets, asset impairment, allowances for doubtful accounts, accruals for customer loyalty rewards, contingencies, litigation and other items. Judgments are based on historical experience, terms of existing contracts, industry trends and information available from outside sources, as appropriate. However, by their nature, judgments are subject to an inherent degree of uncertainty, and therefore actual results could differ from our estimates.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Development, Construction and Property and Equipment Estimates</w:t>
      </w:r>
    </w:p>
    <w:p>
      <w:pPr>
        <w:spacing w:after="0" w:line="90"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During the construction and development of a resort, pre-opening or start-up costs are expensed when incurred. In connection with the construction and development of our resort, significant start-up costs were incurred and charged to pre-opening costs prior to the opening date. Once open, expenses associated with the opening of the resort are no longer charged as pre-opening costs.</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During the construction and development stage, direct costs such as those incurred for the design and construction of our properties, including applicable portions of interest, are capitalized. Accordingly, the recorded amounts of property and equipment increase significantly during construction periods. Depreciation expense related to capitalized construction costs is recognized when the related assets are placed in service. Upon the opening of our resorts, we begin recognizing depreciation expense on the fixed assets. The remaining estimated useful lives of assets are periodically reviewed and adjusted as necessary.</w:t>
      </w:r>
    </w:p>
    <w:p>
      <w:pPr>
        <w:spacing w:after="0" w:line="113"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Costs of repairs and maintenance are charged to expense when incurred. The cost and accumulated depreciation of property and equipment retired or otherwise disposed of are eliminated from the respective accounts and any resulting gain or loss is included in operating income or loss.</w:t>
      </w:r>
    </w:p>
    <w:p>
      <w:pPr>
        <w:spacing w:after="0" w:line="8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also evaluate our property and equipment and other long-lived assets for impairment in accordance with accounting standards for the impairment or disposal of long-lived assets. For assets to be disposed of, we recognize the asset at the lower of carrying value or fair market value less costs of disposal, as estimated based on comparable asset sales, solicited offers, or a discounted cash flow model. For assets to be held and used, we review for impairment whenever indicators of impairment exist. In reviewing for impairment we compare the estimated future cash flows of the asset, on an undiscounted basis, to the carrying value of the asset. If the undiscounted cash flows exceed the carrying value, no impairment is indicated. If the undiscounted cash flows do not exceed the carrying value, then an impairment is recorded based on the fair value of the asset, typically measured using a discounted cash flow model. If an asset is still under development, future cash flows include remaining construction costs. All recognized impairment losses, whether for assets to be disposed of or assets to be held and used, are recorded as operating expenses.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Allowance for Estimated Doubtful Accounts Receivable</w:t>
      </w:r>
    </w:p>
    <w:p>
      <w:pPr>
        <w:spacing w:after="0" w:line="90"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A substantial portion of our outstanding receivables relate to casino credit play. Credit play, through the issuance of markers, represents a significant portion of the table games volume at Wynn Las Vegas. We maintain strict controls over the issuance of markers and aggressively pursue collection from those customers who fail to pay their balances in a timely fashion. These collection efforts may include the mailing of statements and delinquency notices, personal contacts, the use of outside collection agencies, and litigation. Markers are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generally legally enforceable instruments in the United States. Markers are not legally enforceable instruments in some foreign countries, but the United States assets of foreign customers may be used to satisfy judgments entered in the United States. At December 31, 2013 and 2012, approximately 82% and 78%, respectively, of our casino accounts receivable were owed by customers from foreign countries, primarily in Asia. The collectability of markers given by foreign customers is affected by a number of factors including changes in currency exchange rates and economic conditions in the customers’ home countries.</w:t>
      </w:r>
    </w:p>
    <w:p>
      <w:pPr>
        <w:spacing w:after="0" w:line="11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regularly evaluate our reserve for bad debts based on a specific review of customer accounts as well as management’s prior experience with collection trends in the casino industry and current economic and business conditions. In determining our allowance for estimated doubtful accounts receivable, we apply loss factors based on historical marker collection history to aged account balances and we specifically analyze the collectability of each account with a balance over a specified dollar amount, based upon the age, the customer’s financial condition, collection history and any other known information.</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reserve for doubtful casino accounts receivable is based on our estimates of amounts collectible and depends on the risk assessments and judgments by our employees regarding realizability, the state of the economy and our credit policy. During the quarter ended June 30, 2013, the Company recorded an adjustment to its reserve estimates for casino accounts receivable based on the results of historical collection patterns and current collection trends. This adjustment benefitted operating income and net loss by $12.2 million for the year ended December 31, 2013. In June 2012, we recorded a similar adjustment to our reserve estimates for casino accounts receivable based on the results of historical collection patterns and current collection trends. For the year ended December 31, 2012, this adjustment benefitted operating income and net loss by $9.6 million.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key statistics related to our casino accounts receivables (amounts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92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146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530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2013</w:t>
            </w:r>
          </w:p>
        </w:tc>
        <w:tc>
          <w:tcPr>
            <w:tcW w:w="56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4"/>
                <w:szCs w:val="14"/>
                <w:color w:val="auto"/>
              </w:rPr>
            </w:pPr>
          </w:p>
        </w:tc>
      </w:tr>
      <w:tr>
        <w:trPr>
          <w:trHeight w:val="210"/>
        </w:trPr>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Casino accounts receivable</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190,199</w:t>
            </w: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190,528</w:t>
            </w:r>
          </w:p>
        </w:tc>
        <w:tc>
          <w:tcPr>
            <w:tcW w:w="20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Allowance for doubtful casino accounts receivable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52,428</w:t>
            </w:r>
          </w:p>
        </w:tc>
        <w:tc>
          <w:tcPr>
            <w:tcW w:w="5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63,635</w:t>
            </w:r>
          </w:p>
        </w:tc>
        <w:tc>
          <w:tcPr>
            <w:tcW w:w="20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Allowance as a percentage of casino accounts receivable</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27.6%</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33.4%</w:t>
            </w:r>
          </w:p>
        </w:tc>
      </w:tr>
      <w:tr>
        <w:trPr>
          <w:trHeight w:val="222"/>
        </w:trPr>
        <w:tc>
          <w:tcPr>
            <w:tcW w:w="5300" w:type="dxa"/>
            <w:vAlign w:val="bottom"/>
          </w:tcPr>
          <w:p>
            <w:pPr>
              <w:spacing w:after="0"/>
              <w:rPr>
                <w:sz w:val="20"/>
                <w:szCs w:val="20"/>
                <w:color w:val="auto"/>
              </w:rPr>
            </w:pPr>
            <w:r>
              <w:rPr>
                <w:rFonts w:ascii="Arial" w:cs="Arial" w:eastAsia="Arial" w:hAnsi="Arial"/>
                <w:sz w:val="18"/>
                <w:szCs w:val="18"/>
                <w:color w:val="auto"/>
                <w:w w:val="96"/>
              </w:rPr>
              <w:t>Percentage of casino accounts receivable outstanding over 180 days</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28.8%</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29.6%</w:t>
            </w:r>
          </w:p>
        </w:tc>
      </w:tr>
    </w:tbl>
    <w:p>
      <w:pPr>
        <w:spacing w:after="0" w:line="14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At December 31, 2013, a 100 basis-point change in the allowance for doubtful accounts as a percentage of casino accounts receivable would change the provision for doubtful accounts by approximately $1.9 million.</w:t>
      </w:r>
    </w:p>
    <w:p>
      <w:pPr>
        <w:spacing w:after="0" w:line="132"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As our customer payment experience evolves, we will continue to refine our estimated reserve for bad debts. Accordingly, the associated provision for doubtful accounts charge may fluctuate. Because individual customer account balances can be significant, the reserve and the provision can change significantly between periods, as we become aware of additional information about a customer or as changes occur in a region’s economy or legal system.</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 Financial Instruments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had managed our market risk, including interest rate risk associated with variable rate borrowings, through balancing fixed-rate and variable-rate borrowings and the use of derivative financial instruments. We account for derivative financial instruments in accordance with applicable accounting standards. Derivative financial instruments are recognized as assets or liabilities, with changes in fair value affecting net income or comprehensive income, as applicable. In June 2012, we terminated our only interest rate swap. For the year ended December 31, 2012, changes in our interest rate swap fair value were recorded in our Consolidated Statements of Operations and Comprehensive Loss, as the swap did not qualify for hedge accounting.</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We measured the fair value of our interest rate swap on a recurring basis. Accounting standards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We categorize our interest rate swap contract as Level 2. The fair value approximates the amount we would receive (pay)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 We adjust this amount by applying a non-performance valuation, considering our creditworthiness or the creditworthiness of our counterparties at each settlement date, as applicable.</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Resorts’ Equity Instruments Issued to Employees—Stock-Based Compensation</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Accounting standards for stock-based payments establishes standards for the accounting for transactions in which an entity exchanges its equity instruments for goods and services or incurs a liability in exchange for goods and services that are based on the fair value of the entity’s equity instruments or that may be settled by the issuance of those equity instruments. It requires an entity to measure the costs of employee services received in exchange for an award of equity instruments based on the grant-date fair value of the award and recognize that cost over the service period. We use the Black-Scholes valuation model to value the equity instruments we issue. The Black-Scholes valuation model uses assumptions of expected volatility, risk-free interest rates, the expected term of options granted, and expected rates of dividends. Management determines these assumptions by reviewing current market rates, making industry comparisons and reviewing conditions relevant to our Company.</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expected volatility and expected term assumptions can significantly impact the fair value of stock options. We believe that the valuation techniques and the approach utilized to develop our assumptions are reasonable in calculating the fair value of the options granted by Wynn Resorts. We estimate the expected stock price volatility using a combination of implied and historical factors related to our stock price in accordance with applicable accounting standards. As the Wynn Resorts stock price fluctuates, this estimate will change. A hypothetical 10% change in the volatility assumption for options granted in 2013 would not have a material effect on the change in fair value. Expected term represents the estimated average time between the option’s grant date and its exercise date. A hypothetical 10% change in the expected term assumption for options granted in 2013 would not have a material effect on the change in fair value. These assumed changes in fair value would have been recognized over the vesting schedule of such awards.</w:t>
      </w:r>
    </w:p>
    <w:p>
      <w:pPr>
        <w:spacing w:after="0" w:line="118"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Accounting standards also require the classification of stock compensation expense in the same financial statement line items as cash compensation, and therefore impacts our departmental expenses (and related operating margins), pre-opening costs and construction in progress for our development projects, and our general and administrative expenses (including corporate expenses).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February 2013, the Financial Accounting Standards Board (“FASB”) issued an accounting standards update that amends the presentation requirements for reclassifications out of accumulated other comprehensive income. The amendment would require an entity to present amounts reclassified out of accumulated other comprehensive income by component either on the face of the statement where net income is presented or in the notes. The adoption of this update did not have a material impact on the Company’s financial statements.</w:t>
      </w:r>
    </w:p>
    <w:p>
      <w:pPr>
        <w:spacing w:after="0" w:line="143"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In July 2012, the FASB issued an accounting standards update that is intended to simplify the guidance for testing the decline in the realizable value (impairment) of indefinite-lived intangible assets other than goodwill.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update allows for the consideration of qualitative factors in determining whether it is necessary to perform quantitative impairment tests. The effective date for this update is for the years and interim impairment tests performed for years beginning after September 15, 2012. The adoption of this guidance did not have a material effect on the Company’s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96"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Risks</w:t>
      </w:r>
    </w:p>
    <w:p>
      <w:pPr>
        <w:spacing w:after="0" w:line="9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Our primary exposure to market risk is interest rate risk associated with our Credit Facilities that bear interest based on floating rates. See Item 7 —“Management’s Discussion and Analysis of Financial Condition and Results of Operations—Liquidity and Capital Resources—Financing Activities.” We attempt to manage interest rate risk by managing the mix of long-term fixed rate borrowings and variable rate borrowings supplemented by hedging activities as believed by us to be appropriate. We cannot be sure that these risk management strategies have had the desired effect, and interest rate fluctuations could have a negative impact on our results of operations.</w:t>
      </w:r>
    </w:p>
    <w:p>
      <w:pPr>
        <w:spacing w:after="0" w:line="14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following table provides estimated future cash flow and related weighted average interest rates by expected maturity date, as derived from our best estimates of repayments at December 31, 2013 on our expected long-term indebtedness. However, we cannot predict the LIBOR rate that will be in effect in the future. Actual rates will vary. The one-month LIBOR rate at December 31, 2013 of 0.1677% was used for all variable rate calculations in the table below.</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is presented in U.S. dollar equivalents as applicable.</w:t>
      </w:r>
    </w:p>
    <w:p>
      <w:pPr>
        <w:spacing w:after="0" w:line="207" w:lineRule="exact"/>
        <w:rPr>
          <w:sz w:val="20"/>
          <w:szCs w:val="20"/>
          <w:color w:val="auto"/>
        </w:rPr>
      </w:pPr>
    </w:p>
    <w:p>
      <w:pPr>
        <w:jc w:val="center"/>
        <w:ind w:right="200"/>
        <w:spacing w:after="0"/>
        <w:rPr>
          <w:sz w:val="20"/>
          <w:szCs w:val="20"/>
          <w:color w:val="auto"/>
        </w:rPr>
      </w:pPr>
      <w:r>
        <w:rPr>
          <w:rFonts w:ascii="Arial" w:cs="Arial" w:eastAsia="Arial" w:hAnsi="Arial"/>
          <w:sz w:val="14"/>
          <w:szCs w:val="14"/>
          <w:b w:val="1"/>
          <w:bCs w:val="1"/>
          <w:color w:val="auto"/>
        </w:rPr>
        <w:t>Years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1771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17715" cy="8890"/>
                    </a:xfrm>
                    <a:prstGeom prst="rect">
                      <a:avLst/>
                    </a:prstGeom>
                    <a:noFill/>
                  </pic:spPr>
                </pic:pic>
              </a:graphicData>
            </a:graphic>
          </wp:anchor>
        </w:drawing>
      </w:r>
    </w:p>
    <w:p>
      <w:pPr>
        <w:jc w:val="center"/>
        <w:ind w:right="200"/>
        <w:spacing w:after="0"/>
        <w:rPr>
          <w:sz w:val="20"/>
          <w:szCs w:val="20"/>
          <w:color w:val="auto"/>
        </w:rPr>
      </w:pPr>
      <w:r>
        <w:rPr>
          <w:rFonts w:ascii="Arial" w:cs="Arial" w:eastAsia="Arial" w:hAnsi="Arial"/>
          <w:sz w:val="14"/>
          <w:szCs w:val="14"/>
          <w:b w:val="1"/>
          <w:bCs w:val="1"/>
          <w:color w:val="auto"/>
        </w:rPr>
        <w:t>Expected Maturity Date</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w w:val="96"/>
              </w:rPr>
              <w:t>2014</w:t>
            </w:r>
          </w:p>
        </w:tc>
        <w:tc>
          <w:tcPr>
            <w:tcW w:w="2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w w:val="96"/>
              </w:rPr>
              <w:t>2015</w:t>
            </w:r>
          </w:p>
        </w:tc>
        <w:tc>
          <w:tcPr>
            <w:tcW w:w="56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w w:val="96"/>
              </w:rPr>
              <w:t>2016</w:t>
            </w:r>
          </w:p>
        </w:tc>
        <w:tc>
          <w:tcPr>
            <w:tcW w:w="58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w w:val="96"/>
              </w:rPr>
              <w:t>2018</w:t>
            </w:r>
          </w:p>
        </w:tc>
        <w:tc>
          <w:tcPr>
            <w:tcW w:w="58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2"/>
          </w:tcPr>
          <w:p>
            <w:pPr>
              <w:spacing w:after="0" w:line="143" w:lineRule="exact"/>
              <w:rPr>
                <w:sz w:val="20"/>
                <w:szCs w:val="20"/>
                <w:color w:val="auto"/>
              </w:rPr>
            </w:pPr>
            <w:r>
              <w:rPr>
                <w:rFonts w:ascii="Arial" w:cs="Arial" w:eastAsia="Arial" w:hAnsi="Arial"/>
                <w:sz w:val="14"/>
                <w:szCs w:val="14"/>
                <w:b w:val="1"/>
                <w:bCs w:val="1"/>
                <w:color w:val="auto"/>
                <w:w w:val="87"/>
              </w:rPr>
              <w:t>Thereafter</w:t>
            </w:r>
          </w:p>
        </w:tc>
        <w:tc>
          <w:tcPr>
            <w:tcW w:w="5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76"/>
              <w:spacing w:after="0" w:line="143" w:lineRule="exact"/>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1"/>
              </w:rPr>
              <w:t>(in millions)</w:t>
            </w: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96"/>
        </w:trPr>
        <w:tc>
          <w:tcPr>
            <w:tcW w:w="20" w:type="dxa"/>
            <w:vAlign w:val="bottom"/>
          </w:tcPr>
          <w:p>
            <w:pPr>
              <w:spacing w:after="0"/>
              <w:rPr>
                <w:sz w:val="17"/>
                <w:szCs w:val="17"/>
                <w:color w:val="auto"/>
              </w:rPr>
            </w:pPr>
          </w:p>
        </w:tc>
        <w:tc>
          <w:tcPr>
            <w:tcW w:w="12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8"/>
              </w:rPr>
              <w:t>Long-term debt:</w:t>
            </w:r>
          </w:p>
        </w:tc>
        <w:tc>
          <w:tcPr>
            <w:tcW w:w="180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Fixed rate</w:t>
            </w:r>
          </w:p>
        </w:tc>
        <w:tc>
          <w:tcPr>
            <w:tcW w:w="21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60"/>
              <w:spacing w:after="0"/>
              <w:rPr>
                <w:sz w:val="20"/>
                <w:szCs w:val="20"/>
                <w:color w:val="auto"/>
              </w:rPr>
            </w:pPr>
            <w:r>
              <w:rPr>
                <w:rFonts w:ascii="Arial" w:cs="Arial" w:eastAsia="Arial" w:hAnsi="Arial"/>
                <w:sz w:val="18"/>
                <w:szCs w:val="18"/>
                <w:color w:val="auto"/>
                <w:w w:val="92"/>
              </w:rPr>
              <w:t>$—</w:t>
            </w:r>
          </w:p>
        </w:tc>
        <w:tc>
          <w:tcPr>
            <w:tcW w:w="780" w:type="dxa"/>
            <w:vAlign w:val="bottom"/>
            <w:gridSpan w:val="2"/>
          </w:tcPr>
          <w:p>
            <w:pPr>
              <w:spacing w:after="0"/>
              <w:rPr>
                <w:sz w:val="20"/>
                <w:szCs w:val="20"/>
                <w:color w:val="auto"/>
              </w:rPr>
            </w:pPr>
            <w:r>
              <w:rPr>
                <w:rFonts w:ascii="Arial" w:cs="Arial" w:eastAsia="Arial" w:hAnsi="Arial"/>
                <w:sz w:val="18"/>
                <w:szCs w:val="18"/>
                <w:color w:val="auto"/>
              </w:rPr>
              <w:t>$ —</w:t>
            </w:r>
          </w:p>
        </w:tc>
        <w:tc>
          <w:tcPr>
            <w:tcW w:w="116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3,102.0</w:t>
            </w:r>
          </w:p>
        </w:tc>
        <w:tc>
          <w:tcPr>
            <w:tcW w:w="5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3,102.0</w:t>
            </w:r>
          </w:p>
        </w:tc>
      </w:tr>
      <w:tr>
        <w:trPr>
          <w:trHeight w:val="216"/>
        </w:trPr>
        <w:tc>
          <w:tcPr>
            <w:tcW w:w="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interest rate</w:t>
            </w:r>
          </w:p>
        </w:tc>
        <w:tc>
          <w:tcPr>
            <w:tcW w:w="16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 %</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 %</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 %</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r>
      <w:tr>
        <w:trPr>
          <w:trHeight w:val="216"/>
        </w:trPr>
        <w:tc>
          <w:tcPr>
            <w:tcW w:w="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Variable rate</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$ 1.1</w:t>
            </w:r>
          </w:p>
        </w:tc>
        <w:tc>
          <w:tcPr>
            <w:tcW w:w="200" w:type="dxa"/>
            <w:vAlign w:val="bottom"/>
          </w:tcPr>
          <w:p>
            <w:pPr>
              <w:spacing w:after="0"/>
              <w:rPr>
                <w:sz w:val="18"/>
                <w:szCs w:val="18"/>
                <w:color w:val="auto"/>
              </w:rPr>
            </w:pPr>
          </w:p>
        </w:tc>
        <w:tc>
          <w:tcPr>
            <w:tcW w:w="1300" w:type="dxa"/>
            <w:vAlign w:val="bottom"/>
            <w:gridSpan w:val="3"/>
          </w:tcPr>
          <w:p>
            <w:pPr>
              <w:jc w:val="right"/>
              <w:ind w:right="560"/>
              <w:spacing w:after="0"/>
              <w:rPr>
                <w:sz w:val="20"/>
                <w:szCs w:val="20"/>
                <w:color w:val="auto"/>
              </w:rPr>
            </w:pPr>
            <w:r>
              <w:rPr>
                <w:rFonts w:ascii="Arial" w:cs="Arial" w:eastAsia="Arial" w:hAnsi="Arial"/>
                <w:sz w:val="18"/>
                <w:szCs w:val="18"/>
                <w:color w:val="auto"/>
              </w:rPr>
              <w:t>$ 1.4</w:t>
            </w:r>
          </w:p>
        </w:tc>
        <w:tc>
          <w:tcPr>
            <w:tcW w:w="360" w:type="dxa"/>
            <w:vAlign w:val="bottom"/>
          </w:tcPr>
          <w:p>
            <w:pPr>
              <w:jc w:val="right"/>
              <w:spacing w:after="0"/>
              <w:rPr>
                <w:sz w:val="20"/>
                <w:szCs w:val="20"/>
                <w:color w:val="auto"/>
              </w:rPr>
            </w:pPr>
            <w:r>
              <w:rPr>
                <w:rFonts w:ascii="Arial" w:cs="Arial" w:eastAsia="Arial" w:hAnsi="Arial"/>
                <w:sz w:val="18"/>
                <w:szCs w:val="18"/>
                <w:color w:val="auto"/>
                <w:w w:val="84"/>
              </w:rPr>
              <w:t>$ 1.4</w:t>
            </w:r>
          </w:p>
        </w:tc>
        <w:tc>
          <w:tcPr>
            <w:tcW w:w="58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84"/>
              </w:rPr>
              <w:t>$28.7</w:t>
            </w:r>
          </w:p>
        </w:tc>
        <w:tc>
          <w:tcPr>
            <w:tcW w:w="380" w:type="dxa"/>
            <w:vAlign w:val="bottom"/>
          </w:tcPr>
          <w:p>
            <w:pPr>
              <w:spacing w:after="0"/>
              <w:rPr>
                <w:sz w:val="18"/>
                <w:szCs w:val="18"/>
                <w:color w:val="auto"/>
              </w:rPr>
            </w:pPr>
          </w:p>
        </w:tc>
        <w:tc>
          <w:tcPr>
            <w:tcW w:w="116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32.6</w:t>
            </w:r>
          </w:p>
        </w:tc>
      </w:tr>
      <w:tr>
        <w:trPr>
          <w:trHeight w:val="216"/>
        </w:trPr>
        <w:tc>
          <w:tcPr>
            <w:tcW w:w="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interest rate</w:t>
            </w:r>
          </w:p>
        </w:tc>
        <w:tc>
          <w:tcPr>
            <w:tcW w:w="2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1.4%</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 %</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 %</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Swaps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June 2012, we terminated our only swap for a payment of $2.4 million.</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Sensitivity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2013, our long term-debt was essentially based on fixed rates.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5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INDEX TO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gridSpan w:val="7"/>
            <w:vMerge w:val="restart"/>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Report of Independent Registered Public Accounting Firm</w:t>
              </w:r>
            </w:hyperlink>
          </w:p>
        </w:tc>
        <w:tc>
          <w:tcPr>
            <w:tcW w:w="594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5100" w:type="dxa"/>
            <w:vAlign w:val="bottom"/>
            <w:gridSpan w:val="7"/>
            <w:vMerge w:val="continue"/>
          </w:tcPr>
          <w:p>
            <w:pPr>
              <w:spacing w:after="0"/>
              <w:rPr>
                <w:sz w:val="13"/>
                <w:szCs w:val="13"/>
                <w:color w:val="auto"/>
              </w:rPr>
            </w:pPr>
          </w:p>
        </w:tc>
        <w:tc>
          <w:tcPr>
            <w:tcW w:w="5940" w:type="dxa"/>
            <w:vAlign w:val="bottom"/>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0"/>
        </w:trPr>
        <w:tc>
          <w:tcPr>
            <w:tcW w:w="4120" w:type="dxa"/>
            <w:vAlign w:val="bottom"/>
            <w:tcBorders>
              <w:top w:val="single" w:sz="8" w:color="0000EE"/>
            </w:tcBorders>
            <w:gridSpan w:val="5"/>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Consolidated Balance Sheets</w:t>
              </w:r>
            </w:hyperlink>
          </w:p>
        </w:tc>
        <w:tc>
          <w:tcPr>
            <w:tcW w:w="980" w:type="dxa"/>
            <w:vAlign w:val="bottom"/>
            <w:gridSpan w:val="2"/>
          </w:tcPr>
          <w:p>
            <w:pPr>
              <w:spacing w:after="0"/>
              <w:rPr>
                <w:sz w:val="18"/>
                <w:szCs w:val="18"/>
                <w:color w:val="auto"/>
              </w:rPr>
            </w:pPr>
          </w:p>
        </w:tc>
        <w:tc>
          <w:tcPr>
            <w:tcW w:w="622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0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8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39">
              <w:r>
                <w:rPr>
                  <w:rFonts w:ascii="Arial" w:cs="Arial" w:eastAsia="Arial" w:hAnsi="Arial"/>
                  <w:sz w:val="18"/>
                  <w:szCs w:val="18"/>
                  <w:color w:val="0000EE"/>
                  <w:w w:val="87"/>
                </w:rPr>
                <w:t>Consolidated Statements of Operations and Comprehensive Loss</w:t>
              </w:r>
            </w:hyperlink>
          </w:p>
        </w:tc>
        <w:tc>
          <w:tcPr>
            <w:tcW w:w="520" w:type="dxa"/>
            <w:vAlign w:val="bottom"/>
          </w:tcPr>
          <w:p>
            <w:pPr>
              <w:spacing w:after="0"/>
              <w:rPr>
                <w:sz w:val="17"/>
                <w:szCs w:val="17"/>
                <w:color w:val="auto"/>
              </w:rPr>
            </w:pPr>
          </w:p>
        </w:tc>
        <w:tc>
          <w:tcPr>
            <w:tcW w:w="6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5100" w:type="dxa"/>
            <w:vAlign w:val="bottom"/>
            <w:gridSpan w:val="7"/>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Consolidated Statements of Member’s Equity (Deficit)</w:t>
              </w:r>
            </w:hyperlink>
          </w:p>
        </w:tc>
        <w:tc>
          <w:tcPr>
            <w:tcW w:w="6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386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Consolidated Statements of Cash Flows</w:t>
              </w:r>
            </w:hyperlink>
          </w:p>
        </w:tc>
        <w:tc>
          <w:tcPr>
            <w:tcW w:w="1240" w:type="dxa"/>
            <w:vAlign w:val="bottom"/>
            <w:gridSpan w:val="3"/>
          </w:tcPr>
          <w:p>
            <w:pPr>
              <w:spacing w:after="0"/>
              <w:rPr>
                <w:sz w:val="17"/>
                <w:szCs w:val="17"/>
                <w:color w:val="auto"/>
              </w:rPr>
            </w:pPr>
          </w:p>
        </w:tc>
        <w:tc>
          <w:tcPr>
            <w:tcW w:w="6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280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6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00" w:type="dxa"/>
            <w:vAlign w:val="bottom"/>
            <w:gridSpan w:val="7"/>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Notes to Consolidated Financial Statements</w:t>
              </w:r>
            </w:hyperlink>
          </w:p>
        </w:tc>
        <w:tc>
          <w:tcPr>
            <w:tcW w:w="6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83"/>
        </w:trPr>
        <w:tc>
          <w:tcPr>
            <w:tcW w:w="204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940" w:type="dxa"/>
            <w:vAlign w:val="bottom"/>
          </w:tcPr>
          <w:p>
            <w:pPr>
              <w:jc w:val="right"/>
              <w:ind w:right="5152"/>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00"/>
        <w:spacing w:after="0" w:line="369"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The Member of Wynn Las Vegas, LLC and subsidiaries:</w:t>
      </w:r>
    </w:p>
    <w:p>
      <w:pPr>
        <w:spacing w:after="0" w:line="4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have audited the accompanying consolidated balance sheets of Wynn Las Vegas, LLC and subsidiaries (the “Company”) as of December 31, 2013 and 2012, and the related consolidated statements of operations and comprehensive loss, member’s equity (deficit), and cash flows for each of the three years in the period ended December 31, 2013. Our audits also included the financial statement schedule listed in the index at Item 15(a)2. These financial statements and schedule are the responsibility of the Company’s management. Our responsibility is to express an opinion on these financial statements and schedule based on our audits.</w:t>
      </w:r>
    </w:p>
    <w:p>
      <w:pPr>
        <w:spacing w:after="0" w:line="14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Wynn Las Vegas, LLC and subsidiaries at December 31, 2013 and 2012, and the consolidated results of their operations and their cash flows for each of the three years in the period ended December 31, 2013, in conformity with U.S. generally accepted accounting principles. Also, in our opinion, the related financial statement schedule referred to above, when considered in relation to the basic financial statements taken as a whole, presents fairly in all material respects the information set forth therein.</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2014</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2013</w:t>
            </w:r>
          </w:p>
        </w:tc>
        <w:tc>
          <w:tcPr>
            <w:tcW w:w="5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0" w:type="dxa"/>
            <w:vAlign w:val="bottom"/>
            <w:shd w:val="clear" w:color="auto" w:fill="CCEEFF"/>
          </w:tcPr>
          <w:p>
            <w:pPr>
              <w:ind w:left="3940"/>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231,156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168,734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162,395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49,326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28,422</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477,638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3,032,884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3,215,605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35,445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40,871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3,780</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3,576,648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3,669,881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vMerge w:val="restart"/>
          </w:tcPr>
          <w:p>
            <w:pPr>
              <w:ind w:left="2640"/>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20" w:type="dxa"/>
            <w:vAlign w:val="bottom"/>
          </w:tcPr>
          <w:p>
            <w:pPr>
              <w:spacing w:after="0"/>
              <w:rPr>
                <w:sz w:val="24"/>
                <w:szCs w:val="24"/>
                <w:color w:val="auto"/>
              </w:rPr>
            </w:pPr>
          </w:p>
        </w:tc>
        <w:tc>
          <w:tcPr>
            <w:tcW w:w="90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1,050</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39,188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59,316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64,048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48,706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Gaming taxes payable</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15,505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liabilities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Customer deposits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98,915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106,243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10,155</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00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294,143</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329,943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3,131,626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3,125,424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170,066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146,345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3,614</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3,599,449</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3,602,796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11)</w:t>
            </w: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Member’s (deficit) equity:</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1,198,532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1,192,135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w w:val="89"/>
              </w:rPr>
              <w:t>(1,221,333)</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(1,125,050)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(deficit) equity</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(22,801)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67,085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ind w:left="86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3,576,648</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3,669,881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left="260" w:right="2380"/>
        <w:spacing w:after="0" w:line="255" w:lineRule="auto"/>
        <w:rPr>
          <w:sz w:val="20"/>
          <w:szCs w:val="20"/>
          <w:color w:val="auto"/>
        </w:rPr>
      </w:pPr>
      <w:r>
        <w:rPr>
          <w:rFonts w:ascii="Arial" w:cs="Arial" w:eastAsia="Arial" w:hAnsi="Arial"/>
          <w:sz w:val="18"/>
          <w:szCs w:val="18"/>
          <w:b w:val="1"/>
          <w:bCs w:val="1"/>
          <w:color w:val="auto"/>
        </w:rPr>
        <w:t>(A WHOLLY OWNED INDIRECT SUBSIDIARY OF WYNN RESORTS, LIMITED) CONSOLIDATED STATEMENTS OF OPERATIONS AND COMPREHENSIVE LOSS (amounts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w w:val="91"/>
              </w:rPr>
              <w:t>Years Ended December 31,</w:t>
            </w: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2012</w:t>
            </w:r>
          </w:p>
        </w:tc>
        <w:tc>
          <w:tcPr>
            <w:tcW w:w="6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682,787</w:t>
            </w:r>
          </w:p>
        </w:tc>
        <w:tc>
          <w:tcPr>
            <w:tcW w:w="1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592,308</w:t>
            </w:r>
          </w:p>
        </w:tc>
        <w:tc>
          <w:tcPr>
            <w:tcW w:w="6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625,207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377,592</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362,317</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489,063</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490,963</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454,712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220,386</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228,607</w:t>
            </w:r>
          </w:p>
        </w:tc>
        <w:tc>
          <w:tcPr>
            <w:tcW w:w="6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229,586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00" w:type="dxa"/>
            <w:vAlign w:val="bottom"/>
          </w:tcPr>
          <w:p>
            <w:pPr>
              <w:ind w:left="860"/>
              <w:spacing w:after="0"/>
              <w:rPr>
                <w:sz w:val="20"/>
                <w:szCs w:val="20"/>
                <w:color w:val="auto"/>
              </w:rPr>
            </w:pPr>
            <w:r>
              <w:rPr>
                <w:rFonts w:ascii="Arial" w:cs="Arial" w:eastAsia="Arial" w:hAnsi="Arial"/>
                <w:sz w:val="18"/>
                <w:szCs w:val="18"/>
                <w:color w:val="auto"/>
              </w:rPr>
              <w:t>Gross revenues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1,769,828</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1,674,195</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1,663,545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(188,540)</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5"/>
              </w:rPr>
              <w:t>(186,589)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(181,650)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0" w:type="dxa"/>
            <w:vAlign w:val="bottom"/>
          </w:tcPr>
          <w:p>
            <w:pPr>
              <w:ind w:left="860"/>
              <w:spacing w:after="0"/>
              <w:rPr>
                <w:sz w:val="20"/>
                <w:szCs w:val="20"/>
                <w:color w:val="auto"/>
              </w:rPr>
            </w:pPr>
            <w:r>
              <w:rPr>
                <w:rFonts w:ascii="Arial" w:cs="Arial" w:eastAsia="Arial" w:hAnsi="Arial"/>
                <w:sz w:val="18"/>
                <w:szCs w:val="18"/>
                <w:color w:val="auto"/>
              </w:rPr>
              <w:t>Net revenues</w:t>
            </w: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1,581,288</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1,487,606</w:t>
            </w:r>
          </w:p>
        </w:tc>
        <w:tc>
          <w:tcPr>
            <w:tcW w:w="6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1,481,895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315,815</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307,826</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298,229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129,619</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124,000</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307,958</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290,114</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264,878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129,203</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140,085</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243,107</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231,214</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225,457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7,534</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18,306</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23,721</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22,318</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245,119</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250,153</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263,639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12,162</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29,563</w:t>
            </w:r>
          </w:p>
        </w:tc>
        <w:tc>
          <w:tcPr>
            <w:tcW w:w="6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1,414,238</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1,413,579</w:t>
            </w:r>
          </w:p>
        </w:tc>
        <w:tc>
          <w:tcPr>
            <w:tcW w:w="6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1,380,576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167,050</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74,027</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101,319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20"/>
              <w:spacing w:after="0"/>
              <w:rPr>
                <w:sz w:val="20"/>
                <w:szCs w:val="20"/>
                <w:color w:val="auto"/>
              </w:rPr>
            </w:pPr>
            <w:r>
              <w:rPr>
                <w:rFonts w:ascii="Arial" w:cs="Arial" w:eastAsia="Arial" w:hAnsi="Arial"/>
                <w:sz w:val="18"/>
                <w:szCs w:val="18"/>
                <w:color w:val="auto"/>
              </w:rPr>
              <w:t>Interest income and other</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626</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 of amounts capitalized</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(223,185)</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5"/>
              </w:rPr>
              <w:t>(224,271)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(201,339)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20"/>
              <w:spacing w:after="0"/>
              <w:rPr>
                <w:sz w:val="20"/>
                <w:szCs w:val="20"/>
                <w:color w:val="auto"/>
              </w:rPr>
            </w:pPr>
            <w:r>
              <w:rPr>
                <w:rFonts w:ascii="Arial" w:cs="Arial" w:eastAsia="Arial" w:hAnsi="Arial"/>
                <w:sz w:val="18"/>
                <w:szCs w:val="18"/>
                <w:color w:val="auto"/>
              </w:rPr>
              <w:t>Increase in swap fair value</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2,260</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extinguishment of debt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(40,435)</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(7,449)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Pr>
          <w:p>
            <w:pPr>
              <w:ind w:left="420"/>
              <w:spacing w:after="0"/>
              <w:rPr>
                <w:sz w:val="20"/>
                <w:szCs w:val="20"/>
                <w:color w:val="auto"/>
              </w:rPr>
            </w:pPr>
            <w:r>
              <w:rPr>
                <w:rFonts w:ascii="Arial" w:cs="Arial" w:eastAsia="Arial" w:hAnsi="Arial"/>
                <w:sz w:val="18"/>
                <w:szCs w:val="18"/>
                <w:color w:val="auto"/>
              </w:rPr>
              <w:t>Equity in income from unconsolidated affiliates</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6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(263,333)</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5"/>
              </w:rPr>
              <w:t>(228,523)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(196,951)</w:t>
            </w: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6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(96,283)</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w w:val="95"/>
              </w:rPr>
              <w:t>(154,496)</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(95,632)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20" w:type="dxa"/>
            <w:vAlign w:val="bottom"/>
            <w:gridSpan w:val="2"/>
          </w:tcPr>
          <w:p>
            <w:pPr>
              <w:spacing w:after="0"/>
              <w:rPr>
                <w:sz w:val="20"/>
                <w:szCs w:val="20"/>
                <w:color w:val="auto"/>
              </w:rPr>
            </w:pPr>
            <w:r>
              <w:rPr>
                <w:rFonts w:ascii="Arial" w:cs="Arial" w:eastAsia="Arial" w:hAnsi="Arial"/>
                <w:sz w:val="18"/>
                <w:szCs w:val="18"/>
                <w:color w:val="auto"/>
              </w:rPr>
              <w:t>Total comprehensive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(96,283)</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w w:val="95"/>
              </w:rPr>
              <w:t>(154,496)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(95,632)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WYNN LAS VEGAS, LLC AND SUBSIDIARIES (A WHOLLY OWNED INDIRECT SUBSIDIARY OF WYNN RESORTS, LIMITED) CONSOLIDATED STATEMENTS OF MEMBER’S EQUITY (DEFICIT) (amounts in thousands)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2011</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1,098,502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Net loss</w:t>
            </w:r>
          </w:p>
        </w:tc>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(95,632)</w:t>
            </w: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Parent company stock-based compensation</w:t>
            </w:r>
          </w:p>
        </w:tc>
        <w:tc>
          <w:tcPr>
            <w:tcW w:w="3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7,437</w:t>
            </w:r>
          </w:p>
        </w:tc>
        <w:tc>
          <w:tcPr>
            <w:tcW w:w="120" w:type="dxa"/>
            <w:vAlign w:val="bottom"/>
            <w:shd w:val="clear" w:color="auto" w:fill="CCEEFF"/>
          </w:tcPr>
          <w:p>
            <w:pPr>
              <w:spacing w:after="0"/>
              <w:rPr>
                <w:sz w:val="18"/>
                <w:szCs w:val="18"/>
                <w:color w:val="auto"/>
              </w:rPr>
            </w:pPr>
          </w:p>
        </w:tc>
      </w:tr>
      <w:tr>
        <w:trPr>
          <w:trHeight w:val="221"/>
        </w:trPr>
        <w:tc>
          <w:tcPr>
            <w:tcW w:w="6760" w:type="dxa"/>
            <w:vAlign w:val="bottom"/>
            <w:gridSpan w:val="2"/>
          </w:tcPr>
          <w:p>
            <w:pPr>
              <w:spacing w:after="0"/>
              <w:rPr>
                <w:sz w:val="20"/>
                <w:szCs w:val="20"/>
                <w:color w:val="auto"/>
              </w:rPr>
            </w:pPr>
            <w:r>
              <w:rPr>
                <w:rFonts w:ascii="Arial" w:cs="Arial" w:eastAsia="Arial" w:hAnsi="Arial"/>
                <w:sz w:val="18"/>
                <w:szCs w:val="18"/>
                <w:color w:val="auto"/>
              </w:rPr>
              <w:t>Balance at December 31, 2011</w:t>
            </w:r>
          </w:p>
        </w:tc>
        <w:tc>
          <w:tcPr>
            <w:tcW w:w="3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1,010,307</w:t>
            </w:r>
          </w:p>
        </w:tc>
        <w:tc>
          <w:tcPr>
            <w:tcW w:w="12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(154,496)</w:t>
            </w: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Parent company stock-based compensation</w:t>
            </w:r>
          </w:p>
        </w:tc>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5,291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Distribution to Wynn Resorts, Limited</w:t>
            </w:r>
          </w:p>
        </w:tc>
        <w:tc>
          <w:tcPr>
            <w:tcW w:w="3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(794,017)</w:t>
            </w:r>
          </w:p>
        </w:tc>
      </w:tr>
      <w:tr>
        <w:trPr>
          <w:trHeight w:val="221"/>
        </w:trPr>
        <w:tc>
          <w:tcPr>
            <w:tcW w:w="6760" w:type="dxa"/>
            <w:vAlign w:val="bottom"/>
            <w:gridSpan w:val="2"/>
          </w:tcPr>
          <w:p>
            <w:pPr>
              <w:spacing w:after="0"/>
              <w:rPr>
                <w:sz w:val="20"/>
                <w:szCs w:val="20"/>
                <w:color w:val="auto"/>
              </w:rPr>
            </w:pPr>
            <w:r>
              <w:rPr>
                <w:rFonts w:ascii="Arial" w:cs="Arial" w:eastAsia="Arial" w:hAnsi="Arial"/>
                <w:sz w:val="18"/>
                <w:szCs w:val="18"/>
                <w:color w:val="auto"/>
              </w:rPr>
              <w:t>Balance at December 31, 2012</w:t>
            </w:r>
          </w:p>
        </w:tc>
        <w:tc>
          <w:tcPr>
            <w:tcW w:w="3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67,085</w:t>
            </w:r>
          </w:p>
        </w:tc>
        <w:tc>
          <w:tcPr>
            <w:tcW w:w="12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(96,283)</w:t>
            </w:r>
          </w:p>
        </w:tc>
      </w:tr>
      <w:tr>
        <w:trPr>
          <w:trHeight w:val="223"/>
        </w:trPr>
        <w:tc>
          <w:tcPr>
            <w:tcW w:w="2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Parent company stock-based compensation</w:t>
            </w:r>
          </w:p>
        </w:tc>
        <w:tc>
          <w:tcPr>
            <w:tcW w:w="3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6,397</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(22,801)</w:t>
            </w: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WYNN LAS VEGAS, LLC AND SUBSIDIARIES (A WHOLLY OWNED INDIRECT SUBSIDIARY OF WYNN RESORTS, LIMITED) CONSOLIDATED STATEMENTS OF CASH FLOWS (amounts in thousands)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Years Ended December 31,</w:t>
            </w: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2"/>
                <w:szCs w:val="12"/>
                <w:color w:val="auto"/>
              </w:rPr>
            </w:pPr>
          </w:p>
        </w:tc>
        <w:tc>
          <w:tcPr>
            <w:tcW w:w="920" w:type="dxa"/>
            <w:vAlign w:val="bottom"/>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Pr>
          <w:p>
            <w:pPr>
              <w:spacing w:after="0"/>
              <w:rPr>
                <w:sz w:val="12"/>
                <w:szCs w:val="12"/>
                <w:color w:val="auto"/>
              </w:rPr>
            </w:pPr>
          </w:p>
        </w:tc>
        <w:tc>
          <w:tcPr>
            <w:tcW w:w="700" w:type="dxa"/>
            <w:vAlign w:val="bottom"/>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(96,283)</w:t>
            </w:r>
          </w:p>
        </w:tc>
        <w:tc>
          <w:tcPr>
            <w:tcW w:w="1340" w:type="dxa"/>
            <w:vAlign w:val="bottom"/>
            <w:gridSpan w:val="3"/>
          </w:tcPr>
          <w:p>
            <w:pPr>
              <w:jc w:val="right"/>
              <w:ind w:right="360"/>
              <w:spacing w:after="0"/>
              <w:rPr>
                <w:sz w:val="20"/>
                <w:szCs w:val="20"/>
                <w:color w:val="auto"/>
              </w:rPr>
            </w:pPr>
            <w:r>
              <w:rPr>
                <w:rFonts w:ascii="Arial" w:cs="Arial" w:eastAsia="Arial" w:hAnsi="Arial"/>
                <w:sz w:val="18"/>
                <w:szCs w:val="18"/>
                <w:color w:val="auto"/>
              </w:rPr>
              <w:t>$(154,496)</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w w:val="90"/>
              </w:rPr>
              <w:t>$ (95,632)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245,119</w:t>
            </w:r>
          </w:p>
        </w:tc>
        <w:tc>
          <w:tcPr>
            <w:tcW w:w="2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250,153</w:t>
            </w:r>
          </w:p>
        </w:tc>
        <w:tc>
          <w:tcPr>
            <w:tcW w:w="42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263,639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6,397</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5,291</w:t>
            </w:r>
          </w:p>
        </w:tc>
        <w:tc>
          <w:tcPr>
            <w:tcW w:w="4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Loss on extinguishment of debt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40,435</w:t>
            </w:r>
          </w:p>
        </w:tc>
        <w:tc>
          <w:tcPr>
            <w:tcW w:w="2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7,449</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and write-offs of deferred financing costs and other</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9,553</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12,449</w:t>
            </w:r>
          </w:p>
        </w:tc>
        <w:tc>
          <w:tcPr>
            <w:tcW w:w="4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Equity in income from unconsolidated affiliates, net of distributions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138</w:t>
            </w:r>
          </w:p>
        </w:tc>
        <w:tc>
          <w:tcPr>
            <w:tcW w:w="2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42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7,534</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18,306</w:t>
            </w:r>
          </w:p>
        </w:tc>
        <w:tc>
          <w:tcPr>
            <w:tcW w:w="4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2,613</w:t>
            </w:r>
          </w:p>
        </w:tc>
        <w:tc>
          <w:tcPr>
            <w:tcW w:w="2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26,332</w:t>
            </w:r>
          </w:p>
        </w:tc>
        <w:tc>
          <w:tcPr>
            <w:tcW w:w="42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14,689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swap fair value</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(2,260)</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(13,493)</w:t>
            </w:r>
          </w:p>
        </w:tc>
        <w:tc>
          <w:tcPr>
            <w:tcW w:w="13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(43,541)</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860"/>
              <w:spacing w:after="0"/>
              <w:rPr>
                <w:sz w:val="20"/>
                <w:szCs w:val="20"/>
                <w:color w:val="auto"/>
              </w:rPr>
            </w:pPr>
            <w:r>
              <w:rPr>
                <w:rFonts w:ascii="Arial" w:cs="Arial" w:eastAsia="Arial" w:hAnsi="Arial"/>
                <w:sz w:val="18"/>
                <w:szCs w:val="18"/>
                <w:color w:val="auto"/>
              </w:rPr>
              <w:t>Inventories and prepaid expenses and other</w:t>
            </w: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(8,822)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3,033</w:t>
            </w:r>
          </w:p>
        </w:tc>
        <w:tc>
          <w:tcPr>
            <w:tcW w:w="42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13,237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(7,014)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31,013</w:t>
            </w:r>
          </w:p>
        </w:tc>
        <w:tc>
          <w:tcPr>
            <w:tcW w:w="4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tcPr>
          <w:p>
            <w:pPr>
              <w:ind w:left="860"/>
              <w:spacing w:after="0"/>
              <w:rPr>
                <w:sz w:val="20"/>
                <w:szCs w:val="20"/>
                <w:color w:val="auto"/>
              </w:rPr>
            </w:pPr>
            <w:r>
              <w:rPr>
                <w:rFonts w:ascii="Arial" w:cs="Arial" w:eastAsia="Arial" w:hAnsi="Arial"/>
                <w:sz w:val="18"/>
                <w:szCs w:val="18"/>
                <w:color w:val="auto"/>
              </w:rPr>
              <w:t>Due to affiliates, net</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16,513</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189,799</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170,300</w:t>
            </w:r>
          </w:p>
        </w:tc>
        <w:tc>
          <w:tcPr>
            <w:tcW w:w="4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227,962</w:t>
            </w:r>
          </w:p>
        </w:tc>
        <w:tc>
          <w:tcPr>
            <w:tcW w:w="0" w:type="dxa"/>
            <w:vAlign w:val="bottom"/>
          </w:tcPr>
          <w:p>
            <w:pPr>
              <w:spacing w:after="0"/>
              <w:rPr>
                <w:sz w:val="1"/>
                <w:szCs w:val="1"/>
                <w:color w:val="auto"/>
              </w:rPr>
            </w:pPr>
          </w:p>
        </w:tc>
      </w:tr>
      <w:tr>
        <w:trPr>
          <w:trHeight w:val="222"/>
        </w:trPr>
        <w:tc>
          <w:tcPr>
            <w:tcW w:w="8320" w:type="dxa"/>
            <w:vAlign w:val="bottom"/>
            <w:gridSpan w:val="2"/>
          </w:tcPr>
          <w:p>
            <w:pPr>
              <w:spacing w:after="0"/>
              <w:rPr>
                <w:sz w:val="20"/>
                <w:szCs w:val="20"/>
                <w:color w:val="auto"/>
              </w:rPr>
            </w:pPr>
            <w:r>
              <w:rPr>
                <w:rFonts w:ascii="Arial" w:cs="Arial" w:eastAsia="Arial" w:hAnsi="Arial"/>
                <w:sz w:val="18"/>
                <w:szCs w:val="18"/>
                <w:color w:val="auto"/>
              </w:rPr>
              <w:t>Cash flows used in investing activities:</w:t>
            </w: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expenditures, net of construction payables and retention</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(63,872)</w:t>
            </w:r>
          </w:p>
        </w:tc>
        <w:tc>
          <w:tcPr>
            <w:tcW w:w="13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(41,552)</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(65,207)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Deposits and purchase of other assets</w:t>
            </w: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(2,347)</w:t>
            </w:r>
          </w:p>
        </w:tc>
        <w:tc>
          <w:tcPr>
            <w:tcW w:w="1340" w:type="dxa"/>
            <w:vAlign w:val="bottom"/>
            <w:gridSpan w:val="3"/>
          </w:tcPr>
          <w:p>
            <w:pPr>
              <w:jc w:val="right"/>
              <w:ind w:right="360"/>
              <w:spacing w:after="0"/>
              <w:rPr>
                <w:sz w:val="20"/>
                <w:szCs w:val="20"/>
                <w:color w:val="auto"/>
              </w:rPr>
            </w:pPr>
            <w:r>
              <w:rPr>
                <w:rFonts w:ascii="Arial" w:cs="Arial" w:eastAsia="Arial" w:hAnsi="Arial"/>
                <w:sz w:val="18"/>
                <w:szCs w:val="18"/>
                <w:color w:val="auto"/>
              </w:rPr>
              <w:t>(2,603)</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(2,348)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(from) to affiliates, net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(6,797)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7,319</w:t>
            </w:r>
          </w:p>
        </w:tc>
        <w:tc>
          <w:tcPr>
            <w:tcW w:w="4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13,728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Proceeds from sale of equipment</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(72,829)</w:t>
            </w:r>
          </w:p>
        </w:tc>
        <w:tc>
          <w:tcPr>
            <w:tcW w:w="13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(36,359)</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(53,572)</w:t>
            </w:r>
          </w:p>
        </w:tc>
        <w:tc>
          <w:tcPr>
            <w:tcW w:w="0" w:type="dxa"/>
            <w:vAlign w:val="bottom"/>
          </w:tcPr>
          <w:p>
            <w:pPr>
              <w:spacing w:after="0"/>
              <w:rPr>
                <w:sz w:val="1"/>
                <w:szCs w:val="1"/>
                <w:color w:val="auto"/>
              </w:rPr>
            </w:pPr>
          </w:p>
        </w:tc>
      </w:tr>
      <w:tr>
        <w:trPr>
          <w:trHeight w:val="222"/>
        </w:trPr>
        <w:tc>
          <w:tcPr>
            <w:tcW w:w="832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on long-term debt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(501,400)</w:t>
            </w:r>
          </w:p>
        </w:tc>
        <w:tc>
          <w:tcPr>
            <w:tcW w:w="13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(372,267)</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500,000</w:t>
            </w:r>
          </w:p>
        </w:tc>
        <w:tc>
          <w:tcPr>
            <w:tcW w:w="2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900,000</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Distributions to parent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(700,025)</w:t>
            </w:r>
          </w:p>
        </w:tc>
        <w:tc>
          <w:tcPr>
            <w:tcW w:w="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Interest rate swap settlement</w:t>
            </w:r>
          </w:p>
        </w:tc>
        <w:tc>
          <w:tcPr>
            <w:tcW w:w="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360"/>
              <w:spacing w:after="0"/>
              <w:rPr>
                <w:sz w:val="20"/>
                <w:szCs w:val="20"/>
                <w:color w:val="auto"/>
              </w:rPr>
            </w:pPr>
            <w:r>
              <w:rPr>
                <w:rFonts w:ascii="Arial" w:cs="Arial" w:eastAsia="Arial" w:hAnsi="Arial"/>
                <w:sz w:val="18"/>
                <w:szCs w:val="18"/>
                <w:color w:val="auto"/>
              </w:rPr>
              <w:t>(2,368)</w:t>
            </w:r>
          </w:p>
        </w:tc>
        <w:tc>
          <w:tcPr>
            <w:tcW w:w="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of financing costs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(32,829)</w:t>
            </w:r>
          </w:p>
        </w:tc>
        <w:tc>
          <w:tcPr>
            <w:tcW w:w="13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(12,265)</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vMerge w:val="restart"/>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3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(34,229)</w:t>
            </w:r>
          </w:p>
        </w:tc>
        <w:tc>
          <w:tcPr>
            <w:tcW w:w="1340" w:type="dxa"/>
            <w:vAlign w:val="bottom"/>
            <w:gridSpan w:val="3"/>
          </w:tcPr>
          <w:p>
            <w:pPr>
              <w:jc w:val="right"/>
              <w:ind w:right="360"/>
              <w:spacing w:after="0"/>
              <w:rPr>
                <w:sz w:val="20"/>
                <w:szCs w:val="20"/>
                <w:color w:val="auto"/>
              </w:rPr>
            </w:pPr>
            <w:r>
              <w:rPr>
                <w:rFonts w:ascii="Arial" w:cs="Arial" w:eastAsia="Arial" w:hAnsi="Arial"/>
                <w:sz w:val="18"/>
                <w:szCs w:val="18"/>
                <w:color w:val="auto"/>
              </w:rPr>
              <w:t>(186,925)</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(25,531)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Increase (decrease) in cash and cash equivalents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82,741</w:t>
            </w:r>
          </w:p>
        </w:tc>
        <w:tc>
          <w:tcPr>
            <w:tcW w:w="240" w:type="dxa"/>
            <w:vAlign w:val="bottom"/>
          </w:tcPr>
          <w:p>
            <w:pPr>
              <w:spacing w:after="0"/>
              <w:rPr>
                <w:sz w:val="18"/>
                <w:szCs w:val="18"/>
                <w:color w:val="auto"/>
              </w:rPr>
            </w:pPr>
          </w:p>
        </w:tc>
        <w:tc>
          <w:tcPr>
            <w:tcW w:w="1340" w:type="dxa"/>
            <w:vAlign w:val="bottom"/>
            <w:gridSpan w:val="3"/>
          </w:tcPr>
          <w:p>
            <w:pPr>
              <w:jc w:val="right"/>
              <w:ind w:right="360"/>
              <w:spacing w:after="0"/>
              <w:rPr>
                <w:sz w:val="20"/>
                <w:szCs w:val="20"/>
                <w:color w:val="auto"/>
              </w:rPr>
            </w:pPr>
            <w:r>
              <w:rPr>
                <w:rFonts w:ascii="Arial" w:cs="Arial" w:eastAsia="Arial" w:hAnsi="Arial"/>
                <w:sz w:val="18"/>
                <w:szCs w:val="18"/>
                <w:color w:val="auto"/>
              </w:rPr>
              <w:t>(52,984)</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148,859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year</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148,415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201,399</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Balance, end of year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231,156</w:t>
            </w:r>
          </w:p>
        </w:tc>
        <w:tc>
          <w:tcPr>
            <w:tcW w:w="2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$ 148,415</w:t>
            </w:r>
          </w:p>
        </w:tc>
        <w:tc>
          <w:tcPr>
            <w:tcW w:w="420" w:type="dxa"/>
            <w:vAlign w:val="bottom"/>
          </w:tcPr>
          <w:p>
            <w:pPr>
              <w:spacing w:after="0"/>
              <w:rPr>
                <w:sz w:val="19"/>
                <w:szCs w:val="19"/>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201,399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disclosures: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Cash paid for interest, net of amounts capitalized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222,188</w:t>
            </w:r>
          </w:p>
        </w:tc>
        <w:tc>
          <w:tcPr>
            <w:tcW w:w="2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$ 203,618</w:t>
            </w:r>
          </w:p>
        </w:tc>
        <w:tc>
          <w:tcPr>
            <w:tcW w:w="42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w w:val="90"/>
              </w:rPr>
              <w:t>$197,949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Golf course and water rights distribution</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93,992</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Change in construction payables and retention</w:t>
            </w: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(662)</w:t>
            </w:r>
          </w:p>
        </w:tc>
        <w:tc>
          <w:tcPr>
            <w:tcW w:w="1340" w:type="dxa"/>
            <w:vAlign w:val="bottom"/>
            <w:gridSpan w:val="3"/>
          </w:tcPr>
          <w:p>
            <w:pPr>
              <w:jc w:val="right"/>
              <w:ind w:right="360"/>
              <w:spacing w:after="0"/>
              <w:rPr>
                <w:sz w:val="20"/>
                <w:szCs w:val="20"/>
                <w:color w:val="auto"/>
              </w:rPr>
            </w:pPr>
            <w:r>
              <w:rPr>
                <w:rFonts w:ascii="Arial" w:cs="Arial" w:eastAsia="Arial" w:hAnsi="Arial"/>
                <w:sz w:val="18"/>
                <w:szCs w:val="18"/>
                <w:color w:val="auto"/>
              </w:rPr>
              <w:t>(6,017)</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(3,479)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Asset transfers from affiliate</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Wynn Las Vegas, LLC was formed on April 17, 2001 as a Nevada limited liability company. Unless the context otherwise requires, all references herein to the “Company” refer to Wynn Las Vegas, LLC, a Nevada limited liability company and its consolidated subsidiaries. The sole member of the Company is Wynn Resorts Holdings, LLC (“Holdings”). The sole member of Holdings is Wynn Resorts, Limited (“Wynn Resorts”). The Company was organized primarily to construct and operate Wynn Las Vegas | Encore (“Wynn Las Vegas”), a fully integrated destination resort and casino on the “Strip” in Las Vegas, Nevada.</w:t>
      </w:r>
    </w:p>
    <w:p>
      <w:pPr>
        <w:spacing w:after="0" w:line="113"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Wynn Las Vegas Capital Corp. (“Wynn Capital”) is a wholly owned subsidiary of the Company incorporated on June 3, 2002, solely for the purpose of obtaining financing for Wynn Las Vegas. Wynn Capital is authorized to issue 2,000 shares of common stock, par value $0.01. At December 31, 2013, the Company owned the one share that was issued and outstanding. Wynn Capital has neither any significant net assets nor has had any operating activity. Its sole function is to serve as the co-issuer of the mortgage notes described below. Wynn Las Vegas, LLC and Wynn Capital together are hereinafter referred to as the “Issuers”.</w:t>
      </w:r>
    </w:p>
    <w:p>
      <w:pPr>
        <w:spacing w:after="0" w:line="218" w:lineRule="exact"/>
        <w:rPr>
          <w:sz w:val="20"/>
          <w:szCs w:val="20"/>
          <w:color w:val="auto"/>
        </w:rPr>
      </w:pPr>
    </w:p>
    <w:p>
      <w:pPr>
        <w:ind w:right="7920" w:firstLine="8"/>
        <w:spacing w:after="0" w:line="347" w:lineRule="auto"/>
        <w:tabs>
          <w:tab w:leader="none" w:pos="176"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i w:val="1"/>
          <w:iCs w:val="1"/>
          <w:color w:val="auto"/>
        </w:rPr>
        <w:t>Principles of Consolidation</w:t>
      </w:r>
    </w:p>
    <w:p>
      <w:pPr>
        <w:spacing w:after="0" w:line="2"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The accompanying consolidated financial statements include the accounts of the Company and its wholly owned subsidiaries. The Company’s investment in the 50%-owned joint venture operating the Ferrari and Maserati automobile dealership inside Wynn Las Vegas is accounted for under the equity method. All significant intercompany accounts and transactions have been eliminated. Certain amounts in the consolidated financial statements for the previous periods have been reclassified to be consistent with the current period presentation. These reclassifications had no effect on the previously reported net loss.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Cash and cash equivalents are comprised of highly liquid investments with purchase maturities of three months or less. Cash equivalents are carried at cost, which approximates fair value.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and Credit Risk</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At December 31, 2013 and 2012, approximately 82% and 78%, respectively, of the Company’s markers were due from customers residing outside the United States, primarily in Asia. Business or economic conditions or other significant events in these countries could affect the collectability of such receivables.</w:t>
      </w:r>
    </w:p>
    <w:p>
      <w:pPr>
        <w:spacing w:after="0" w:line="113"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Accounts are written off when management deems them to be uncollectible. Recoveries of accounts previously written off are recorded when received. An estimated allowance for doubtful accounts is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maintained to reduce the Company’s receivables to their carrying amount, which approximates fair value. The allowance is estimated based on specific review of customer accounts as well as management’s experience with collection trends in the casino industry and current economic and business conditions. In June 2013, the Company recorded an adjustment to its reserve estimates for casino accounts receivable based on the results of historical collection patterns and current collection trends. This adjustment benefitted operating income and net loss by $12.2 million for the year ended December 31, 2013. The Company recorded a similar adjustment to its reserve estimates for casino accounts receivable in June 2012 based on the results of historical collection patterns and current collection trends. For the year ended December 31, 2012, this adjustment benefitted operating income and net loss by $9.6 million.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Inventories consist of retail merchandise, food and beverage items, which are stated at the lower of cost or market value, and certain operating supplies.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Cost is determined by the first-in, first-out, average and specific identification methods.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Purchases of property and equipment are stated at cost. Depreciation is provided over the estimated useful lives of the assets using the straight-line method as follows:</w:t>
      </w:r>
    </w:p>
    <w:p>
      <w:pPr>
        <w:sectPr>
          <w:pgSz w:w="11900" w:h="16838" w:orient="portrait"/>
          <w:cols w:equalWidth="0" w:num="1">
            <w:col w:w="11360"/>
          </w:cols>
          <w:pgMar w:left="240" w:top="459" w:right="299" w:bottom="1440" w:gutter="0" w:footer="0" w:header="0"/>
        </w:sectPr>
      </w:pPr>
    </w:p>
    <w:p>
      <w:pPr>
        <w:spacing w:after="0" w:line="17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Buildings and improvements</w:t>
      </w:r>
    </w:p>
    <w:p>
      <w:pPr>
        <w:spacing w:after="0" w:line="15"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Land improvements</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Airplane</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Furniture, fixtures and equipment</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10 to 45 years</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10 to 45 years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18 years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3 to 20 years</w:t>
      </w:r>
    </w:p>
    <w:p>
      <w:pPr>
        <w:spacing w:after="0" w:line="188" w:lineRule="exact"/>
        <w:rPr>
          <w:sz w:val="20"/>
          <w:szCs w:val="20"/>
          <w:color w:val="auto"/>
        </w:rPr>
      </w:pPr>
    </w:p>
    <w:p>
      <w:pPr>
        <w:sectPr>
          <w:pgSz w:w="11900" w:h="16838" w:orient="portrait"/>
          <w:cols w:equalWidth="0" w:num="2">
            <w:col w:w="7380" w:space="720"/>
            <w:col w:w="3260"/>
          </w:cols>
          <w:pgMar w:left="240" w:top="459" w:right="299" w:bottom="1440" w:gutter="0" w:footer="0" w:header="0"/>
          <w:type w:val="continuous"/>
        </w:sectPr>
      </w:pPr>
    </w:p>
    <w:p>
      <w:pPr>
        <w:ind w:firstLine="456"/>
        <w:spacing w:after="0" w:line="259" w:lineRule="auto"/>
        <w:rPr>
          <w:sz w:val="20"/>
          <w:szCs w:val="20"/>
          <w:color w:val="auto"/>
        </w:rPr>
      </w:pPr>
      <w:r>
        <w:rPr>
          <w:rFonts w:ascii="Arial" w:cs="Arial" w:eastAsia="Arial" w:hAnsi="Arial"/>
          <w:sz w:val="18"/>
          <w:szCs w:val="18"/>
          <w:color w:val="auto"/>
        </w:rPr>
        <w:t>Costs related to improvements are capitalized, while costs of building repairs and maintenance are charged to expense as incurred. The cost and accumulated depreciation of property and equipment retired or otherwise disposed of are eliminated from the respective accounts and any resulting gain or loss is included in operating loss.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Interest</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interest cost associated with major development and construction projects is capitalized and included in the cost of the project. Interest capitalization ceases once a project is substantially complete or no longer undergoing construction activities to prepare it for its intended use. When no debt is specifically identified as being incurred in connection with a construction project, the Company capitalizes interest on amounts expended on the project at the Company’s weighted average cost of borrowed money. There was no interest capitalized during the years ended December 31, 2013, 2012 and 2011.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Intangibles</w:t>
      </w:r>
    </w:p>
    <w:p>
      <w:pPr>
        <w:spacing w:after="0" w:line="9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Company’s indefinite-lived intangible assets consist primarily of trademarks. Indefinite-lived intangible assets are not amortized, but are reviewed for impairment annually. The Company’s finite-lived intangible assets consist of show production rights. Finite-lived intangible assets are amortized over the shorter of their contractual terms or estimated useful lives.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9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Long-lived assets, which are not to be disposed of, including intangibles and property and equipment, are periodically reviewed by management for impairment whenever events or changes in circumstances indicate that</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459" w:right="29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carrying value of the asset may not be recoverable. For assets to be held and used, the Company reviews these assets for impairment whenever indicators of impairment exist. If an indicator of impairment exists, the Company compares the estimated future cash flows of the asset, on an undiscounted basis, to the carrying value of the asset. If the undiscounted cash flows exceed the carrying value, no impairment is indicated. If the undiscounted cash flows do not exceed the carrying value, then impairment is measured as the difference between fair value and carrying value, with fair value typically based on a discounted cash flow model. If an asset is still under development, future cash flows include remaining construction costs.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Financing Costs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Direct and incremental costs incurred in obtaining loans or in connection with the issuance of long-term debt are capitalized and amortized to interest expense over the terms of the related debt agreements. Approximately $4.4 million, $5.2 million and $6.1 million was amortized to interest expense during the years ended December 31, 2013, 2012 and 2011, respectively. Debt discounts incurred in connection with the issuance of debt have been capitalized and are being amortized to interest expense using the effective interest method.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Company has managed its market risk, including interest rate risk associated with variable rate borrowings, through balancing fixed-rate and variable-rate borrowings with the use of derivative financial instruments. The fair value of derivative financial instruments are recognized as assets or liabilities at each balance sheet date, with changes in fair value affecting net income (loss) or comprehensive income (loss) as applicable. The Company’s interest rate swaps did not qualify for hedge accounting. Accordingly, changes in the fair value of the interest rate swaps are presented as an increase (decrease) in fair value of swaps in the accompanying Consolidated Statements of Operations and Comprehensive Loss.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 recognizes revenues at the time persuasive evidence of an arrangement exists, the service is provided or the retail goods are sold, prices are fixed or determinable and collection is reasonably assured.</w:t>
      </w:r>
    </w:p>
    <w:p>
      <w:pPr>
        <w:spacing w:after="0" w:line="132"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Casino revenues are measured by the aggregate net difference between gaming wins and losses, with liabilities recognized for funds deposited by customers before gaming play occurs and for chips in the customers’ possession. Hotel, food and beverage, entertainment and other operating revenues are recognized when services are performed. Entertainment, retail, and other revenue include rental income which is recognized on a time proportion basis over the lease terms. Contingent rental income is recognized when the right to receive such rental income is established according to the lease agreements. Advance deposits on rooms and advance ticket sales are recorded as customer deposits until services are provided to the customer.</w:t>
      </w:r>
    </w:p>
    <w:p>
      <w:pPr>
        <w:spacing w:after="0" w:line="1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Revenues are recognized net of certain sales incentives which are required to be recorded as a reduction of revenues; consequently, the Company’s casino revenues are reduced by discounts and points earned in the player’s club loyalty program.</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revenues and then deducted as promotional allowances. The estimated cost of providing such promotional allowances is primarily included in casino expenses as follows (amounts in thousands):</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w w:val="88"/>
              </w:rPr>
              <w:t>Years Ended December 31,</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3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2013</w:t>
            </w:r>
          </w:p>
        </w:tc>
        <w:tc>
          <w:tcPr>
            <w:tcW w:w="5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2012</w:t>
            </w:r>
          </w:p>
        </w:tc>
        <w:tc>
          <w:tcPr>
            <w:tcW w:w="5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6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Rooms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37,728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36,974</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36,160</w:t>
            </w: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Food and beverage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63,008</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58,566</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57,420</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12,353</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13,740</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15,231</w:t>
            </w:r>
          </w:p>
        </w:tc>
        <w:tc>
          <w:tcPr>
            <w:tcW w:w="100" w:type="dxa"/>
            <w:vAlign w:val="bottom"/>
            <w:shd w:val="clear" w:color="auto" w:fill="CCEEFF"/>
          </w:tcPr>
          <w:p>
            <w:pPr>
              <w:spacing w:after="0"/>
              <w:rPr>
                <w:sz w:val="18"/>
                <w:szCs w:val="18"/>
                <w:color w:val="auto"/>
              </w:rPr>
            </w:pPr>
          </w:p>
        </w:tc>
      </w:tr>
      <w:tr>
        <w:trPr>
          <w:trHeight w:val="222"/>
        </w:trPr>
        <w:tc>
          <w:tcPr>
            <w:tcW w:w="63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113,089</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109,280</w:t>
            </w:r>
          </w:p>
        </w:tc>
        <w:tc>
          <w:tcPr>
            <w:tcW w:w="50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108,811</w:t>
            </w:r>
          </w:p>
        </w:tc>
      </w:tr>
      <w:tr>
        <w:trPr>
          <w:trHeight w:val="20"/>
        </w:trPr>
        <w:tc>
          <w:tcPr>
            <w:tcW w:w="6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 Loyalty Program</w:t>
      </w:r>
    </w:p>
    <w:p>
      <w:pPr>
        <w:spacing w:after="0" w:line="9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Company offers a slot club program whereby customers may earn points based on their level of play that may be redeemed for free credit that must be replayed in the slot machine. The Company accrues a liability based on the points earned times the redemption value, less an estimate for breakage, and records a related reduction in casino revenue.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Slot Machine Jackpots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does not accrue a liability for base jackpots because it has the ability to avoid such payment as slot machines can legally be removed from the gaming floor without payment of the base amount. When the Company is unable to avoid payment of the jackpot (i.e., the incremental amount on a progressive slot machine) due to legal requirements, the jackpot is accrued as the obligation becomes unavoidable. This liability is accrued over the time period in which the incremental progressive jackpot amount is generated with a related reduction in casino revenue.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Gaming Taxes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is subject to taxes based on gross gaming revenue in the jurisdictions in which it operates, subject to applicable jurisdictional adjustments.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These gaming taxes are an assessment on the Company’s gaming revenue and are recorded as an expense within the “Casino” line item in the accompanying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Consolidated Statements of Operations and Comprehensive Loss. These taxes totaled $49.1 million, $41.8 million and $43.9 million for the years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2012 and 2011, respectively.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Costs</w:t>
      </w:r>
    </w:p>
    <w:p>
      <w:pPr>
        <w:spacing w:after="0" w:line="90" w:lineRule="exact"/>
        <w:rPr>
          <w:sz w:val="20"/>
          <w:szCs w:val="20"/>
          <w:color w:val="auto"/>
        </w:rPr>
      </w:pPr>
    </w:p>
    <w:p>
      <w:pPr>
        <w:ind w:right="200" w:firstLine="456"/>
        <w:spacing w:after="0" w:line="370" w:lineRule="auto"/>
        <w:rPr>
          <w:sz w:val="20"/>
          <w:szCs w:val="20"/>
          <w:color w:val="auto"/>
        </w:rPr>
      </w:pPr>
      <w:r>
        <w:rPr>
          <w:rFonts w:ascii="Arial" w:cs="Arial" w:eastAsia="Arial" w:hAnsi="Arial"/>
          <w:sz w:val="15"/>
          <w:szCs w:val="15"/>
          <w:color w:val="auto"/>
        </w:rPr>
        <w:t>The Company expenses advertising costs the first time the advertising takes place. Advertising costs are primarily included in general and administrative expenses. Total advertising costs were $16.7 million, $19.5 million and $16.3 million for the years ended December 31, 2013, 2012 and 2011,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is organized as a limited liability company with one member. As a limited liability company, the Company is considered a flow-through entity for U.S. income tax purposes resulting in its owner being obligated for any taxes resulting from its operations. Accordingly, no provision has been made for federal income taxes as such taxes are the responsibility of its member.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Resorts’ Equity Instruments Issued to Employees</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Accounting standards require an entity to measure the cost of employee services received in exchange for an award of equity instruments based on the grant-date fair value of the award and recognize that cost over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8"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service period. The Company uses the Black-Scholes valuation model to determine the estimated fair value for each option grant issued. The Black-Scholes determined fair value net of estimated forfeitures is amortized as compensation cost on a straight line basis over the service period.</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Further information on the Company’s stock-based compensation arrangements is included in Note 10 “Benefit Plans—Stock-Based Compensation”.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February 2013, the Financial Accounting Standards Board (“FASB”) issued an accounting standards update that amends the presentation requirements for reclassifications out of accumulated other comprehensive income. The amendment would require an entity to present amounts reclassified out of accumulated other comprehensive income by component either on the face of the statement where net income is presented or in the notes. The adoption of this update did not have a material impact on the Company’s financial statements.</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July 2012, the FASB issued an accounting standards update that is intended to simplify the guidance for testing the decline in the realizable value (impairment) of indefinite-lived intangible assets other than goodwill. The update allows for the consideration of qualitative factors in determining whether it is necessary to perform quantitative impairment tests. The effective date for this update is for the years and interim impairment tests performed for years beginning after September 15, 2012. The adoption of this guidance did not have a material effect on the Company’s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Receivables,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Receivables, net consisted of the following (amounts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6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84"/>
              </w:rPr>
              <w:t>As of December 31,</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Borders>
              <w:top w:val="single" w:sz="8" w:color="auto"/>
            </w:tcBorders>
            <w:gridSpan w:val="2"/>
          </w:tcPr>
          <w:p>
            <w:pPr>
              <w:ind w:left="200"/>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3"/>
          </w:tcPr>
          <w:p>
            <w:pPr>
              <w:jc w:val="right"/>
              <w:ind w:right="112"/>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Casino</w:t>
            </w:r>
          </w:p>
        </w:tc>
        <w:tc>
          <w:tcPr>
            <w:tcW w:w="7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5"/>
              </w:rPr>
              <w:t>$190,199</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$190,528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Hotel</w:t>
            </w:r>
          </w:p>
        </w:tc>
        <w:tc>
          <w:tcPr>
            <w:tcW w:w="1860" w:type="dxa"/>
            <w:vAlign w:val="bottom"/>
            <w:gridSpan w:val="4"/>
          </w:tcPr>
          <w:p>
            <w:pPr>
              <w:jc w:val="right"/>
              <w:spacing w:after="0"/>
              <w:rPr>
                <w:sz w:val="20"/>
                <w:szCs w:val="20"/>
                <w:color w:val="auto"/>
              </w:rPr>
            </w:pPr>
            <w:r>
              <w:rPr>
                <w:rFonts w:ascii="Arial" w:cs="Arial" w:eastAsia="Arial" w:hAnsi="Arial"/>
                <w:sz w:val="18"/>
                <w:szCs w:val="18"/>
                <w:color w:val="auto"/>
              </w:rPr>
              <w:t>15,300</w:t>
            </w:r>
          </w:p>
        </w:tc>
        <w:tc>
          <w:tcPr>
            <w:tcW w:w="2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16,914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Retail leases and other</w:t>
            </w:r>
          </w:p>
        </w:tc>
        <w:tc>
          <w:tcPr>
            <w:tcW w:w="1180" w:type="dxa"/>
            <w:vAlign w:val="bottom"/>
            <w:gridSpan w:val="2"/>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16,089</w:t>
            </w: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8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1860" w:type="dxa"/>
            <w:vAlign w:val="bottom"/>
            <w:gridSpan w:val="4"/>
          </w:tcPr>
          <w:p>
            <w:pPr>
              <w:jc w:val="right"/>
              <w:spacing w:after="0"/>
              <w:rPr>
                <w:sz w:val="20"/>
                <w:szCs w:val="20"/>
                <w:color w:val="auto"/>
              </w:rPr>
            </w:pPr>
            <w:r>
              <w:rPr>
                <w:rFonts w:ascii="Arial" w:cs="Arial" w:eastAsia="Arial" w:hAnsi="Arial"/>
                <w:sz w:val="18"/>
                <w:szCs w:val="18"/>
                <w:color w:val="auto"/>
              </w:rPr>
              <w:t>221,588</w:t>
            </w:r>
          </w:p>
        </w:tc>
        <w:tc>
          <w:tcPr>
            <w:tcW w:w="22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226,676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38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1180" w:type="dxa"/>
            <w:vAlign w:val="bottom"/>
            <w:gridSpan w:val="2"/>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(52,854)</w:t>
            </w:r>
          </w:p>
        </w:tc>
        <w:tc>
          <w:tcPr>
            <w:tcW w:w="11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(64,281)</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38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186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168,734</w:t>
            </w:r>
          </w:p>
        </w:tc>
        <w:tc>
          <w:tcPr>
            <w:tcW w:w="22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162,395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jc w:val="right"/>
              <w:ind w:right="4332"/>
              <w:spacing w:after="0"/>
              <w:rPr>
                <w:sz w:val="20"/>
                <w:szCs w:val="20"/>
                <w:color w:val="auto"/>
              </w:rPr>
            </w:pPr>
            <w:r>
              <w:rPr>
                <w:rFonts w:ascii="Arial" w:cs="Arial" w:eastAsia="Arial" w:hAnsi="Arial"/>
                <w:sz w:val="18"/>
                <w:szCs w:val="18"/>
                <w:b w:val="1"/>
                <w:bCs w:val="1"/>
                <w:color w:val="auto"/>
                <w:w w:val="88"/>
              </w:rPr>
              <w:t>4. Property and Equipment, net</w:t>
            </w: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80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800" w:type="dxa"/>
            <w:vAlign w:val="bottom"/>
            <w:gridSpan w:val="2"/>
          </w:tcPr>
          <w:p>
            <w:pPr>
              <w:jc w:val="right"/>
              <w:ind w:right="652"/>
              <w:spacing w:after="0"/>
              <w:rPr>
                <w:sz w:val="20"/>
                <w:szCs w:val="20"/>
                <w:color w:val="auto"/>
              </w:rPr>
            </w:pPr>
            <w:r>
              <w:rPr>
                <w:rFonts w:ascii="Arial" w:cs="Arial" w:eastAsia="Arial" w:hAnsi="Arial"/>
                <w:sz w:val="18"/>
                <w:szCs w:val="18"/>
                <w:color w:val="auto"/>
                <w:w w:val="95"/>
              </w:rPr>
              <w:t>Property and equipment, net consisted of the following (amounts in thousands):</w:t>
            </w: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3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80" w:type="dxa"/>
            <w:vAlign w:val="bottom"/>
            <w:gridSpan w:val="7"/>
          </w:tcPr>
          <w:p>
            <w:pPr>
              <w:ind w:left="2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Borders>
              <w:top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3"/>
          </w:tcPr>
          <w:p>
            <w:pPr>
              <w:jc w:val="right"/>
              <w:ind w:right="212"/>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Land and improvements</w:t>
            </w:r>
          </w:p>
        </w:tc>
        <w:tc>
          <w:tcPr>
            <w:tcW w:w="7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   623,744</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   622,942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2,633,106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2,626,384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Airplane</w:t>
            </w: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44,364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44,364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1,368,014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1,336,661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740" w:type="dxa"/>
            <w:vAlign w:val="bottom"/>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4,619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8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4,673,847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4,632,869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38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7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w w:val="95"/>
              </w:rPr>
              <w:t>(1,640,963)</w:t>
            </w:r>
          </w:p>
        </w:tc>
        <w:tc>
          <w:tcPr>
            <w:tcW w:w="22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(1,417,264)</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38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$ 3,032,884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$ 3,215,605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jc w:val="right"/>
              <w:ind w:right="912"/>
              <w:spacing w:after="0"/>
              <w:rPr>
                <w:sz w:val="20"/>
                <w:szCs w:val="20"/>
                <w:color w:val="auto"/>
              </w:rPr>
            </w:pPr>
            <w:r>
              <w:rPr>
                <w:rFonts w:ascii="Arial" w:cs="Arial" w:eastAsia="Arial" w:hAnsi="Arial"/>
                <w:sz w:val="18"/>
                <w:szCs w:val="18"/>
                <w:color w:val="auto"/>
              </w:rPr>
              <w:t>46</w:t>
            </w:r>
          </w:p>
        </w:tc>
        <w:tc>
          <w:tcPr>
            <w:tcW w:w="7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80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Depreciation expense for the years ended December 31, 2013, 2012 and 2011 was $243.8 million, $246.4 million and $257.8 million, respectively.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Intangibles,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Intangibles, net consisted of the following (amounts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0"/>
              </w:rPr>
              <w:t>Show</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Production</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7"/>
              </w:rPr>
              <w:t>Water</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Intangibles,</w:t>
            </w:r>
          </w:p>
        </w:tc>
        <w:tc>
          <w:tcPr>
            <w:tcW w:w="0" w:type="dxa"/>
            <w:vAlign w:val="bottom"/>
          </w:tcPr>
          <w:p>
            <w:pPr>
              <w:spacing w:after="0"/>
              <w:rPr>
                <w:sz w:val="1"/>
                <w:szCs w:val="1"/>
                <w:color w:val="auto"/>
              </w:rPr>
            </w:pPr>
          </w:p>
        </w:tc>
      </w:tr>
      <w:tr>
        <w:trPr>
          <w:trHeight w:val="161"/>
        </w:trPr>
        <w:tc>
          <w:tcPr>
            <w:tcW w:w="5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7"/>
              </w:rPr>
              <w:t>Rights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77"/>
              </w:rPr>
              <w:t>Rights</w:t>
            </w:r>
          </w:p>
        </w:tc>
        <w:tc>
          <w:tcPr>
            <w:tcW w:w="28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Trademarks</w:t>
            </w:r>
          </w:p>
        </w:tc>
        <w:tc>
          <w:tcPr>
            <w:tcW w:w="140" w:type="dxa"/>
            <w:vAlign w:val="bottom"/>
          </w:tcPr>
          <w:p>
            <w:pPr>
              <w:spacing w:after="0"/>
              <w:rPr>
                <w:sz w:val="14"/>
                <w:szCs w:val="14"/>
                <w:color w:val="auto"/>
              </w:rPr>
            </w:pPr>
          </w:p>
        </w:tc>
        <w:tc>
          <w:tcPr>
            <w:tcW w:w="6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210"/>
        </w:trPr>
        <w:tc>
          <w:tcPr>
            <w:tcW w:w="5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January 1, 2012</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2,934</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6,400</w:t>
            </w:r>
          </w:p>
        </w:tc>
        <w:tc>
          <w:tcPr>
            <w:tcW w:w="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center"/>
              <w:ind w:left="32"/>
              <w:spacing w:after="0"/>
              <w:rPr>
                <w:sz w:val="20"/>
                <w:szCs w:val="20"/>
                <w:color w:val="auto"/>
              </w:rPr>
            </w:pPr>
            <w:r>
              <w:rPr>
                <w:rFonts w:ascii="Arial" w:cs="Arial" w:eastAsia="Arial" w:hAnsi="Arial"/>
                <w:sz w:val="18"/>
                <w:szCs w:val="18"/>
                <w:color w:val="auto"/>
                <w:w w:val="88"/>
              </w:rPr>
              <w:t>1,399</w:t>
            </w:r>
          </w:p>
        </w:tc>
        <w:tc>
          <w:tcPr>
            <w:tcW w:w="7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10,733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Amortization</w:t>
            </w:r>
          </w:p>
        </w:tc>
        <w:tc>
          <w:tcPr>
            <w:tcW w:w="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(2,071)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56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(2,071)</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Distribution to parent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(6,400)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(6,400)</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8"/>
                <w:szCs w:val="18"/>
                <w:b w:val="1"/>
                <w:bCs w:val="1"/>
                <w:color w:val="auto"/>
              </w:rPr>
              <w:t>December 31, 2012</w:t>
            </w: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7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863</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center"/>
              <w:ind w:right="620"/>
              <w:spacing w:after="0"/>
              <w:rPr>
                <w:sz w:val="20"/>
                <w:szCs w:val="20"/>
                <w:color w:val="auto"/>
              </w:rPr>
            </w:pPr>
            <w:r>
              <w:rPr>
                <w:rFonts w:ascii="Arial" w:cs="Arial" w:eastAsia="Arial" w:hAnsi="Arial"/>
                <w:sz w:val="18"/>
                <w:szCs w:val="18"/>
                <w:color w:val="auto"/>
                <w:w w:val="88"/>
              </w:rPr>
              <w:t>1,399</w:t>
            </w:r>
          </w:p>
        </w:tc>
        <w:tc>
          <w:tcPr>
            <w:tcW w:w="14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2,262</w:t>
            </w:r>
          </w:p>
        </w:tc>
        <w:tc>
          <w:tcPr>
            <w:tcW w:w="0" w:type="dxa"/>
            <w:vAlign w:val="bottom"/>
          </w:tcPr>
          <w:p>
            <w:pPr>
              <w:spacing w:after="0"/>
              <w:rPr>
                <w:sz w:val="1"/>
                <w:szCs w:val="1"/>
                <w:color w:val="auto"/>
              </w:rPr>
            </w:pPr>
          </w:p>
        </w:tc>
      </w:tr>
      <w:tr>
        <w:trPr>
          <w:trHeight w:val="218"/>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8"/>
                <w:szCs w:val="18"/>
                <w:b w:val="1"/>
                <w:bCs w:val="1"/>
                <w:color w:val="auto"/>
              </w:rPr>
              <w:t>December 31, 2013</w:t>
            </w: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4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center"/>
              <w:ind w:right="620"/>
              <w:spacing w:after="0"/>
              <w:rPr>
                <w:sz w:val="20"/>
                <w:szCs w:val="20"/>
                <w:color w:val="auto"/>
              </w:rPr>
            </w:pPr>
            <w:r>
              <w:rPr>
                <w:rFonts w:ascii="Arial" w:cs="Arial" w:eastAsia="Arial" w:hAnsi="Arial"/>
                <w:sz w:val="18"/>
                <w:szCs w:val="18"/>
                <w:color w:val="auto"/>
                <w:w w:val="88"/>
              </w:rPr>
              <w:t>1,399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Show production rights represent the amounts paid to purchase the rights to present the “Le Rêve” production show. The Company completed amortization of show production rights of $0.9 million in the first half of 2013.</w:t>
      </w:r>
    </w:p>
    <w:p>
      <w:pPr>
        <w:spacing w:after="0" w:line="132"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Water rights reflect the fair value allocation determined in the purchase of the property on which Wynn Las Vegas is located in April 2000. On September 18, 2012, the Company distributed to Wynn Resorts, Limited, the Wynn Las Vegas water rights valued at $6.4 million. The value of the trademarks primarily represents the costs to acquire the “Le Rêve” name. The trademarks are indefinite-lived assets and, accordingly, not amortized.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Long-Term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consisted of the following (amounts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120" w:type="dxa"/>
            <w:vAlign w:val="bottom"/>
            <w:tcBorders>
              <w:bottom w:val="single" w:sz="8" w:color="CCEEFF"/>
            </w:tcBorders>
          </w:tcPr>
          <w:p>
            <w:pPr>
              <w:spacing w:after="0"/>
              <w:rPr>
                <w:sz w:val="12"/>
                <w:szCs w:val="12"/>
                <w:color w:val="auto"/>
              </w:rPr>
            </w:pPr>
          </w:p>
        </w:tc>
        <w:tc>
          <w:tcPr>
            <w:tcW w:w="82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7</w:t>
            </w:r>
          </w:p>
        </w:tc>
        <w:tc>
          <w:tcPr>
            <w:tcW w:w="82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7/8% First Mortgage Notes, net of original issue discount of $7,384 at December 31, 2012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492,616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20" w:type="dxa"/>
            <w:vAlign w:val="bottom"/>
          </w:tcPr>
          <w:p>
            <w:pPr>
              <w:spacing w:after="0"/>
              <w:rPr>
                <w:sz w:val="20"/>
                <w:szCs w:val="20"/>
                <w:color w:val="auto"/>
              </w:rPr>
            </w:pPr>
            <w:r>
              <w:rPr>
                <w:rFonts w:ascii="Arial" w:cs="Arial" w:eastAsia="Arial" w:hAnsi="Arial"/>
                <w:sz w:val="18"/>
                <w:szCs w:val="18"/>
                <w:color w:val="auto"/>
                <w:w w:val="99"/>
              </w:rPr>
              <w:t>7</w:t>
            </w:r>
          </w:p>
        </w:tc>
        <w:tc>
          <w:tcPr>
            <w:tcW w:w="8280" w:type="dxa"/>
            <w:vAlign w:val="bottom"/>
          </w:tcPr>
          <w:p>
            <w:pPr>
              <w:ind w:left="20"/>
              <w:spacing w:after="0"/>
              <w:rPr>
                <w:sz w:val="20"/>
                <w:szCs w:val="20"/>
                <w:color w:val="auto"/>
              </w:rPr>
            </w:pPr>
            <w:r>
              <w:rPr>
                <w:rFonts w:ascii="Arial" w:cs="Arial" w:eastAsia="Arial" w:hAnsi="Arial"/>
                <w:sz w:val="18"/>
                <w:szCs w:val="18"/>
                <w:color w:val="auto"/>
                <w:w w:val="92"/>
              </w:rPr>
              <w:t>7/8% First Mortgage Notes, due May 1, 2020, net of original issue discount of $1,884 at December 31, 2013 and</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8280" w:type="dxa"/>
            <w:vAlign w:val="bottom"/>
          </w:tcPr>
          <w:p>
            <w:pPr>
              <w:ind w:left="100"/>
              <w:spacing w:after="0"/>
              <w:rPr>
                <w:sz w:val="20"/>
                <w:szCs w:val="20"/>
                <w:color w:val="auto"/>
              </w:rPr>
            </w:pPr>
            <w:r>
              <w:rPr>
                <w:rFonts w:ascii="Arial" w:cs="Arial" w:eastAsia="Arial" w:hAnsi="Arial"/>
                <w:sz w:val="18"/>
                <w:szCs w:val="18"/>
                <w:color w:val="auto"/>
              </w:rPr>
              <w:t>$2,102 at December 31, 2012</w:t>
            </w:r>
          </w:p>
        </w:tc>
        <w:tc>
          <w:tcPr>
            <w:tcW w:w="1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350,126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349,908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7</w:t>
            </w:r>
          </w:p>
        </w:tc>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3/4% First Mortgage Notes, due August 15, 2020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1,320,000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1,320,000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w w:val="99"/>
              </w:rPr>
              <w:t>5</w:t>
            </w:r>
          </w:p>
        </w:tc>
        <w:tc>
          <w:tcPr>
            <w:tcW w:w="8280" w:type="dxa"/>
            <w:vAlign w:val="bottom"/>
          </w:tcPr>
          <w:p>
            <w:pPr>
              <w:ind w:left="20"/>
              <w:spacing w:after="0"/>
              <w:rPr>
                <w:sz w:val="20"/>
                <w:szCs w:val="20"/>
                <w:color w:val="auto"/>
              </w:rPr>
            </w:pPr>
            <w:r>
              <w:rPr>
                <w:rFonts w:ascii="Arial" w:cs="Arial" w:eastAsia="Arial" w:hAnsi="Arial"/>
                <w:sz w:val="18"/>
                <w:szCs w:val="18"/>
                <w:color w:val="auto"/>
              </w:rPr>
              <w:t>3/8% First Mortgage Notes, due March 15, 2022</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900,000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4</w:t>
            </w:r>
          </w:p>
        </w:tc>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1/4% Senior Notes, due May 30, 2023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00" w:type="dxa"/>
            <w:vAlign w:val="bottom"/>
            <w:gridSpan w:val="2"/>
          </w:tcPr>
          <w:p>
            <w:pPr>
              <w:spacing w:after="0"/>
              <w:rPr>
                <w:sz w:val="20"/>
                <w:szCs w:val="20"/>
                <w:color w:val="auto"/>
              </w:rPr>
            </w:pPr>
            <w:r>
              <w:rPr>
                <w:rFonts w:ascii="Arial" w:cs="Arial" w:eastAsia="Arial" w:hAnsi="Arial"/>
                <w:sz w:val="18"/>
                <w:szCs w:val="18"/>
                <w:color w:val="auto"/>
              </w:rPr>
              <w:t>$42 million Note Payable due April 1, 2017; interest at LIBOR plus 1.25%</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32,550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33,950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Payable to Affiliate</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0" w:type="dxa"/>
            <w:vAlign w:val="bottom"/>
          </w:tcPr>
          <w:p>
            <w:pPr>
              <w:spacing w:after="0"/>
              <w:rPr>
                <w:sz w:val="19"/>
                <w:szCs w:val="19"/>
                <w:color w:val="auto"/>
              </w:rPr>
            </w:pPr>
          </w:p>
        </w:tc>
        <w:tc>
          <w:tcPr>
            <w:tcW w:w="8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3,132,676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3,126,474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21"/>
        </w:trPr>
        <w:tc>
          <w:tcPr>
            <w:tcW w:w="120" w:type="dxa"/>
            <w:vAlign w:val="bottom"/>
          </w:tcPr>
          <w:p>
            <w:pPr>
              <w:spacing w:after="0"/>
              <w:rPr>
                <w:sz w:val="19"/>
                <w:szCs w:val="19"/>
                <w:color w:val="auto"/>
              </w:rPr>
            </w:pPr>
          </w:p>
        </w:tc>
        <w:tc>
          <w:tcPr>
            <w:tcW w:w="8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3,131,626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3,125,424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280" w:type="dxa"/>
            <w:vAlign w:val="bottom"/>
            <w:vMerge w:val="restart"/>
          </w:tcPr>
          <w:p>
            <w:pPr>
              <w:ind w:left="504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20" w:type="dxa"/>
            <w:vAlign w:val="bottom"/>
          </w:tcPr>
          <w:p>
            <w:pPr>
              <w:spacing w:after="0"/>
              <w:rPr>
                <w:sz w:val="24"/>
                <w:szCs w:val="24"/>
                <w:color w:val="auto"/>
              </w:rPr>
            </w:pPr>
          </w:p>
        </w:tc>
        <w:tc>
          <w:tcPr>
            <w:tcW w:w="82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7 7/8% First Mortgage Notes</w:t>
      </w:r>
    </w:p>
    <w:p>
      <w:pPr>
        <w:spacing w:after="0" w:line="17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October 2009, the Issuers issued, in a private offering, $500 million aggregate principal amount of 7 7/8% first mortgage notes due November 1, 2017 (the “2017 Notes”) at a price of 97.823% of the principal amount. Interest is due on the 2017 Notes on May 1st and November 1st of each year. Commencing November 1, 2013, the 2017 Notes are redeemable at the Issuers’ option at a price equal to 103.938% of the principal amount redeemed and the premium over the principal amount declines ratably on November 1st of each year thereafter to zero on or after November 1, 2015. The 2017 Notes are senior obligations of the Issuers and are unsecured (except by the first priority pledge by Wynn Resorts Holdings, LLC of its equity interests in Wynn Las Vegas, LLC (the “Holdings pledge”)). The Issuers’ obligations under the 2017 Notes rank pari passu in right of payment with the 7 7/8% 2020 Notes (as defined below), the 7 3/4% 2020 Notes (as defined below) and the 2022 Notes (as defined below). The 2017 Notes are not guaranteed by any of our subsidiaries. If the Issuers undergo a change of control, they must offer to repurchase the 2017 Notes at 101% of the principal amount, plus accrued and unpaid interest. The indenture governing the 2017 Notes contains customary negative covenants and financial covenants, including, but not limited to, covenants that restrict Wynn Las Vegas, LLC’s ability to: pay dividends or distributions or repurchase equity; incur additional debt; make investments; create liens on assets to secure debt; enter into transactions with affiliates; enter into sale-leaseback transactions; merge or consolidate with another company; transfer and sell assets or create dividend and other payment restrictions affecting subsidiaries.</w:t>
      </w:r>
    </w:p>
    <w:p>
      <w:pPr>
        <w:spacing w:after="0" w:line="124"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On May 15, 2013, the Company, commenced a cash tender offer (the “tender offer”) for any and all of the outstanding $500 million aggregate principal amount of the 2017 Notes and a solicitation of consents to certain proposed amendments to the indenture (the “2017 Indenture”) governing the 2017 Notes.</w:t>
      </w:r>
    </w:p>
    <w:p>
      <w:pPr>
        <w:spacing w:after="0" w:line="8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tender offer expired on May 21, 2013 and at the time of expiration, the Company received valid tenders with respect to approximately $274.7 million of the $500 million aggregate principal amount of the 2017 Notes outstanding. On May 22, 2013, note holders who validly tendered their 2017 Notes received the total consideration of $1,071.45 for each $1,000 principal amount of 2017 Notes, the premium portion of which totaled approximately $19.6 million. In accordance with accounting standards, the tender offer premium was expensed and is included in loss on extinguishment of debt in the accompanying Consolidated Statements of Operations and Comprehensive Loss. In addition, upon the tender offer completion, the Issuers entered into a supplemental indenture, which eliminated substantially all of the restrictive covenants and certain events of default from the 2017 Indenture.</w:t>
      </w:r>
    </w:p>
    <w:p>
      <w:pPr>
        <w:spacing w:after="0" w:line="12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Also in connection with this transaction, the Company expensed $6.7 million of unamortized debt issue costs and original issue discount related to the 2017 Notes and incurred other fees of approximately $0.3 million that are included in loss on extinguishment of debt in the accompanying Consolidated Statements of Operations and Comprehensive Loss.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November 1, 2013, the Company redeemed the untendered 2017 Notes principal amount of $225.3 million. The redemption price was equal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103.938% of the aggregate principal amount of the 2017 Notes plus accrued and unpaid interest on November 1, 2013. The total redemption fees paid were $8.9</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million and the Company expensed $4.9 million of unamortized financing costs and original issue discount.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7 7/8% First Mortgage Notes due 2020</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April 2010, the Issuers issued, in a private offering, $382 million aggregate principal amount of 7 7/8% first mortgage notes due May 1, 2020 (the “7 7/8% 2020 Notes”) of which Wynn Resorts owns a face amount of $30 million. The 7 7/8% 2020 Notes were issued pursuant to an exchange offer for previously issued notes that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were to mature in December 2014. Interest is due on the 7 7/8% 2020 Notes on May 1st and November 1st of each year. Commencing May 1, 2015, the 7 7/8% 2020 Notes are redeemable at the Issuers’ option at a price equal to 103.938% of the principal amount redeemed and the premium over the principal amount declines ratably on May 1st of each year thereafter to zero on or after May 1, 2018. The 7 7/8% 2020 Notes are senior obligations of the Issuers and are unsecured (except by the Holdings pledge). The Issuers’ obligations under the 7 7/8% 2020 Notes rank pari passu in right of payment with the 7 3/4% 2020 Notes (as defined below), the 2022 Notes (as defined below) and the 2023 Notes (as defined below). The 7 7/8% 2020 Notes are not guaranteed by any of our subsidiaries. If the Issuers undergo a change of control, they must offer to repurchase the 7 7/8% 2020 Notes at 101% of the principal amount, plus accrued and unpaid interest. The indenture governing the 7 7/8% 2020 Notes contains customary negative covenants and financial covenants, including, but not limited to, covenants that restrict Wynn Las Vegas’s ability to: pay dividends or distributions or repurchase equity; incur additional debt; make investments; create liens on assets to secure debt; enter into transactions with affiliates; enter into sale-leaseback transactions; merge or consolidate with another company; transfer and sell assets or create dividend and other payment restrictions affecting subsidiaries.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7 3/4% First Mortgage Notes due 2020</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August 2010, the Issuers issued $1.32 billion aggregate principal amount of 7 3/4% first mortgage notes due August 15, 2020 (the “7 3/4% 2020 Notes”). The 7 3/4% 2020 Notes were issued at par. The 7 3/4% 2020 Notes refinanced a previous notes issue that was to mature in December 2014. Interest is due on the 7 3/4% 2020 Notes on February 15th and August 15th of each year. Commencing August 15, 2015, the 7 3/4% 2020 Notes are redeemable at the Issuers’ option at a price equal to 103.875% of the principal amount redeemed and the premium over the principal amount declines ratably on August 15th of each year thereafter to zero on or after August 15, 2018. The 7 3/4% 2020 Notes are senior obligations of the Issuers and are unsecured (except by the Holdings pledge). The Issuers’ obligations under the 7 3/4% 2020 Notes rank pari passu in right of payment with the 7 7/8% 2020 Notes, the 2022 Notes (as defined below) and the 2023 Notes (as defined below). The 7 3/4% 2020 Notes are not guaranteed by any of our subsidiaries. If the Issuers undergo a change of control, they must offer to repurchase the 7 3/4% 2020 Notes at 101% of the principal amount, plus accrued and unpaid interest. The indenture governing the 7 3/4% 2020 Notes contains customary negative covenants and financial covenants, including, but not limited to, covenants that restrict Wynn Las Vegas’s ability to: pay dividends or distributions or repurchase equity; incur additional debt; make investments; create liens on assets to secure debt; enter into transactions with affiliates; enter into sale-leaseback transactions; merge or consolidate with another company; transfer and sell assets or create dividend and other payment restrictions affecting subsidiaries.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 3/8</w:t>
      </w:r>
      <w:r>
        <w:rPr>
          <w:rFonts w:ascii="Arial" w:cs="Arial" w:eastAsia="Arial" w:hAnsi="Arial"/>
          <w:sz w:val="18"/>
          <w:szCs w:val="18"/>
          <w:color w:val="auto"/>
        </w:rPr>
        <w:t>%</w:t>
      </w:r>
      <w:r>
        <w:rPr>
          <w:rFonts w:ascii="Arial" w:cs="Arial" w:eastAsia="Arial" w:hAnsi="Arial"/>
          <w:sz w:val="18"/>
          <w:szCs w:val="18"/>
          <w:i w:val="1"/>
          <w:iCs w:val="1"/>
          <w:color w:val="auto"/>
        </w:rPr>
        <w:t xml:space="preserve"> First Mortgage Notes due 2022</w:t>
      </w:r>
    </w:p>
    <w:p>
      <w:pPr>
        <w:spacing w:after="0" w:line="171"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In March 2012, the Issuers issued, in a private offering, $900 million aggregate principal amount of 5 3/8% first mortgage notes due 2022 (the “2022 Notes”). A portion of the proceeds were used to repay all amounts outstanding under the Wynn Las Vegas term loan facilities. In October 2012, the Issuers commenced an offer to exchange all of the 2022 Notes for notes registered under the Securities Act of 1933, as amended. The exchange offer closed on November 6, 2012. Interest is due on the 2022 Notes on March 15th and September 15th of each year. Commencing March 15, 2017, the 2022 Notes are redeemable at the Issuers’ option at a price equal to 102.688% of the principal amount redeemed and the premium over the principal amount declines ratably on March 15th of each year thereafter to zero on or after March 15, 2022. The 2022 Notes are senior obligations of the Issuers and are unsecured (except by the Holdings pledge). The Issuers’ obligations under the 2022 Notes rank pari passu in right of payment with the 7 7/8% 2020 Notes, the 7 3/4% 2020 Notes and the 2023 Notes (as defined below). The 2022 Notes are not guaranteed by any of our subsidiaries. If the Issuers undergo a change of control, they must offer to repurchase the 2022 Notes at 101% of the principal amount, plus accrued and unpaid interest. The indenture governing the 2022 Notes contains customary negative covenants and financial covenants,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8"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including, but not limited to, covenants that restrict Wynn Las Vegas, LLC’s ability to: pay dividends or distributions or repurchase equity; incur additional debt; make investments; create liens on assets to secure debt; enter into transactions with affiliates; enter into sale-leaseback transactions; merge or consolidate with another company; transfer and sell assets or create dividend and other payment restrictions affecting subsidiaries.</w:t>
      </w:r>
    </w:p>
    <w:p>
      <w:pPr>
        <w:spacing w:after="0" w:line="107"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In September 2012, as discussed below, the Wynn Las Vegas Credit Agreement (as defined below) was terminated, and in accordance with the respective Indentures, the liens (other than the Holdings pledge) on the assets of Wynn Las Vegas, LLC and its subsidiaries securing, and the subsidiary guarantees of, the 2017 Notes, the 7 7/8% 2020 Notes, the 7 3/4% 2020 Notes and the 2022 Notes were released.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 1/4% Senior Notes due 2023</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On May 22, 2013, the Issuers completed the issuance of $500 million aggregate principal amount of 4 1/4% Senior Notes due 2023 (the “2023 Notes”) pursuant to an indenture, dated as of May 22, 2013 (the “2023 Indenture”), among the Issuers, the Guarantors (as defined below) and U.S. Bank National Association, as trustee. The 2023 Notes were issued at par. The Issuers used the net proceeds from the 2023 Notes to cover the cost of purchasing the 2017 Notes tendered in the tender offer. In addition, the Issuers satisfied and discharged the 2017 Indenture and, in November 2013, used the remaining net proceeds to redeem any and all of the 2017 Notes not previously tendered. In connection with the issuance of the 2023 Notes, the Company capitalized approximately $4.1 million of financing costs.</w:t>
      </w:r>
    </w:p>
    <w:p>
      <w:pPr>
        <w:spacing w:after="0" w:line="144"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2023 Notes will mature on May 30, 2023 and bear interest at the rate of 4 1/4% per annum. The Issuers may, at their option, redeem the 2023 Notes, in whole or in part, at any time or from time to time prior to their stated maturity. The redemption price for 2023 Notes that are redeemed before February 28, 2023 will be equal to the greater of (a) 100% of the principal amount of the 2023 Notes to be redeemed or (b) a “make-whole” amount described in the 2023 Indenture, plus in either case accrued and unpaid interest to, but not including, the redemption date. The redemption price for the 2023 Notes that are redeemed on or after February 28, 2023 will be equal to 100% of the principal amount of the 2023 Notes to be redeemed, plus accrued and unpaid interest to, but not including, the redemption date. In the event of a change of control triggering event, the Issuers will be required to offer to repurchase the 2023 Notes at 101% of the principal amount, plus accrued and unpaid interest to but not including the repurchase date. The 2023 Notes are also subject to mandatory redemption requirements imposed by gaming laws and regulations of gaming authorities in Nevada.</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2023 Notes are the Issuers’ senior unsecured obligations and rank pari passu in right of payment with the Issuers’ outstanding 7 7/8 % 2020 Notes, 7 3/4% 2020 Notes and the 2022 Notes and, together the (“Existing Notes”). The 2023 Notes are secured by a first priority pledge of the Company’s equity interests, the effectiveness of which is subject to the prior approval of the Nevada gaming authorities. The equity interests of the Company also secure the Existing Notes. If Wynn Resorts, Limited receives an investment grade rating from one or more ratings agencies, the first priority pledge securing the 2023 Notes will be released.</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2023 Notes are jointly and severally guaranteed by all of the Issuers’ subsidiaries, other than Wynn Las Vegas Capital Corp. which was a co-issuer (the “Guarantors”). The guarantees are senior unsecured obligations of the Guarantors and rank senior in right of payment to all of their existing and future subordinated debt. The guarantees rank equally in right of payment with all existing and future liabilities of the Guarantors that are not so subordinated and will be effectively subordinated in right of payment to all of such Guarantors’ existing and future secured debt (to the extent of the collateral securing such debt).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2023 Indenture contains covenants limiting the Issuers’ and the Guarantor’s ability to create liens on assets to secure debt; enter into sale-leaseback transactions; and merge or consolidate with another company. These covenants are subject to a number of important and significant limitations, qualifications and exceptions.</w:t>
      </w:r>
    </w:p>
    <w:p>
      <w:pPr>
        <w:spacing w:after="0" w:line="140"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Events of default under the 2023 Indenture include, among others, the following: default for 30 days in the payment when due of interest on the 2023 Notes; default in payment when due of the principal of, or premium, if any, on the 2023 Notes; failure to comply with certain covenants in the 2023 Indenture; and certain events of bankruptcy or insolvency. In the case of an event of default arising from certain events of bankruptcy or insolvency with respect to the Issuers or any Guarantor, all 2023 Notes then outstanding will become due and payable immediately without further action or notice.</w:t>
      </w:r>
    </w:p>
    <w:p>
      <w:pPr>
        <w:spacing w:after="0" w:line="11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2023 Notes were offered pursuant to an exemption under the Securities Act of 1933, as amended (the “Securities Act”). The 2023 Notes were offered only to qualified institutional buyers in reliance on Rule 144A under the Securities Act or outside the United States to certain persons in reliance on Regulation S under the Securities Act. The 2023 Notes have not been and will not be registered under the Securities Act of 1933 or under any state securities laws. Therefore, the 2023 Notes may not be offered or sold within the United States to, or for the account or benefit of, any United States person unless the offer or sale would qualify for a registration exemption from the Securities Act and applicable state securities laws.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Cross Claim</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As described in Note 11—“Commitments and Contingencies”, Elaine Wynn has submitted a cross claim against Steve Wynn and Kazuo Okada in relation to ongoing litigation. The indentures for the Issuers 7 7/8% 2020 Notes, 7 3/4% 2020 Notes (the “2020 Indentures”) and the indenture for the Issuers 2023 Notes (the “2023 Indenture,” and, together with the 2020 Indentures, the “Indentures”) provide that if Stephen A. Wynn, together with certain related parties, in the aggregate beneficially owns a lesser percentage of the outstanding common stock of Wynn Resorts than are beneficially owned by any other person, a change of control will have occurred. If Elaine Wynn prevails in her cross claim, Stephen A. Wynn would not beneficially own or control Elaine Wynn’s shares and a change in control may result under the Company’s debt documents. Under the 2020 Indentures, the occurrence of a change of control requires that the Company make an offer to each holder to repurchase all or any part of such holder’s notes at a purchase price equal to 101% of the aggregate principal amount thereof plus accrued and unpaid interest on the notes purchased, if any, to the date of repurchase (unless the notes have been previously called for redemption). Under the 2023 Indenture, if a change of control occurs and within 60 days after that occurrence the 4 1/4% senior notes are rated below investment grade by both rating agencies that rate such notes, the Company is required to make an offer to each holder to repurchase all or any part of such holder’s notes at a purchase price equal to 101% of the aggregate principal amount thereof plus accrued and unpaid interest on the notes purchased, if any, to the date of repurchase (unless the notes have been previously called for redemption). Mr. Wynn is opposing Ms. Wynn’s cross claim.</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$42 Million Note Payable for Aircraft</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On March 30, 2007, World Travel, LLC, a subsidiary of Wynn Las Vegas, entered into a loan agreement with a principal balance of $42 million. The loan is guaranteed by Wynn Las Vegas, LLC and secured by a first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priority security interest in the Company’s aircraft. Principal payments of $350,000 plus interest are made quarterly with a balloon payment of $28 million due at maturity, April 1, 2017. Interest is calculated at 90-day LIBOR plus 125 basis points.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March 2012, the Company entered into an eighth amendment (“Amendment No. 8”) to our Amended and Restated Credit Agreement, dated as of August 15, 2006 (as amended, the “Wynn Las Vegas Credit Agreement”). Amendment No. 8 amended the Wynn Las Vegas Credit Agreement to, among other things, permit the issuance of the 2022 Notes. Concurrently with the issuance of the 2022 Notes, the Company prepaid all term loans under the Wynn Las Vegas Credit Agreement, terminated all of its revolving credit commitments that were due to expire in 2013, and terminated all but $100 million of its revolving credit commitments expiring in 2015. In connection with this transaction, the Company expensed deferred financing fees of $4.8 million, all related to the Wynn Las Vegas term loan and revolving credit facilities.</w:t>
      </w:r>
    </w:p>
    <w:p>
      <w:pPr>
        <w:spacing w:after="0" w:line="144"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September 2012, the Company terminated the Wynn Las Vegas Credit Agreement. No loans were outstanding under the Wynn Las Vegas Credit Agreement at the time of termination. Prior to such termination, certain letters of credit in which lenders had participated pursuant to the Wynn Las Vegas Credit Agreement were reallocated to a separate, unsecured letter of credit facility provided by Deutsche Bank, A.G. Wynn Las Vegas did not incur any early termination penalties related to the termination.</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connection with the termination, the Company expensed $2.6 million of previously deferred financing costs and third party fees related to the Wynn Las Vegas Credit Agreement.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Long-term Debt</w:t>
      </w:r>
    </w:p>
    <w:p>
      <w:pPr>
        <w:spacing w:after="0" w:line="9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estimated fair value of the Company’s long-term debt as of December 31, 2013 and 2012 was approximately $3.3 billion and $3.5 billion, respectively compared to its carrying value of $3.1 billion and $3.1 billion, respectively. The estimated fair value of the Company’s long-term debt is based on recent trades, if available and indicative pricing from market information (level 2 inputs).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Scheduled Maturities of Long-Term Debt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Scheduled maturities of long-term debt including the accretion of debt discounts of $1.9 million are as follows (amounts in thousands):</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700" w:type="dxa"/>
            <w:vAlign w:val="bottom"/>
            <w:gridSpan w:val="2"/>
          </w:tcPr>
          <w:p>
            <w:pPr>
              <w:spacing w:after="0"/>
              <w:rPr>
                <w:sz w:val="20"/>
                <w:szCs w:val="20"/>
                <w:color w:val="auto"/>
              </w:rPr>
            </w:pPr>
            <w:r>
              <w:rPr>
                <w:rFonts w:ascii="Arial" w:cs="Arial" w:eastAsia="Arial" w:hAnsi="Arial"/>
                <w:sz w:val="14"/>
                <w:szCs w:val="14"/>
                <w:b w:val="1"/>
                <w:bCs w:val="1"/>
                <w:color w:val="auto"/>
                <w:w w:val="91"/>
              </w:rPr>
              <w:t>Years Ending December 31,</w:t>
            </w:r>
          </w:p>
        </w:tc>
        <w:tc>
          <w:tcPr>
            <w:tcW w:w="5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2014</w:t>
            </w:r>
          </w:p>
        </w:tc>
        <w:tc>
          <w:tcPr>
            <w:tcW w:w="5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2015</w:t>
            </w:r>
          </w:p>
        </w:tc>
        <w:tc>
          <w:tcPr>
            <w:tcW w:w="5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5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2017</w:t>
            </w:r>
          </w:p>
        </w:tc>
        <w:tc>
          <w:tcPr>
            <w:tcW w:w="5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28,700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5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Thereafter</w:t>
            </w:r>
          </w:p>
        </w:tc>
        <w:tc>
          <w:tcPr>
            <w:tcW w:w="5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3,102,010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3,134,560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120" w:type="dxa"/>
            <w:vAlign w:val="bottom"/>
            <w:vMerge w:val="restart"/>
          </w:tcPr>
          <w:p>
            <w:pPr>
              <w:jc w:val="right"/>
              <w:ind w:right="2772"/>
              <w:spacing w:after="0"/>
              <w:rPr>
                <w:sz w:val="20"/>
                <w:szCs w:val="20"/>
                <w:color w:val="auto"/>
              </w:rPr>
            </w:pPr>
            <w:r>
              <w:rPr>
                <w:rFonts w:ascii="Arial" w:cs="Arial" w:eastAsia="Arial" w:hAnsi="Arial"/>
                <w:sz w:val="18"/>
                <w:szCs w:val="18"/>
                <w:color w:val="auto"/>
              </w:rPr>
              <w:t>52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1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Interest Rate Swap</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June 2012, the Company terminated its only outstanding interest rate swap for a payment of $2.4 million. The Company had entered into floating-for-fixed interest rate swap arrangements in order to manage interest rate risk relating to certain of its debt facilities. This interest rate swap agreement modified the Company’s exposure to interest rate risk by converting a portion of the Company’s floating-rate debt to a fixed rate. This interest rate swap essentially fixed the interest rate at the percentage noted below; however, changes in the fair value of the interest rate swap for each reporting period have been recorded as an increase (decrease) in swap fair value in the accompanying Consolidated Statements of Operations and Comprehensive Loss as the interest rate swap did not qualify for hedge accounting.</w:t>
      </w:r>
    </w:p>
    <w:p>
      <w:pPr>
        <w:spacing w:after="0" w:line="14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measured the fair value of its interest rate swap on a recurring basis pursuant to accounting standards for fair value measurements. These standards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The Company categorizes this interest rate swap as Level 2.</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Company’s interest rate swap agreement intended to hedge a portion of the underlying interest rate risk on borrowings under the Wynn Las Vegas credit facilities. Under this swap agreement, the Company paid a fixed interest rate of 2.485% on borrowings of $250 million incurred under the Wynn Las Vegas credit facilities in exchange for receipts on the same amount at a variable interest rate based on the applicable LIBOR at the time of payment. This interest rate swap fixed the interest rate on $250 million of borrowings at approximately 5.485%.</w:t>
      </w:r>
    </w:p>
    <w:p>
      <w:pPr>
        <w:spacing w:after="0" w:line="218" w:lineRule="exact"/>
        <w:rPr>
          <w:sz w:val="20"/>
          <w:szCs w:val="20"/>
          <w:color w:val="auto"/>
        </w:rPr>
      </w:pPr>
    </w:p>
    <w:p>
      <w:pPr>
        <w:ind w:right="8840" w:firstLine="8"/>
        <w:spacing w:after="0" w:line="391" w:lineRule="auto"/>
        <w:tabs>
          <w:tab w:leader="none" w:pos="176"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Related Party Transactions, net </w:t>
      </w:r>
      <w:r>
        <w:rPr>
          <w:rFonts w:ascii="Arial" w:cs="Arial" w:eastAsia="Arial" w:hAnsi="Arial"/>
          <w:sz w:val="16"/>
          <w:szCs w:val="16"/>
          <w:i w:val="1"/>
          <w:iCs w:val="1"/>
          <w:color w:val="auto"/>
        </w:rPr>
        <w:t>Amounts Due to Affiliates, net</w:t>
      </w:r>
    </w:p>
    <w:p>
      <w:pPr>
        <w:spacing w:after="0" w:line="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As of December 31, 2013, the Company’s current due to affiliates, net was comprised of $6.7 million (including corporate allocations discussed below) and $3.5 million of construction related payables. The long-term due to affiliates is management fees of $170.1 million (equal to 1.5% of net revenues and payable upon meeting certain leverage ratios as specified in the documents governing the Company’s first mortgage notes indentures).</w:t>
      </w:r>
    </w:p>
    <w:p>
      <w:pPr>
        <w:spacing w:after="0" w:line="107"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As of December 31, 2012, the Company’s current due to affiliates, net was comprised of $33.7 million including corporate allocations discussed below and $4.1 million of construction related payables. The long-term due to affiliates was management fees of $146.3 million (equal to 1.5% of net revenues and payable upon meeting certain leverage ratios as specified in the documents governing the Company’s first mortgage notes indentures).</w:t>
      </w:r>
    </w:p>
    <w:p>
      <w:pPr>
        <w:spacing w:after="0" w:line="107"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Company periodically settles amounts due to affiliates with cash receipts and payments, except for the management fee, which is payable upon meeting certain leverage ratios specified in the documents governing the first mortgage notes indentures.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Allocations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accompanying Consolidated Statements of Operations and Comprehensive Loss include allocations from Wynn Resorts for legal, accounting, human resource, information services, real estate, and other corporate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8"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support services. The corporate support service allocations have been determined on a basis that Wynn Resorts and the Company consider to be reasonable estimates of the utilization of service provided or the benefit received by the Company. Wynn Resorts maintains corporate offices at Wynn Las Vegas without charge from the Company. The Company settles these corporate allocation charges with Wynn Resorts on a periodic basis as discussed in “Amounts Due to Affiliates, net” above. During the years ended December 31, 2013, 2012 and 2011, $26.3 million, $26.2 million and $28.6 million, respectively, was charged to the Company for such corporate allocations.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Due to Officers, net</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periodically provides services to Stephen A. Wynn, Chairman of the Board, Chief Executive Officer and one of the principal stockholders of Wynn Resorts (“Mr. Wynn”), and certain other executive officers and directors of Wynn Resorts. These services include household services, construction work and other personal services. The cost of these services is transferred to Wynn Resorts, Limited on a periodic basis. Mr. Wynn and these other officers and directors have amounts on deposit with Wynn Resorts to prepay any such items, which are replenished on an ongoing basis as needed.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Villa Lease</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On March 18, 2010, Mr. Wynn and the Company entered into an Amended and Restated Agreement of Lease (the “Prior SW Lease”) for a villa to serve as Mr. Wynn’s personal residence. The Prior SW Lease amended and restated a previous lease. The Prior SW Lease was approved by the Audit Committee of the Board of Directors of the Company. The term of the Prior SW Lease commenced as of March 1, 2010 and ran concurrent with Mr. Wynn’s employment agreement with the Company; provided that either party could terminate on 90 days’ notice. Pursuant to the Prior SW Lease, the rental value of the villa was treated as imputed income to Mr. Wynn, and was equal to the fair market value of the accommodations provided. Effective March 1, 2010, and for the first two years of the term of the Prior SW Lease, the rental value was $503,831 per year. Effective March 1, 2012, the rental value was $440,000 per year.</w:t>
      </w:r>
    </w:p>
    <w:p>
      <w:pPr>
        <w:spacing w:after="0" w:line="12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On May 7, 2013, the Company entered into a 2013 Amended and Restated Agreement of Lease (the “Existing SW Lease”), effective December 29, 2012, to include an expansion of the villa and to adjust the rental value accordingly to $525,000 per year based on the current fair market value as established by the Audit Committee of the Company with the assistance of an independent third-party appraisal.</w:t>
      </w:r>
    </w:p>
    <w:p>
      <w:pPr>
        <w:spacing w:after="0" w:line="14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On November 7, 2013, Mr. Wynn and the Company entered into a 2013 Second Amended and Restated Agreement of Lease (the “New SW Lease”) amending and restating the Existing SW Lease, effective as of November 5, 2013. The New SW Lease was approved by the Audit Committee of the Board of Directors of Wynn Resorts. Pursuant to the New SW Lease, effective as of November 5, 2013 and ending on February 28, 2015, Mr. Wynn will pay the Company annual rent for the villa of $525,000, which amount was determined to be the fair market value of the accommodations based on a third-party appraisal and which is consistent with the rental value under the Existing SW Lease. In addition, pursuant to the New SW Lease, the Company pays for all capital improvements to the villa and will reimburse Mr. Wynn for all amounts he previously paid the Company for capital improvements to the villa in 2012 and 2013. The rental value for the villa will be re-determined every two years during the term of the New SW Lease by the Audit Committee. Certain services for, and maintenance of, the villa are included in the rental.</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“Wynn” Surname Rights Agreement</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August 6, 2004, Holdings entered into agreements with Mr. Wynn that confirm and clarify Holding’s rights to use the “Wynn” name and Mr. Wynn’s persona in connection with casino resorts. Under the parties’ Surname Rights Agreement, Mr. Wynn granted Holdings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Holdings the exclusive, royalty-free, worldwide right to use his full name, persona and related rights of publicity for casino resorts and related businesses, together with the ability to sublicense the persona and publicity rights to its affiliates, until October 24, 2017. Holdings has sub-licensed rights to the “Wynn” name, persona and marks to the Company.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Golf Course Lease</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September 18, 2012, the Company distributed to Wynn Resorts, Limited, the Wynn Las Vegas golf course land and the related water rights. Commencing September 18, 2012, the Company leases approximately 140 acres (upon which the golf course is located) and water rights from Wynn Resorts. The term of this lease is on a month-to-month basis provided, however, that either party may terminate this lease by providing written notice of such termination to the other party no later than thirty (30) days prior to the expiration of any monthly period. The combined rental value for both the golf course land and the water rights is $598,000 per month.</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Property Charges and Other</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Property charges and other for the years ended December 31, 2013, 2012 and 2011, were $12.2 million, $29.6 million and $16.6 million, respectively. In response to the Company’s evaluation of its resort and the reactions of its guests, the Company makes enhancements and refinements to the resort. Costs relating to assets retired as a result of these enhancement and remodel efforts have been expensed as property charges.</w:t>
      </w:r>
    </w:p>
    <w:p>
      <w:pPr>
        <w:spacing w:after="0" w:line="10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Property charges and other for the year ended December 31, 2013 included fees associated with the termination of a contract, miscellaneous renovations and abandonments at our resort and entertainment development costs.</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Property charges and other for the year ended December 31, 2012 include a remodel of one of our restaurants, charges associated with the termination of a show that ended its run in November 2012, and miscellaneous renovations and abandonments at our resort.</w:t>
      </w:r>
    </w:p>
    <w:p>
      <w:pPr>
        <w:spacing w:after="0" w:line="132"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Property charges and other for the year ended December 31, 2011 include the write off of certain off-site golf memberships, miscellaneous renovations and abandonments, including modifications of the Encore retail esplanade, closure of a nightclub and the write off of certain costs related to a show that ended its run in April 2011.</w:t>
      </w:r>
    </w:p>
    <w:p>
      <w:pPr>
        <w:spacing w:after="0" w:line="215" w:lineRule="exact"/>
        <w:rPr>
          <w:sz w:val="20"/>
          <w:szCs w:val="20"/>
          <w:color w:val="auto"/>
        </w:rPr>
      </w:pPr>
    </w:p>
    <w:p>
      <w:pPr>
        <w:ind w:right="9760" w:firstLine="8"/>
        <w:spacing w:after="0" w:line="417" w:lineRule="auto"/>
        <w:tabs>
          <w:tab w:leader="none" w:pos="263" w:val="left"/>
        </w:tabs>
        <w:numPr>
          <w:ilvl w:val="0"/>
          <w:numId w:val="2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Benefit Plans </w:t>
      </w:r>
      <w:r>
        <w:rPr>
          <w:rFonts w:ascii="Arial" w:cs="Arial" w:eastAsia="Arial" w:hAnsi="Arial"/>
          <w:sz w:val="15"/>
          <w:szCs w:val="15"/>
          <w:i w:val="1"/>
          <w:iCs w:val="1"/>
          <w:color w:val="auto"/>
        </w:rPr>
        <w:t>Employee Savings Plan</w:t>
      </w:r>
    </w:p>
    <w:p>
      <w:pPr>
        <w:spacing w:after="0" w:line="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Wynn Resorts established a retirement savings plan under Section 401(k) of the Internal Revenue Code covering its non-union employees in July 2000. The plan allows employees to defer, within prescribed limits, a percentage of their income on a pre-tax basis through contributions to this plan. On April 30, 2013, the Company announced a 401(k) plan match for the 2013 plan year. For the 2013 plan year, the Company matched 50% of</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employee contributions, up to 6% of their paychecks, with a one-time annual matching cap of $500 per employee. The company expensed $1.2 million related to this match as of December 31, 2013. The Company suspended matching contributions to this plan effective March 2009 and no amounts were expensed during the years ended December 31, 2012, 2011.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Multi-employer pension plan</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Wynn Las Vegas contributes to a multi-employer defined benefit pension plan for certain of its union employees under the terms of the Southern Nevada Culinary and Bartenders Union collective-bargaining agreement. The collective-bargaining agreement that covers these union-represented employees expires in 2016. The legal name of the multi-employer pension plan is the Southern Nevada Culinary and Bartenders Pension Plan (the “Plan”) (EIN: 88-6016617 Plan Number: 001). The Company recorded an expense of $9 million, $8.6 million and $7.6 million for contributions to the Plan for the years ended December 31, 2013, 2012 and 2011, respectively. For the 2012 plan year, the most recent for which plan data is available, the Company’s contributions were identified by the Plan to exceed 5% of total contributions for that year. Based on the information we received from the Plan, it was certified to be in neither endangered nor critical status for the 2012 plan year. Risks of participating in a multi-employer plan differs from single-employer plans for the following reasons: (1) assets contributed to a multi-employer plan by one employer may be used to provide benefits to employees of other participating employers; (2) if a participating employer stops contributing to the plan, the unfunded obligations of the plan may be borne by the remaining participating employers; and (3) if a participating employer stops participating, it may be required to pay those plans an amount based on the underfunded status of the plan, referred to as a withdrawal liability.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90"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Wynn Resorts established the 2002 Stock Incentive Plan (the “Stock Plan”) which provides for the grant of (i) Incentive Stock Options, (ii) compensatory (i.e. nonqualified) stock options, and (iii) nonvested shares of Wynn Resorts’ common stock for employees, directors and independent contractors or consultants of Wynn Resorts and its subsidiaries, including the Company. However, only employees are eligible to receive incentive stock options.</w:t>
      </w:r>
    </w:p>
    <w:p>
      <w:pPr>
        <w:spacing w:after="0" w:line="10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total compensation cost relating both to stock options and nonvested stock for the years ended December 31, 2013, 2012 and 2011 is allocated as follows (amounts in thousands):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86"/>
              </w:rPr>
              <w:t>Years Ended December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880" w:type="dxa"/>
            <w:vAlign w:val="bottom"/>
          </w:tcPr>
          <w:p>
            <w:pPr>
              <w:spacing w:after="0"/>
              <w:rPr>
                <w:sz w:val="12"/>
                <w:szCs w:val="12"/>
                <w:color w:val="auto"/>
              </w:rPr>
            </w:pPr>
          </w:p>
        </w:tc>
        <w:tc>
          <w:tcPr>
            <w:tcW w:w="500" w:type="dxa"/>
            <w:vAlign w:val="bottom"/>
          </w:tcPr>
          <w:p>
            <w:pPr>
              <w:jc w:val="right"/>
              <w:ind w:right="35"/>
              <w:spacing w:after="0" w:line="142" w:lineRule="exact"/>
              <w:rPr>
                <w:sz w:val="20"/>
                <w:szCs w:val="20"/>
                <w:color w:val="auto"/>
              </w:rPr>
            </w:pPr>
            <w:r>
              <w:rPr>
                <w:rFonts w:ascii="Arial" w:cs="Arial" w:eastAsia="Arial" w:hAnsi="Arial"/>
                <w:sz w:val="14"/>
                <w:szCs w:val="14"/>
                <w:b w:val="1"/>
                <w:bCs w:val="1"/>
                <w:color w:val="auto"/>
              </w:rPr>
              <w:t>2013</w:t>
            </w:r>
          </w:p>
        </w:tc>
        <w:tc>
          <w:tcPr>
            <w:tcW w:w="1060" w:type="dxa"/>
            <w:vAlign w:val="bottom"/>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2012</w:t>
            </w:r>
          </w:p>
        </w:tc>
        <w:tc>
          <w:tcPr>
            <w:tcW w:w="540" w:type="dxa"/>
            <w:vAlign w:val="bottom"/>
          </w:tcPr>
          <w:p>
            <w:pPr>
              <w:spacing w:after="0"/>
              <w:rPr>
                <w:sz w:val="12"/>
                <w:szCs w:val="12"/>
                <w:color w:val="auto"/>
              </w:rPr>
            </w:pPr>
          </w:p>
        </w:tc>
        <w:tc>
          <w:tcPr>
            <w:tcW w:w="500" w:type="dxa"/>
            <w:vAlign w:val="bottom"/>
          </w:tcPr>
          <w:p>
            <w:pPr>
              <w:jc w:val="right"/>
              <w:ind w:right="35"/>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6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Casino</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$1,302</w:t>
            </w:r>
          </w:p>
        </w:tc>
        <w:tc>
          <w:tcPr>
            <w:tcW w:w="5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$3,047</w:t>
            </w:r>
          </w:p>
        </w:tc>
        <w:tc>
          <w:tcPr>
            <w:tcW w:w="5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$4,165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Rooms</w:t>
            </w:r>
          </w:p>
        </w:tc>
        <w:tc>
          <w:tcPr>
            <w:tcW w:w="500" w:type="dxa"/>
            <w:vAlign w:val="bottom"/>
          </w:tcPr>
          <w:p>
            <w:pPr>
              <w:jc w:val="right"/>
              <w:spacing w:after="0"/>
              <w:rPr>
                <w:sz w:val="20"/>
                <w:szCs w:val="20"/>
                <w:color w:val="auto"/>
              </w:rPr>
            </w:pPr>
            <w:r>
              <w:rPr>
                <w:rFonts w:ascii="Arial" w:cs="Arial" w:eastAsia="Arial" w:hAnsi="Arial"/>
                <w:sz w:val="18"/>
                <w:szCs w:val="18"/>
                <w:color w:val="auto"/>
              </w:rPr>
              <w:t>853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243</w:t>
            </w:r>
          </w:p>
        </w:tc>
        <w:tc>
          <w:tcPr>
            <w:tcW w:w="5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Food and beverage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Entertainment, retail and other</w:t>
            </w:r>
          </w:p>
        </w:tc>
        <w:tc>
          <w:tcPr>
            <w:tcW w:w="500" w:type="dxa"/>
            <w:vAlign w:val="bottom"/>
          </w:tcPr>
          <w:p>
            <w:pPr>
              <w:jc w:val="right"/>
              <w:spacing w:after="0"/>
              <w:rPr>
                <w:sz w:val="20"/>
                <w:szCs w:val="20"/>
                <w:color w:val="auto"/>
              </w:rPr>
            </w:pPr>
            <w:r>
              <w:rPr>
                <w:rFonts w:ascii="Arial" w:cs="Arial" w:eastAsia="Arial" w:hAnsi="Arial"/>
                <w:sz w:val="18"/>
                <w:szCs w:val="18"/>
                <w:color w:val="auto"/>
              </w:rPr>
              <w:t>477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5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2,563</w:t>
            </w:r>
          </w:p>
        </w:tc>
        <w:tc>
          <w:tcPr>
            <w:tcW w:w="5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5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2,526</w:t>
            </w:r>
          </w:p>
        </w:tc>
        <w:tc>
          <w:tcPr>
            <w:tcW w:w="100" w:type="dxa"/>
            <w:vAlign w:val="bottom"/>
            <w:shd w:val="clear" w:color="auto" w:fill="CCEEFF"/>
          </w:tcPr>
          <w:p>
            <w:pPr>
              <w:spacing w:after="0"/>
              <w:rPr>
                <w:sz w:val="18"/>
                <w:szCs w:val="18"/>
                <w:color w:val="auto"/>
              </w:rPr>
            </w:pPr>
          </w:p>
        </w:tc>
      </w:tr>
      <w:tr>
        <w:trPr>
          <w:trHeight w:val="222"/>
        </w:trPr>
        <w:tc>
          <w:tcPr>
            <w:tcW w:w="6880" w:type="dxa"/>
            <w:vAlign w:val="bottom"/>
          </w:tcPr>
          <w:p>
            <w:pPr>
              <w:ind w:left="440"/>
              <w:spacing w:after="0"/>
              <w:rPr>
                <w:sz w:val="20"/>
                <w:szCs w:val="20"/>
                <w:color w:val="auto"/>
              </w:rPr>
            </w:pPr>
            <w:r>
              <w:rPr>
                <w:rFonts w:ascii="Arial" w:cs="Arial" w:eastAsia="Arial" w:hAnsi="Arial"/>
                <w:sz w:val="18"/>
                <w:szCs w:val="18"/>
                <w:color w:val="auto"/>
              </w:rPr>
              <w:t>Total stock-based compensation expense</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6,397</w:t>
            </w:r>
          </w:p>
        </w:tc>
        <w:tc>
          <w:tcPr>
            <w:tcW w:w="10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5,291</w:t>
            </w:r>
          </w:p>
        </w:tc>
        <w:tc>
          <w:tcPr>
            <w:tcW w:w="5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7,437</w:t>
            </w:r>
          </w:p>
        </w:tc>
        <w:tc>
          <w:tcPr>
            <w:tcW w:w="100" w:type="dxa"/>
            <w:vAlign w:val="bottom"/>
          </w:tcPr>
          <w:p>
            <w:pPr>
              <w:spacing w:after="0"/>
              <w:rPr>
                <w:sz w:val="19"/>
                <w:szCs w:val="19"/>
                <w:color w:val="auto"/>
              </w:rPr>
            </w:pPr>
          </w:p>
        </w:tc>
      </w:tr>
      <w:tr>
        <w:trPr>
          <w:trHeight w:val="20"/>
        </w:trPr>
        <w:tc>
          <w:tcPr>
            <w:tcW w:w="68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620" w:firstLine="8"/>
        <w:spacing w:after="0" w:line="417" w:lineRule="auto"/>
        <w:tabs>
          <w:tab w:leader="none" w:pos="254" w:val="left"/>
        </w:tabs>
        <w:numPr>
          <w:ilvl w:val="0"/>
          <w:numId w:val="2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i w:val="1"/>
          <w:iCs w:val="1"/>
          <w:color w:val="auto"/>
        </w:rPr>
        <w:t>Leases and other arrangements</w:t>
      </w:r>
    </w:p>
    <w:p>
      <w:pPr>
        <w:spacing w:after="0" w:line="1" w:lineRule="exact"/>
        <w:rPr>
          <w:sz w:val="20"/>
          <w:szCs w:val="20"/>
          <w:color w:val="auto"/>
        </w:rPr>
      </w:pPr>
    </w:p>
    <w:p>
      <w:pPr>
        <w:ind w:right="200" w:firstLine="456"/>
        <w:spacing w:after="0" w:line="370" w:lineRule="auto"/>
        <w:rPr>
          <w:sz w:val="20"/>
          <w:szCs w:val="20"/>
          <w:color w:val="auto"/>
        </w:rPr>
      </w:pPr>
      <w:r>
        <w:rPr>
          <w:rFonts w:ascii="Arial" w:cs="Arial" w:eastAsia="Arial" w:hAnsi="Arial"/>
          <w:sz w:val="15"/>
          <w:szCs w:val="15"/>
          <w:color w:val="auto"/>
        </w:rPr>
        <w:t>The Company is the lessor under several retail leases and has entered into license and distribution agreements for additional retail outlets. The Company also is a party to joint venture agreements for the operation of one other retail outlet and the Ferrari and Maserati automobile dealership at Wynn Las Vegas.</w:t>
      </w:r>
    </w:p>
    <w:p>
      <w:pPr>
        <w:spacing w:after="0" w:line="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60"/>
          </w:cols>
          <w:pgMar w:left="240" w:top="459" w:right="2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represents the future minimum rentals to be received under the operating leases (amounts in thousands):</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700" w:type="dxa"/>
            <w:vAlign w:val="bottom"/>
            <w:gridSpan w:val="2"/>
          </w:tcPr>
          <w:p>
            <w:pPr>
              <w:spacing w:after="0"/>
              <w:rPr>
                <w:sz w:val="20"/>
                <w:szCs w:val="20"/>
                <w:color w:val="auto"/>
              </w:rPr>
            </w:pPr>
            <w:r>
              <w:rPr>
                <w:rFonts w:ascii="Arial" w:cs="Arial" w:eastAsia="Arial" w:hAnsi="Arial"/>
                <w:sz w:val="14"/>
                <w:szCs w:val="14"/>
                <w:b w:val="1"/>
                <w:bCs w:val="1"/>
                <w:color w:val="auto"/>
                <w:w w:val="91"/>
              </w:rPr>
              <w:t>Years Ending December 31,</w:t>
            </w:r>
          </w:p>
        </w:tc>
        <w:tc>
          <w:tcPr>
            <w:tcW w:w="5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2014</w:t>
            </w:r>
          </w:p>
        </w:tc>
        <w:tc>
          <w:tcPr>
            <w:tcW w:w="5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2015</w:t>
            </w:r>
          </w:p>
        </w:tc>
        <w:tc>
          <w:tcPr>
            <w:tcW w:w="5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5,580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5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2017</w:t>
            </w:r>
          </w:p>
        </w:tc>
        <w:tc>
          <w:tcPr>
            <w:tcW w:w="5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4,841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5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Thereafter</w:t>
            </w:r>
          </w:p>
        </w:tc>
        <w:tc>
          <w:tcPr>
            <w:tcW w:w="5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17,220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4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41,181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In addition, the Company is the lessee under leases for certain land, buildings and office equipment. At December 31, 2013, the Company was obligated under non-cancellable operating leases, to make future minimum lease payments as follows (amounts in thousands):</w:t>
      </w:r>
    </w:p>
    <w:p>
      <w:pPr>
        <w:spacing w:after="0" w:line="12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700" w:type="dxa"/>
            <w:vAlign w:val="bottom"/>
            <w:gridSpan w:val="2"/>
          </w:tcPr>
          <w:p>
            <w:pPr>
              <w:spacing w:after="0"/>
              <w:rPr>
                <w:sz w:val="20"/>
                <w:szCs w:val="20"/>
                <w:color w:val="auto"/>
              </w:rPr>
            </w:pPr>
            <w:r>
              <w:rPr>
                <w:rFonts w:ascii="Arial" w:cs="Arial" w:eastAsia="Arial" w:hAnsi="Arial"/>
                <w:sz w:val="14"/>
                <w:szCs w:val="14"/>
                <w:b w:val="1"/>
                <w:bCs w:val="1"/>
                <w:color w:val="auto"/>
                <w:w w:val="91"/>
              </w:rPr>
              <w:t>Years Ending December 31,</w:t>
            </w:r>
          </w:p>
        </w:tc>
        <w:tc>
          <w:tcPr>
            <w:tcW w:w="5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2014</w:t>
            </w:r>
          </w:p>
        </w:tc>
        <w:tc>
          <w:tcPr>
            <w:tcW w:w="5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2015</w:t>
            </w:r>
          </w:p>
        </w:tc>
        <w:tc>
          <w:tcPr>
            <w:tcW w:w="5960" w:type="dxa"/>
            <w:vAlign w:val="bottom"/>
            <w:gridSpan w:val="2"/>
          </w:tcPr>
          <w:p>
            <w:pPr>
              <w:jc w:val="right"/>
              <w:spacing w:after="0"/>
              <w:rPr>
                <w:sz w:val="20"/>
                <w:szCs w:val="20"/>
                <w:color w:val="auto"/>
              </w:rPr>
            </w:pPr>
            <w:r>
              <w:rPr>
                <w:rFonts w:ascii="Arial" w:cs="Arial" w:eastAsia="Arial" w:hAnsi="Arial"/>
                <w:sz w:val="18"/>
                <w:szCs w:val="18"/>
                <w:color w:val="auto"/>
              </w:rPr>
              <w:t>2,226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5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2017</w:t>
            </w:r>
          </w:p>
        </w:tc>
        <w:tc>
          <w:tcPr>
            <w:tcW w:w="5960" w:type="dxa"/>
            <w:vAlign w:val="bottom"/>
            <w:gridSpan w:val="2"/>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5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Thereafter</w:t>
            </w:r>
          </w:p>
        </w:tc>
        <w:tc>
          <w:tcPr>
            <w:tcW w:w="54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9,023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Rent expense for the years ended December 31, 2013, 2012 and 2011 was $16.7 million, $17.1 million and $16.2 million, respectively.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has entered into employment agreements with several executive officers, other members of management and certain key employees. These agreements generally have three- to five-year terms and typically indicate a base salary and often contain provisions for discretionary bonuses. Certain of the executives are also entitled to a separation payment if terminated without “cause” or upon voluntary termination of employment for “good reason” following a “change of control” (as these terms are defined in the employment contracts).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Letters of Credit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2013, the Company had unsecured outstanding letters of credit of $16.7 million.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9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Company and its affiliates are involved in litigation in addition to the actions noted below arising in the normal course of business. In the opinion of management, such litigation and claims will not have a material effect on the Company’s financial condition, results of operations or cash flows.</w:t>
      </w:r>
    </w:p>
    <w:p>
      <w:pPr>
        <w:spacing w:after="0" w:line="7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60"/>
          </w:cols>
          <w:pgMar w:left="240" w:top="459" w:right="3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Matters Related to Wynn Resorts, Limited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Unsuitability and Redemption of Aruze USA, Inc. and Affiliates</w:t>
      </w:r>
    </w:p>
    <w:p>
      <w:pPr>
        <w:spacing w:after="0" w:line="9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On February 18, 2012, Wynn Resorts’ Gaming Compliance Committee concluded an investigation after receiving an independent report by Freeh, Sporkin &amp; Sullivan, LLP (the “Freeh Report”) detailing a pattern of misconduct by Aruze USA, Inc. (at the time a stockholder of Wynn Resorts), Universal Entertainment Corporation, Aruze USA, Inc.’s parent company, and Kazuo Okada, (the majority shareholder of Universal Entertainment Corporation and a former member of the Board of Directors of Wynn Resorts and Wynn Macau, Limited). The factual record presented in the Freeh Report included evidence that the Okada Parties had provided valuable items to certain foreign gaming officials who were responsible for regulating gaming in a jurisdiction in which entities controlled by Mr. Okada were developing a gaming resort. Mr. Okada has denied the impropriety of such conduct to members of the Board of Directors of Wynn Resorts and while serving as one of Wynn Resorts directors Mr. Okada refused to acknowledge or abide by Wynn Resorts’ anti-bribery policies and refused to participate in the training all other directors have received concerning these policies.</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Based on the Freeh Report, the Board of Directors of Wynn Resorts determined that the Okada Parties are “unsuitable persons” under Article VII of the Wynn Resorts’ articles of incorporation. The Board of Directors was unanimous (other than Mr. Okada) in its determination. After authorizing the redemption of the Aruze shares, as discussed below, the Board of Directors took certain actions to protect Wynn Resorts and its operations from any influence of an unsuitable person, including placing limitations on the provision of certain operating information to unsuitable persons and formation of an Executive Committee of the Board to manage the business and affairs of Wynn Resorts during the period between each annual meeting. The Charter of the Executive Committee provides that “Unsuitable Persons” are not permitted to serve on the Committee. All members of the Board, other than Mr. Okada, were appointed to the Executive Committee on February 18, 2012. The Board of Directors also requested that Mr. Okada resign as a director of Wynn Resorts (under Nevada corporation law, a board of directors does not have the power to remove a director) and recommended that Mr. Okada be removed as a member of the Board of Directors of Wynn Macau, Limited. In addition, on February 18, 2012, Mr. Okada was removed from the Board of Directors of Wynn Las Vegas Capital Corp., an indirect wholly owned subsidiary of Wynn Resorts. On February 24, 2012, Mr. Okada was removed from the Board of Directors of Wynn Macau, Limited and on February 22, 2013, he was removed from the Board of Directors of Wynn Resorts by a stockholder vote in which 99.6% of the over 86 million shares voted were cast in favor of removal. Additionally, Mr. Okada resigned from the Board of Directors of Wynn Resorts on February 21, 2013. Although Wynn Resorts has retained the structure of the Executive Committee, the Board has resumed its past role in managing the business and affairs of Wynn Resorts.</w:t>
      </w:r>
    </w:p>
    <w:p>
      <w:pPr>
        <w:spacing w:after="0" w:line="121" w:lineRule="exact"/>
        <w:rPr>
          <w:sz w:val="20"/>
          <w:szCs w:val="20"/>
          <w:color w:val="auto"/>
        </w:rPr>
      </w:pPr>
    </w:p>
    <w:p>
      <w:pPr>
        <w:ind w:right="60" w:firstLine="456"/>
        <w:spacing w:after="0" w:line="302" w:lineRule="auto"/>
        <w:rPr>
          <w:sz w:val="20"/>
          <w:szCs w:val="20"/>
          <w:color w:val="auto"/>
        </w:rPr>
      </w:pPr>
      <w:r>
        <w:rPr>
          <w:rFonts w:ascii="Arial" w:cs="Arial" w:eastAsia="Arial" w:hAnsi="Arial"/>
          <w:sz w:val="15"/>
          <w:szCs w:val="15"/>
          <w:color w:val="auto"/>
        </w:rPr>
        <w:t>Based on the Board of Directors’ finding of “unsuitability,” on February 18, 2012, Wynn Resorts redeemed and cancelled Aruze USA, Inc.’s 24,549,222 shares of Wynn Resorts’ common stock. Following a finding of “unsuitability,” Article VII of Wynn Resorts’ articles of incorporation authorizes redemption at “fair value” of the shares held by unsuitable persons. Wynn Resorts engaged an independent financial advisor to assist in the fair value calculation and concluded that a discount to the then current trading price was appropriate because of, among other things, restrictions on most of the shares held by Aruze USA, Inc. under the terms of the Stockholders Agreement (as defined below). Pursuant to its articles of incorporation, Wynn Resorts issued the Redemption Note to Aruze USA, Inc. in redemption of the shares. The Redemption Note has a principal amount of $1.94 billion, matures on February 18, 2022 and bears interest at the rate of</w:t>
      </w:r>
    </w:p>
    <w:p>
      <w:pPr>
        <w:spacing w:after="0" w:line="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2% per annum, payable annually in arrears on each anniversary of the date of the Redemption Note. Wynn Resorts may, in its sole and absolute discretion, at any time and from time to time, and without penalty or premium, prepay the whole or any portion of the principal or interest due under the Redemption Note. In no instance shall any payment obligation under the</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8"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Redemption Note be accelerated except in the sole and absolute discretion of Wynn Resorts or as specifically mandated by law. The indebtedness evidenced by the Redemption Note is and shall be subordinated in right of payment, to the extent and in the manner provided in the Redemption Note, to the prior payment in full of all existing and future obligations of Wynn Resorts or any of its affiliates in respect of indebtedness for borrowed money of any kind or nature.</w:t>
      </w:r>
    </w:p>
    <w:p>
      <w:pPr>
        <w:spacing w:after="0" w:line="10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Wynn Resorts provided the Freeh Report to appropriate regulators and law enforcement agencies and has been cooperating with related investigations that such regulators and agencies have undertaken. The conduct of the Okada Parties and any resulting regulatory investigations could have adverse consequences to Wynn Resorts and its subsidiaries. A finding by regulatory authorities that Mr. Okada violated anti-corruption statutes and/or other laws or regulations applicable to persons affiliated with a gaming licensee on Wynn Resorts property and/or otherwise involved Wynn Resorts in criminal or civil violations could result in actions by regulatory authorities against Wynn Resorts and its subsidiaries.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Action and Counterclaim</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On February 19, 2012, Wynn Resorts filed a complaint in the Eighth Judicial District Court, Clark County, Nevada against the Okada Parties (as amended, the “Complaint”), alleging breaches of fiduciary duty and related claims (the “Redemption Action”) arising from the activities addressed in the Freeh Report. Wynn Resorts is seeking compensatory and special damages as well as a declaration that it acted lawfully and in full compliance with its articles of incorporation, bylaws and other governing documents in redeeming and cancelling the shares of Aruze USA, Inc.</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March 12, 2012, the Okada Parties removed the action to the United States District Court for the District of Nevada (the action was subsequently remanded to Nevada state court). On that same date, the Okada Parties filed an answer denying the claims and a counterclaim (as amended, the “Counterclaim”) that purports to assert claims against Wynn Resorts, each of the members of the Wynn Resorts’ Board of Directors (other than Mr. Okada) and Wynn Resorts’ General Counsel (the “Wynn Parties”). The Counterclaim alleges, among other things: (1) that the shares of Wynn Resorts common stock owned by Aruze USA, Inc. were exempt from the redemption-for-unsuitability provisions in the Wynn Resorts articles of incorporation (the “Articles”) pursuant to certain agreements executed in 2002; (2) that the Wynn Resorts directors who authorized the redemption of Aruze USA, Inc.’s shares acted at the direction of Stephen A. Wynn and did not independently and objectively evaluate the Okada Parties’ suitability, and by so doing, breached their fiduciary duties; (3) that the Wynn Resorts directors violated the terms of the Wynn Resorts Articles by failing to pay Aruze USA, Inc. fair value for the redeemed shares; and (4) that the terms of the Redemption Note that Aruze USA, Inc. received in exchange for the redeemed shares, including the Redemption Note’s principal amount, duration, interest rate, and subordinated status, were unconscionable. Among other relief, the Counterclaim seeks a declaration that the redemption of Aruze USA, Inc.’s shares was void, an injunction restoring Aruze USA, Inc.’s share ownership, damages in an unspecified amount and rescission of the Amended and Restated Stockholders Agreement, dated as of January 6, 2010, by and among Aruze USA, Inc., Stephen A. Wynn, and Elaine Wynn (the “Stockholders Agreement”).</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On June 19, 2012, Elaine Wynn responded to the Counterclaim and asserted a cross claim against Steve Wynn and Kazuo Okada seeking a declaration that</w:t>
      </w:r>
    </w:p>
    <w:p>
      <w:pPr>
        <w:spacing w:after="0" w:line="50" w:lineRule="exact"/>
        <w:rPr>
          <w:sz w:val="20"/>
          <w:szCs w:val="20"/>
          <w:color w:val="auto"/>
        </w:rPr>
      </w:pPr>
    </w:p>
    <w:p>
      <w:pPr>
        <w:ind w:right="20" w:firstLine="8"/>
        <w:spacing w:after="0" w:line="254" w:lineRule="auto"/>
        <w:tabs>
          <w:tab w:leader="none" w:pos="249"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and all of Elaine Wynn’s duties under the Stockholders Agreement be discharged; (2) the Stockholders Agreement is subject to rescission and is rescinded; (3) the Stockholders Agreement is an unreasonable restraint on alienation in violation of public policy; and/or (4) the restrictions on sale of shares shall be construed as inapplicable to Elaine Wynn. Mr. Wynn filed his answer to Elaine Wynn’s cross claim on September 24, 2012. The Indentures for the Issuers provide that if</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8" w:lineRule="exact"/>
        <w:rPr>
          <w:sz w:val="20"/>
          <w:szCs w:val="20"/>
          <w:color w:val="auto"/>
        </w:rPr>
      </w:pPr>
    </w:p>
    <w:p>
      <w:pPr>
        <w:ind w:right="80"/>
        <w:spacing w:after="0" w:line="309" w:lineRule="auto"/>
        <w:rPr>
          <w:sz w:val="20"/>
          <w:szCs w:val="20"/>
          <w:color w:val="auto"/>
        </w:rPr>
      </w:pPr>
      <w:r>
        <w:rPr>
          <w:rFonts w:ascii="Arial" w:cs="Arial" w:eastAsia="Arial" w:hAnsi="Arial"/>
          <w:sz w:val="15"/>
          <w:szCs w:val="15"/>
          <w:color w:val="auto"/>
        </w:rPr>
        <w:t>Stephen A. Wynn, together with certain related parties, in the aggregate beneficially owns a lesser percentage of the outstanding common stock of Wynn Resorts than are beneficially owned by any other person, a change of control will have occurred. If Elaine Wynn prevails in her cross claim, Stephen A. Wynn would not beneficially own or control Elaine Wynn’s shares and a change in control may result under the Company’s debt documents. Under the 2020 Indentures, the occurrence of a change of control requires that the Company make an offer to each holder to repurchase all or any part of such holder’s notes at a purchase price equal to 101% of the aggregate principal amount thereof plus accrued and unpaid interest on the notes purchased, if any, to the date of repurchase (unless the notes have been previously called for redemption). Under the 2023 Indenture, if a change of control occurs and within 60 days after that occurrence the 4 1/4% senior notes are rated below investment grade by both rating agencies that rate such notes, the Company is required to make an offer to each holder to repurchase all or any part of such holder’s notes at a purchase price equal to 101% of the aggregate principal amount thereof plus accrued and unpaid interest on the notes purchased, if any, to the date of repurchase (unless the notes have been previously called for redemption). Mr. Wynn is opposing Ms. Wynn’s cross claim.</w:t>
      </w:r>
    </w:p>
    <w:p>
      <w:pPr>
        <w:spacing w:after="0" w:line="10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Wynn Resorts’ Complaint and the Okada Parties’ Counterclaim have been, and continue to be, challenged through motion practice. At a hearing held on November 13, 2012, the Nevada state court granted the Wynn Parties’ motion to dismiss the Counterclaim with respect to the Okada Parties’ claim under the Nevada Racketeer Influenced and Corrupt Organizations Act with respect to certain Wynn Resorts executives but otherwise denied the motion. At a hearing held on January 15, 2013, the court denied the Okada Parties’ motion to dismiss Wynn Resorts’ Complaint. On April 22, 2013, Wynn Resorts filed a second amended complaint. On August 30, 2013, the Okada Parties filed their third amended Counterclaim. On September 18, 2013, Wynn Resorts filed a Partial Motion to Dismiss related to a claim in the third amended Counterclaim alleging civil extortion by Mr. Wynn and Wynn Resorts’ General Counsel. On October 29, 2013, the court granted the motion and dismissed the claim. On November 26, 2013, the Okada Parties filed their fourth amended Counterclaim, and Wynn Resorts filed an answer to that pleading on December 16, 2013. The parties had been engaged in discovery at the time the court entered the Stay (defined and discussed below). Therefore, although the court previously set a timetable for all discovery, pre-trial and trial deadlines, with a five-week jury trial scheduled to commence in April 2014, this schedule will necessarily change due to the Stay.</w:t>
      </w:r>
    </w:p>
    <w:p>
      <w:pPr>
        <w:spacing w:after="0" w:line="12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On February 13, 2013, the Okada Parties filed a motion in the Nevada state court asking the court to establish an escrow account (specifically, they asked the court to establish a “disputed ownership fund,” as defined in a federal tax regulation (“DOF”) to hold the Redemption Note as well as the redeemed shares themselves (although those shares were previously cancelled in February 2012), until the resolution of the Redemption Action and Counterclaim. The Okada Parties subsequently filed reply papers in further support of their motion, in which they narrowed the relief they were seeking, specifically by withdrawing their request that the redeemed shares be placed into the escrow account. On April 17, 2013, the court entered an order granting the Okada Parties’ motion in part as to the narrowed relief outlined in their reply papers. Among other things, the court’s order directed the Okada Parties to establish an escrow account with a third party (without making any ruling as to whether such an account would satisfy the requirements of a DOF) to hold interest payments tendered by Wynn Resorts on the Redemption Note. Per the court’s order, Wynn Resorts is to have no responsibility for fees or costs of the account, and will receive a full release and indemnity related to the account. On February 14, 2013 and February 13, 2014, Wynn Resorts issued checks to Aruze USA, Inc. in the amount of $38.7 million, representing the interest payments due on the Redemption Note at those times. However, as of the date of this report, the checks remain uncashed. The parties engaged in discussions regarding the terms of the escrow agreement contemplated by the court’s order. However, the Okada Parties recently advised of their intent to deposit any checks for interest and principal, past and future, due under the terms of the Redemption Note to the Clerk of the Court for deposit into the Clerk’s Trust Account.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On April 8, 2013, the United States Attorney’s Office and the U.S. Department of Justice filed a Motion to Intervene and for Temporary and Partial Stay of Discovery in the Redemption Action. The motion stated that the federal government has been conducting a criminal investigation of the Okada Parties involving the “same underlying allegations of misconduct—that is, potential violations of the Foreign Corrupt Practice Act and related fraudulent conduct—that form the basis of” Wynn Resorts’ complaint, as amended, in the Redemption Action. The motion sought to stay all discovery in the Redemption Action related to the Okada Parties’ allegedly unlawful activities in connection with their casino project in the Philippines until the conclusion of the criminal investigation and any resulting criminal prosecution, with an interim status update to the court in six months. At a hearing on May 2, 2013, the court granted the motion and ordered that all discovery in the Redemption Action be stayed for a period of six months (the “Stay”). On May 30, 2013, Elaine Wynn filed a motion for partial relief from the Stay, to allow her to conduct limited discovery related to her cross and counterclaims. The Wynn Parties opposed the motion so as to not interfere with the United States government’s investigation. At a hearing on August 1, 2013, the court denied the motion. On October 29, 2013, the United States Attorney’s Office and the U.S. Department of Justice filed a Motion to Extend the Stay for a period of six months, expiring May 2, 2014. At a hearing on October 31, 2013, the court granted the requested extension based upon an affidavit provided under seal that outlined, among other things, concerns for witness safety. The court did, however, order the parties to exchange written discovery propounded prior to May 2, 2013, including discovery related to the Elaine Wynn cross and counterclaims referred to above.</w:t>
      </w:r>
    </w:p>
    <w:p>
      <w:pPr>
        <w:spacing w:after="0" w:line="121" w:lineRule="exact"/>
        <w:rPr>
          <w:sz w:val="20"/>
          <w:szCs w:val="20"/>
          <w:color w:val="auto"/>
        </w:rPr>
      </w:pPr>
    </w:p>
    <w:p>
      <w:pPr>
        <w:jc w:val="both"/>
        <w:ind w:right="220" w:firstLine="456"/>
        <w:spacing w:after="0" w:line="255" w:lineRule="auto"/>
        <w:rPr>
          <w:sz w:val="20"/>
          <w:szCs w:val="20"/>
          <w:color w:val="auto"/>
        </w:rPr>
      </w:pPr>
      <w:r>
        <w:rPr>
          <w:rFonts w:ascii="Arial" w:cs="Arial" w:eastAsia="Arial" w:hAnsi="Arial"/>
          <w:sz w:val="18"/>
          <w:szCs w:val="18"/>
          <w:color w:val="auto"/>
        </w:rPr>
        <w:t>Subject to the Stay, Wynn Resorts will continue to vigorously pursue its claims against the Okada Parties, and Wynn Resorts and the Wynn Parties will continue to vigorously defend against the counterclaims asserted against them. Wynn Resorts’ claims and the Okada Parties’ counterclaims remain in an early stage and management has determined that based on proceedings to date, it is currently unable to determine the probability of the outcome of this matter or the range of reasonably possible loss, if any. An adverse judgment or settlement involving payment of a material amount could cause a material adverse effect on Wynn Resorts’ financial condition.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Commenced by Kazuo Okada</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Japan Action:</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On August 28, 2012, Mr. Okada, Universal Entertainment Corporation and Okada Holdings (“Okada Japan Parties”) filed a complaint in Tokyo District Court against Wynn Resorts, all members of the Board of Directors (other than Mr. Okada) and Wynn Resorts’ General Counsel (the “Wynn Parties”), alleging that the press release issued by Wynn Resorts with respect to the redemption has damaged plaintiffs’ social evaluation and credibility. The Okada Japan Parties seek damages and legal fees from the Wynn Parties. After asking the Okada Japan Parties to clarify the allegations in their complaint, the Wynn Parties objected to the jurisdiction of the Japanese court. On April 30, 2013, the Wynn Parties filed a memorandum in support of their jurisdictional position. On October 21, 2013, the court dismissed the action on jurisdictional grounds. On November 1, 2013, the Okada Japan Parties filed an appeal moving the matter to the Tokyo High Court. An informal hearing on the matter has been scheduled for February 27, 2014.</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Indemnification Action:</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March 20, 2013, Mr. Okada filed a complaint against Wynn Resorts in Nevada state court for indemnification under Wynn Resorts Articles, bylaws and agreements with its directors. The complaint seeks advancement of Mr. Okada’s costs and expenses (including attorney’s fees) incurred pursuant to the various legal proceedings and related regulatory investigations described above. Wynn Resorts believes there is no basis for the relief requested in the complaint and intends to vigorously defend against this matter. Wynn Resorts’ answer</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459" w:right="2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and counterclaim was filed on April 15, 2013. The counterclaim names each of the Okada Parties as defendants and seeks indemnification under Wynn Resorts’ Articles for costs and expenses (including attorney’s fees) incurred pursuant to the various legal proceedings and related regulatory investigations described above. On April 30, 2013, Mr. Okada filed his reply to the counterclaim.</w:t>
      </w:r>
    </w:p>
    <w:p>
      <w:pPr>
        <w:spacing w:after="0" w:line="14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June 14, 2013, Mr. Okada filed a motion for partial summary judgment that he was entitled to advancement of his expenses incurred in the various proceedings and investigations. Mr. Okada also filed a special motion to dismiss, arguing that Wynn Resorts’ counterclaims seek to infringe upon Mr. Okada’s right to petition the court, and constitute a strategic lawsuit against public policy. Wynn Resorts’ counterclaims seek only to enforce Wynn Resorts’ contractual right to indemnity under Article VII, Section 4 of Wynn Resorts’ Articles. At a hearing on August 1, 2013, the court denied both motions and provided for limited discovery (i.e., discovery that does not implicate any of the issues subject to the Stay entered in the Redemption Action). On August 2, 2013, the court stayed discovery in the indemnification action related to the government investigations (consistent with the Stay in the Redemption Action), and ordered that all other discovery be conducted within ninety (90) days.</w:t>
      </w:r>
    </w:p>
    <w:p>
      <w:pPr>
        <w:spacing w:after="0" w:line="14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August 22, 2013, Wynn Resorts noticed Mr. Okada’s deposition for September 16, 2013. Mr. Okada filed a motion for protective order seeking to vacate his deposition, arguing that he did not have any information relevant to his claims for advancement of fees and/or indemnity that he asserted against Wynn Resorts . On October 18, 2013, after a full briefing by the parties, the court denied Mr. Okada’s motion and entered an order stating that Mr. Okada’s deposition testimony is relevant to the claims he asserted against Wynn Resorts , that Mr. Okada may not designate someone else to testify on his behalf, and that Wynn Resorts may sequence discovery in the action as it chooses. On February 4, 2014, the court entered an order on the parties’ stipulation that: (1) dismissed Okada’s claims asserted against Wynn Resorts in that action (i.e., all Okada’s claims that relate to advancement); (2) reserved Okada’s right to assert, in the future, any claims for indemnity following the resolution of the Redemption Action; and (3) stayed the claims asserted by Wynn Resorts against Okada in that action pending the resolution of the Redemption Action.</w:t>
      </w:r>
    </w:p>
    <w:p>
      <w:pPr>
        <w:spacing w:after="0" w:line="11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Management has determined that based on proceedings to date, it is currently unable to determine the probability of the outcome of these actions or the range of reasonably possible loss, if any.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Investigations and Derivative Litigation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Investigations:</w:t>
      </w:r>
    </w:p>
    <w:p>
      <w:pPr>
        <w:spacing w:after="0" w:line="9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In the U.S. Department of Justice’s Motion to Intervene and for Temporary and Partial Stay of Discovery in the Redemption Action, the Department of Justice states in a footnote that the government also has been conducting a criminal investigation into Wynn Resorts’ donation to the University of Macau discussed above. Wynn Resorts has not received any target letter or subpoena in connection with such an investigation. Wynn Resorts intends to cooperate fully with the government in response to any inquiry related to the donation to the University of Macau.</w:t>
      </w:r>
    </w:p>
    <w:p>
      <w:pPr>
        <w:spacing w:after="0" w:line="11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Other regulators may pursue separate investigations into Wynn Resorts’ compliance with applicable laws arising from the allegations in the matters described above and in response to the Counterclaim and other litigation filed by Mr. Okada suggesting improprieties in connection with Wynn Resorts’ donation to the University of Macau. While Wynn Resorts believes that it is in full compliance with all applicable laws, any such investigations could result in actions by regulators against Wynn Resorts.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Derivative Claims:</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Six derivative actions were commenced against Wynn Resorts and all members of its Board of Directors: four in the United States District Court, District of Nevada, and two in the Eighth Judicial District Court of Clark County, Nevada.</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four federal actions brought by the following plaintiffs have been consolidated: (1) The Louisiana Municipal Police Employees’ Retirement System,</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 Maryanne Solak, (3) Excavators Union Local 731 Welfare Fund, and (4) Boilermakers Lodge No. 154 Retirement Fund (collectively, the “Federal Plaintiffs”).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Federal Plaintiffs filed a consolidated complaint on August 6, 2012, asserting claims for: (1) breach of fiduciary duty; (2) waste of corporate assets;</w:t>
      </w:r>
    </w:p>
    <w:p>
      <w:pPr>
        <w:spacing w:after="0" w:line="38" w:lineRule="exact"/>
        <w:rPr>
          <w:sz w:val="20"/>
          <w:szCs w:val="20"/>
          <w:color w:val="auto"/>
        </w:rPr>
      </w:pPr>
    </w:p>
    <w:p>
      <w:pPr>
        <w:ind w:right="40" w:firstLine="8"/>
        <w:spacing w:after="0" w:line="306" w:lineRule="auto"/>
        <w:tabs>
          <w:tab w:leader="none" w:pos="249" w:val="left"/>
        </w:tabs>
        <w:numPr>
          <w:ilvl w:val="0"/>
          <w:numId w:val="26"/>
        </w:numPr>
        <w:rPr>
          <w:rFonts w:ascii="Arial" w:cs="Arial" w:eastAsia="Arial" w:hAnsi="Arial"/>
          <w:sz w:val="15"/>
          <w:szCs w:val="15"/>
          <w:color w:val="auto"/>
        </w:rPr>
      </w:pPr>
      <w:r>
        <w:rPr>
          <w:rFonts w:ascii="Arial" w:cs="Arial" w:eastAsia="Arial" w:hAnsi="Arial"/>
          <w:sz w:val="15"/>
          <w:szCs w:val="15"/>
          <w:color w:val="auto"/>
        </w:rPr>
        <w:t>injunctive relief; and (4) unjust enrichment. The claims are against Wynn Resorts and all of Wynn Resorts’ directors, including Mr. Okada, however, the plaintiffs voluntarily dismissed Mr. Okada as a defendant in this consolidated action on September 27, 2012. The Federal Plaintiffs claim that the individual defendants breached their fiduciary duties and wasted assets by: (a) failing to ensure Wynn Resorts’ officers and directors complied with federal and state laws and Wynn Resorts’ Code of Conduct; (b) voting to allow Wynn Resorts’ subsidiary to make the donation to the University of Macau; and (c) redeeming Aruze USA, Inc.’s stock such that Wynn Resorts incurs the debt associated with the redemption. The Federal Plaintiffs seek unspecified compensatory damages, restitution in the form of disgorgement, reformation of corporate governance procedures, an injunction against all future payments related to the donation/pledge, and all fees (attorneys, accountants, and experts) and costs. The directors responded to the consolidated complaint by filing a motion to dismiss on September 14, 2012. On February 1, 2013, the federal court dismissed the complaint for failure to plead adequately the futility of a pre-suit demand on the Board. The dismissal was without prejudice to the Federal Plaintiffs’ ability to file a motion within 30 days seeking leave to file an amended complaint. On April 9, 2013, the Federal Plaintiffs filed their amended complaint. Wynn Resorts and the directors filed their motion to dismiss the amended complaint on May 23, 2013. The Federal Plaintiffs filed their opposition on July 8, 2013, and Wynn Resorts and directors filed their reply on August 8, 2013. The court has not yet ruled on this motion.</w:t>
      </w:r>
    </w:p>
    <w:p>
      <w:pPr>
        <w:spacing w:after="0" w:line="114"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The two state court actions brought by the following plaintiffs have also been consolidated: (1) IBEW Local 98 Pension Fund and (2) Danny Hinson (collectively, the “State Plaintiffs”). Through a coordination of efforts by all parties, the directors and Wynn Resorts (a nominal defendant) have been served in all of the actions. The State Plaintiffs filed a consolidated complaint on July 20, 2012 asserting claims for (1) breach of fiduciary duty; (2) abuse of control; (3) gross mismanagement; and (4) unjust enrichment. The claims are against Wynn Resorts and all of Wynn Resorts’ directors, including Mr. Okada, as well as Wynn Resorts’ Chief Financial Officer, who signs financial disclosures filed with the SEC. The State Plaintiffs claim that the individual defendants failed to disclose to Wynn Resorts’ stockholders the investigation into, and the dispute with director Okada as well as the alleged potential violations of the FCPA related to, the University of Macau Development Foundation donation. The State Plaintiffs seek unspecified monetary damages (compensatory and punitive), disgorgement, reformation of corporate governance procedures, an order directing Wynn Resorts to internally investigate the donation, as well as attorneys’ fees and costs. On October 13, 2012, the court entered the parties’ stipulation providing for a stay of the state derivative action for 90 days, subject to the parties’ obligation to monitor the progress of the pending litigation, discussed above, between Wynn Resorts (among others) and Mr. Okada (among others). Per the stipulation, Wynn Resorts and the individual defendants were not required to respond to the consolidated complaint while the stay remained in effect. Following the expiration of the stay, the State Plaintiffs advised Wynn Resorts and the individual defendants that they intended to resume the action by filing an amended complaint, which they did, on April 26, 2013. Wynn Resorts and directors filed their motion to dismiss on June 10, 2013. However, on July 31, 2013, the parties agreed to a stipulation that was submitted to, and approved by the court. The stipulation contemplates a stay of the consolidated state court derivative action of equal</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8"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duration as the Stay entered by the court in the Redemption Action. On February 5, 2014, the court entered a new stipulation between the parties that provides for a further stay of the state derivative action and directs the parties, within 30 days of the conclusion of the stay in the Redemption Action, to discuss how the state derivative action should proceed and to file a joint report with the court.</w:t>
      </w:r>
    </w:p>
    <w:p>
      <w:pPr>
        <w:spacing w:after="0" w:line="14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individual defendants are vigorously defending against the claims pleaded against them in these derivative actions. We are unable to predict the outcome of these litigations at this time. Management has determined that based on proceedings to date, it is currently unable to determine the probability of the outcome of these actions or the range of reasonably possible loss, if any.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Member’s Equity</w:t>
      </w:r>
    </w:p>
    <w:p>
      <w:pPr>
        <w:spacing w:after="0" w:line="9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During the year ended December 31, 2012, the Company distributed to Wynn Resorts, Limited, the Wynn Las Vegas golf course and the related water rights valued at $94 million, and $700 million in cash.</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Quarterly Financial Information (Unaudited)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selected quarterly financial information for 2013 and 2012 (amounts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gridSpan w:val="8"/>
          </w:tcPr>
          <w:p>
            <w:pPr>
              <w:jc w:val="right"/>
              <w:ind w:right="900"/>
              <w:spacing w:after="0"/>
              <w:rPr>
                <w:sz w:val="20"/>
                <w:szCs w:val="20"/>
                <w:color w:val="auto"/>
              </w:rPr>
            </w:pPr>
            <w:r>
              <w:rPr>
                <w:rFonts w:ascii="Arial" w:cs="Arial" w:eastAsia="Arial" w:hAnsi="Arial"/>
                <w:sz w:val="14"/>
                <w:szCs w:val="14"/>
                <w:b w:val="1"/>
                <w:bCs w:val="1"/>
                <w:color w:val="auto"/>
              </w:rPr>
              <w:t>Years Ended December 31, 2013</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4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92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First</w:t>
            </w:r>
          </w:p>
        </w:tc>
        <w:tc>
          <w:tcPr>
            <w:tcW w:w="200" w:type="dxa"/>
            <w:vAlign w:val="bottom"/>
          </w:tcPr>
          <w:p>
            <w:pPr>
              <w:spacing w:after="0"/>
              <w:rPr>
                <w:sz w:val="12"/>
                <w:szCs w:val="12"/>
                <w:color w:val="auto"/>
              </w:rPr>
            </w:pPr>
          </w:p>
        </w:tc>
        <w:tc>
          <w:tcPr>
            <w:tcW w:w="92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Second</w:t>
            </w:r>
          </w:p>
        </w:tc>
        <w:tc>
          <w:tcPr>
            <w:tcW w:w="180" w:type="dxa"/>
            <w:vAlign w:val="bottom"/>
          </w:tcPr>
          <w:p>
            <w:pPr>
              <w:spacing w:after="0"/>
              <w:rPr>
                <w:sz w:val="12"/>
                <w:szCs w:val="12"/>
                <w:color w:val="auto"/>
              </w:rPr>
            </w:pPr>
          </w:p>
        </w:tc>
        <w:tc>
          <w:tcPr>
            <w:tcW w:w="92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Third</w:t>
            </w:r>
          </w:p>
        </w:tc>
        <w:tc>
          <w:tcPr>
            <w:tcW w:w="180" w:type="dxa"/>
            <w:vAlign w:val="bottom"/>
          </w:tcPr>
          <w:p>
            <w:pPr>
              <w:spacing w:after="0"/>
              <w:rPr>
                <w:sz w:val="12"/>
                <w:szCs w:val="12"/>
                <w:color w:val="auto"/>
              </w:rPr>
            </w:pPr>
          </w:p>
        </w:tc>
        <w:tc>
          <w:tcPr>
            <w:tcW w:w="1120" w:type="dxa"/>
            <w:vAlign w:val="bottom"/>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rPr>
              <w:t>Fourth</w:t>
            </w:r>
          </w:p>
        </w:tc>
        <w:tc>
          <w:tcPr>
            <w:tcW w:w="800" w:type="dxa"/>
            <w:vAlign w:val="bottom"/>
          </w:tcPr>
          <w:p>
            <w:pPr>
              <w:jc w:val="right"/>
              <w:ind w:right="197"/>
              <w:spacing w:after="0" w:line="142" w:lineRule="exact"/>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2"/>
                <w:szCs w:val="12"/>
                <w:color w:val="auto"/>
              </w:rPr>
            </w:pPr>
          </w:p>
        </w:tc>
      </w:tr>
      <w:tr>
        <w:trPr>
          <w:trHeight w:val="210"/>
        </w:trPr>
        <w:tc>
          <w:tcPr>
            <w:tcW w:w="3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revenues</w:t>
            </w:r>
          </w:p>
        </w:tc>
        <w:tc>
          <w:tcPr>
            <w:tcW w:w="26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$386,839</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$401,541</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$392,729</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$400,179</w:t>
            </w:r>
          </w:p>
        </w:tc>
        <w:tc>
          <w:tcPr>
            <w:tcW w:w="4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$1,581,288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Operating income</w:t>
            </w:r>
          </w:p>
        </w:tc>
        <w:tc>
          <w:tcPr>
            <w:tcW w:w="3320" w:type="dxa"/>
            <w:vAlign w:val="bottom"/>
            <w:gridSpan w:val="2"/>
          </w:tcPr>
          <w:p>
            <w:pPr>
              <w:jc w:val="right"/>
              <w:spacing w:after="0"/>
              <w:rPr>
                <w:sz w:val="20"/>
                <w:szCs w:val="20"/>
                <w:color w:val="auto"/>
              </w:rPr>
            </w:pPr>
            <w:r>
              <w:rPr>
                <w:rFonts w:ascii="Arial" w:cs="Arial" w:eastAsia="Arial" w:hAnsi="Arial"/>
                <w:sz w:val="18"/>
                <w:szCs w:val="18"/>
                <w:color w:val="auto"/>
              </w:rPr>
              <w:t>40,419</w:t>
            </w:r>
          </w:p>
        </w:tc>
        <w:tc>
          <w:tcPr>
            <w:tcW w:w="2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49,551</w:t>
            </w:r>
          </w:p>
        </w:tc>
        <w:tc>
          <w:tcPr>
            <w:tcW w:w="260" w:type="dxa"/>
            <w:vAlign w:val="bottom"/>
          </w:tcPr>
          <w:p>
            <w:pPr>
              <w:spacing w:after="0"/>
              <w:rPr>
                <w:sz w:val="18"/>
                <w:szCs w:val="18"/>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8"/>
                <w:szCs w:val="18"/>
                <w:color w:val="auto"/>
              </w:rPr>
              <w:t>29,099</w:t>
            </w:r>
          </w:p>
        </w:tc>
        <w:tc>
          <w:tcPr>
            <w:tcW w:w="1300" w:type="dxa"/>
            <w:vAlign w:val="bottom"/>
            <w:gridSpan w:val="3"/>
          </w:tcPr>
          <w:p>
            <w:pPr>
              <w:jc w:val="right"/>
              <w:ind w:right="440"/>
              <w:spacing w:after="0"/>
              <w:rPr>
                <w:sz w:val="20"/>
                <w:szCs w:val="20"/>
                <w:color w:val="auto"/>
              </w:rPr>
            </w:pPr>
            <w:r>
              <w:rPr>
                <w:rFonts w:ascii="Arial" w:cs="Arial" w:eastAsia="Arial" w:hAnsi="Arial"/>
                <w:sz w:val="18"/>
                <w:szCs w:val="18"/>
                <w:color w:val="auto"/>
              </w:rPr>
              <w:t>47,981</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167,050</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5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(16,361)</w:t>
            </w:r>
          </w:p>
        </w:tc>
        <w:tc>
          <w:tcPr>
            <w:tcW w:w="11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(33,408)</w:t>
            </w: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(27,309)</w:t>
            </w:r>
          </w:p>
        </w:tc>
        <w:tc>
          <w:tcPr>
            <w:tcW w:w="13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(19,205)</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(96,283)</w:t>
            </w:r>
          </w:p>
        </w:tc>
      </w:tr>
      <w:tr>
        <w:trPr>
          <w:trHeight w:val="351"/>
        </w:trPr>
        <w:tc>
          <w:tcPr>
            <w:tcW w:w="34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8"/>
          </w:tcPr>
          <w:p>
            <w:pPr>
              <w:jc w:val="right"/>
              <w:ind w:right="900"/>
              <w:spacing w:after="0"/>
              <w:rPr>
                <w:sz w:val="20"/>
                <w:szCs w:val="20"/>
                <w:color w:val="auto"/>
              </w:rPr>
            </w:pPr>
            <w:r>
              <w:rPr>
                <w:rFonts w:ascii="Arial" w:cs="Arial" w:eastAsia="Arial" w:hAnsi="Arial"/>
                <w:sz w:val="14"/>
                <w:szCs w:val="14"/>
                <w:b w:val="1"/>
                <w:bCs w:val="1"/>
                <w:color w:val="auto"/>
              </w:rPr>
              <w:t>Years Ended December 31, 2012</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34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92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First</w:t>
            </w:r>
          </w:p>
        </w:tc>
        <w:tc>
          <w:tcPr>
            <w:tcW w:w="200" w:type="dxa"/>
            <w:vAlign w:val="bottom"/>
          </w:tcPr>
          <w:p>
            <w:pPr>
              <w:spacing w:after="0"/>
              <w:rPr>
                <w:sz w:val="12"/>
                <w:szCs w:val="12"/>
                <w:color w:val="auto"/>
              </w:rPr>
            </w:pPr>
          </w:p>
        </w:tc>
        <w:tc>
          <w:tcPr>
            <w:tcW w:w="92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Second</w:t>
            </w:r>
          </w:p>
        </w:tc>
        <w:tc>
          <w:tcPr>
            <w:tcW w:w="180" w:type="dxa"/>
            <w:vAlign w:val="bottom"/>
          </w:tcPr>
          <w:p>
            <w:pPr>
              <w:spacing w:after="0"/>
              <w:rPr>
                <w:sz w:val="12"/>
                <w:szCs w:val="12"/>
                <w:color w:val="auto"/>
              </w:rPr>
            </w:pPr>
          </w:p>
        </w:tc>
        <w:tc>
          <w:tcPr>
            <w:tcW w:w="92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Third</w:t>
            </w:r>
          </w:p>
        </w:tc>
        <w:tc>
          <w:tcPr>
            <w:tcW w:w="180" w:type="dxa"/>
            <w:vAlign w:val="bottom"/>
          </w:tcPr>
          <w:p>
            <w:pPr>
              <w:spacing w:after="0"/>
              <w:rPr>
                <w:sz w:val="12"/>
                <w:szCs w:val="12"/>
                <w:color w:val="auto"/>
              </w:rPr>
            </w:pPr>
          </w:p>
        </w:tc>
        <w:tc>
          <w:tcPr>
            <w:tcW w:w="1120" w:type="dxa"/>
            <w:vAlign w:val="bottom"/>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rPr>
              <w:t>Fourth</w:t>
            </w:r>
          </w:p>
        </w:tc>
        <w:tc>
          <w:tcPr>
            <w:tcW w:w="800" w:type="dxa"/>
            <w:vAlign w:val="bottom"/>
          </w:tcPr>
          <w:p>
            <w:pPr>
              <w:jc w:val="right"/>
              <w:ind w:right="197"/>
              <w:spacing w:after="0" w:line="142" w:lineRule="exact"/>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2"/>
                <w:szCs w:val="12"/>
                <w:color w:val="auto"/>
              </w:rPr>
            </w:pPr>
          </w:p>
        </w:tc>
      </w:tr>
      <w:tr>
        <w:trPr>
          <w:trHeight w:val="210"/>
        </w:trPr>
        <w:tc>
          <w:tcPr>
            <w:tcW w:w="3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revenues</w:t>
            </w:r>
          </w:p>
        </w:tc>
        <w:tc>
          <w:tcPr>
            <w:tcW w:w="26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$363,147</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$345,717</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$388,096</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$390,646</w:t>
            </w:r>
          </w:p>
        </w:tc>
        <w:tc>
          <w:tcPr>
            <w:tcW w:w="4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$1,487,606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Operating income</w:t>
            </w:r>
          </w:p>
        </w:tc>
        <w:tc>
          <w:tcPr>
            <w:tcW w:w="3320" w:type="dxa"/>
            <w:vAlign w:val="bottom"/>
            <w:gridSpan w:val="2"/>
          </w:tcPr>
          <w:p>
            <w:pPr>
              <w:jc w:val="right"/>
              <w:spacing w:after="0"/>
              <w:rPr>
                <w:sz w:val="20"/>
                <w:szCs w:val="20"/>
                <w:color w:val="auto"/>
              </w:rPr>
            </w:pPr>
            <w:r>
              <w:rPr>
                <w:rFonts w:ascii="Arial" w:cs="Arial" w:eastAsia="Arial" w:hAnsi="Arial"/>
                <w:sz w:val="18"/>
                <w:szCs w:val="18"/>
                <w:color w:val="auto"/>
              </w:rPr>
              <w:t>20,426</w:t>
            </w:r>
          </w:p>
        </w:tc>
        <w:tc>
          <w:tcPr>
            <w:tcW w:w="2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3,538</w:t>
            </w:r>
          </w:p>
        </w:tc>
        <w:tc>
          <w:tcPr>
            <w:tcW w:w="260" w:type="dxa"/>
            <w:vAlign w:val="bottom"/>
          </w:tcPr>
          <w:p>
            <w:pPr>
              <w:spacing w:after="0"/>
              <w:rPr>
                <w:sz w:val="18"/>
                <w:szCs w:val="18"/>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8"/>
                <w:szCs w:val="18"/>
                <w:color w:val="auto"/>
              </w:rPr>
              <w:t>12,314</w:t>
            </w:r>
          </w:p>
        </w:tc>
        <w:tc>
          <w:tcPr>
            <w:tcW w:w="1300" w:type="dxa"/>
            <w:vAlign w:val="bottom"/>
            <w:gridSpan w:val="3"/>
          </w:tcPr>
          <w:p>
            <w:pPr>
              <w:jc w:val="right"/>
              <w:ind w:right="440"/>
              <w:spacing w:after="0"/>
              <w:rPr>
                <w:sz w:val="20"/>
                <w:szCs w:val="20"/>
                <w:color w:val="auto"/>
              </w:rPr>
            </w:pPr>
            <w:r>
              <w:rPr>
                <w:rFonts w:ascii="Arial" w:cs="Arial" w:eastAsia="Arial" w:hAnsi="Arial"/>
                <w:sz w:val="18"/>
                <w:szCs w:val="18"/>
                <w:color w:val="auto"/>
              </w:rPr>
              <w:t>37,749</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74,027</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5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(35,430)</w:t>
            </w:r>
          </w:p>
        </w:tc>
        <w:tc>
          <w:tcPr>
            <w:tcW w:w="11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(53,200)</w:t>
            </w: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(46,142)</w:t>
            </w:r>
          </w:p>
        </w:tc>
        <w:tc>
          <w:tcPr>
            <w:tcW w:w="13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(19,724)</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(154,496)</w:t>
            </w:r>
          </w:p>
        </w:tc>
      </w:tr>
      <w:tr>
        <w:trPr>
          <w:trHeight w:val="363"/>
        </w:trPr>
        <w:tc>
          <w:tcPr>
            <w:tcW w:w="3440" w:type="dxa"/>
            <w:vAlign w:val="bottom"/>
          </w:tcPr>
          <w:p>
            <w:pPr>
              <w:spacing w:after="0"/>
              <w:rPr>
                <w:sz w:val="24"/>
                <w:szCs w:val="24"/>
                <w:color w:val="auto"/>
              </w:rPr>
            </w:pPr>
          </w:p>
        </w:tc>
        <w:tc>
          <w:tcPr>
            <w:tcW w:w="2640" w:type="dxa"/>
            <w:vAlign w:val="bottom"/>
          </w:tcPr>
          <w:p>
            <w:pPr>
              <w:jc w:val="right"/>
              <w:ind w:right="192"/>
              <w:spacing w:after="0"/>
              <w:rPr>
                <w:sz w:val="20"/>
                <w:szCs w:val="20"/>
                <w:color w:val="auto"/>
              </w:rPr>
            </w:pPr>
            <w:r>
              <w:rPr>
                <w:rFonts w:ascii="Arial" w:cs="Arial" w:eastAsia="Arial" w:hAnsi="Arial"/>
                <w:sz w:val="18"/>
                <w:szCs w:val="18"/>
                <w:color w:val="auto"/>
              </w:rPr>
              <w:t>64</w:t>
            </w: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96" w:lineRule="exact"/>
        <w:rPr>
          <w:sz w:val="20"/>
          <w:szCs w:val="20"/>
          <w:color w:val="auto"/>
        </w:rPr>
      </w:pPr>
    </w:p>
    <w:p>
      <w:pPr>
        <w:ind w:right="20" w:firstLine="464"/>
        <w:spacing w:after="0" w:line="286" w:lineRule="auto"/>
        <w:tabs>
          <w:tab w:leader="none" w:pos="1002"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Disclosure Controls and Procedures</w:t>
      </w:r>
      <w:r>
        <w:rPr>
          <w:rFonts w:ascii="Arial" w:cs="Arial" w:eastAsia="Arial" w:hAnsi="Arial"/>
          <w:sz w:val="16"/>
          <w:szCs w:val="16"/>
          <w:color w:val="auto"/>
        </w:rPr>
        <w:t>. The Company’s management, with the participation of the Company’s Chief Executive Officer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Chief Executive Officer and Chief Financial Officer have concluded that, as of December 31, 2013, the Company’s disclosure controls and procedures are effective, at the reasonable assurance level, in recording, processing, summarizing and reporting, on a timely basis, information required to be disclosed by the Company in the reports that it files or submits under the Exchange Act and in ensuring that information required to be disclosed by the Company in the reports that it files or submits under the Exchange Act is accumulated and communicated to the Company’s management, including the Chief Executive Officer and Chief Financial Officer, as appropriate to allow timely discussions regarding required disclosure.</w:t>
      </w:r>
    </w:p>
    <w:p>
      <w:pPr>
        <w:spacing w:after="0" w:line="127" w:lineRule="exact"/>
        <w:rPr>
          <w:rFonts w:ascii="Arial" w:cs="Arial" w:eastAsia="Arial" w:hAnsi="Arial"/>
          <w:sz w:val="16"/>
          <w:szCs w:val="16"/>
          <w:color w:val="auto"/>
        </w:rPr>
      </w:pPr>
    </w:p>
    <w:p>
      <w:pPr>
        <w:ind w:right="160" w:firstLine="464"/>
        <w:spacing w:after="0" w:line="268" w:lineRule="auto"/>
        <w:tabs>
          <w:tab w:leader="none" w:pos="1012"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Management Report on Internal Control Over Financial Reporting. </w:t>
      </w:r>
      <w:r>
        <w:rPr>
          <w:rFonts w:ascii="Arial" w:cs="Arial" w:eastAsia="Arial" w:hAnsi="Arial"/>
          <w:sz w:val="18"/>
          <w:szCs w:val="18"/>
          <w:color w:val="auto"/>
        </w:rPr>
        <w:t>Management of the Company is responsible for establishing and maintaining</w:t>
      </w:r>
      <w:r>
        <w:rPr>
          <w:rFonts w:ascii="Arial" w:cs="Arial" w:eastAsia="Arial" w:hAnsi="Arial"/>
          <w:sz w:val="18"/>
          <w:szCs w:val="18"/>
          <w:i w:val="1"/>
          <w:iCs w:val="1"/>
          <w:color w:val="auto"/>
        </w:rPr>
        <w:t xml:space="preserve"> </w:t>
      </w:r>
      <w:r>
        <w:rPr>
          <w:rFonts w:ascii="Arial" w:cs="Arial" w:eastAsia="Arial" w:hAnsi="Arial"/>
          <w:sz w:val="18"/>
          <w:szCs w:val="18"/>
          <w:color w:val="auto"/>
        </w:rPr>
        <w:t>adequate internal control over financial reporting, as defined in Rule 13a-15(f) and 15d-15(f) under the Exchange Act.</w:t>
      </w:r>
    </w:p>
    <w:p>
      <w:pPr>
        <w:spacing w:after="0" w:line="132"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40"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 xml:space="preserve">Management assessed the effectiveness of the Company’s internal control over financial reporting as of December 31, 2013. In making this assessment, management used the criteria set forth by the Committee of Sponsoring Organizations of the Treadway Commission (1992 framework) (“COSO”)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Control-Integrated Framework.</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Based on our assessment, management believes that, as of December 31, 2013, the Company’s internal control over financial reporting was effective.</w:t>
      </w:r>
    </w:p>
    <w:p>
      <w:pPr>
        <w:spacing w:after="0" w:line="19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This annual report does not include an attestation report of the Company’s registered public accounting firm regarding internal control over financial reporting. The attestation report of the Company’s registered public accounting firm is not required in this annual report under the SEC’s rules, which permit the Company to provide only management’s report in this annual report.</w:t>
      </w:r>
    </w:p>
    <w:p>
      <w:pPr>
        <w:spacing w:after="0" w:line="140" w:lineRule="exact"/>
        <w:rPr>
          <w:sz w:val="20"/>
          <w:szCs w:val="20"/>
          <w:color w:val="auto"/>
        </w:rPr>
      </w:pPr>
    </w:p>
    <w:p>
      <w:pPr>
        <w:jc w:val="both"/>
        <w:ind w:firstLine="464"/>
        <w:spacing w:after="0" w:line="306" w:lineRule="auto"/>
        <w:tabs>
          <w:tab w:leader="none" w:pos="1002"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Changes in Internal Control Over Financial Reporting</w:t>
      </w:r>
      <w:r>
        <w:rPr>
          <w:rFonts w:ascii="Arial" w:cs="Arial" w:eastAsia="Arial" w:hAnsi="Arial"/>
          <w:sz w:val="16"/>
          <w:szCs w:val="16"/>
          <w:color w:val="auto"/>
        </w:rPr>
        <w:t>. There have not been any changes in the Company’s internal control over financial reporting</w:t>
      </w:r>
      <w:r>
        <w:rPr>
          <w:rFonts w:ascii="Arial" w:cs="Arial" w:eastAsia="Arial" w:hAnsi="Arial"/>
          <w:sz w:val="16"/>
          <w:szCs w:val="16"/>
          <w:i w:val="1"/>
          <w:iCs w:val="1"/>
          <w:color w:val="auto"/>
        </w:rPr>
        <w:t xml:space="preserve"> </w:t>
      </w:r>
      <w:r>
        <w:rPr>
          <w:rFonts w:ascii="Arial" w:cs="Arial" w:eastAsia="Arial" w:hAnsi="Arial"/>
          <w:sz w:val="16"/>
          <w:szCs w:val="16"/>
          <w:color w:val="auto"/>
        </w:rPr>
        <w:t>(as such term is defined in Rules 13a-15(f) and 15d-15(f) under the Exchange Act) during our fourth fiscal quarter to which this report relates that have materially affected, or are reasonably likely to materially affect, the Company’s internal control over financial reporting.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omitted this section pursuant to Instruction I(2) of Form 10-K.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omitted this section pursuant to Instruction I(2) of Form 10-K.</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color w:val="auto"/>
        </w:rPr>
        <w:t>Security Ownership of Certain Beneficial Owners and Management and Related Stockholder Matters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omitted this section pursuant to Instruction I(2) of Form 10-K.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omitted this section pursuant to Instruction I(2) of Form 10-K.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following table shows the fees paid or accrued by us for audit and other services provided by our auditors, Ernst &amp; Young LLP, during each of the years ended December 31, 2013 and 2012:</w:t>
      </w:r>
    </w:p>
    <w:p>
      <w:pPr>
        <w:spacing w:after="0" w:line="26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60" w:type="dxa"/>
            <w:vAlign w:val="bottom"/>
            <w:vMerge w:val="restart"/>
          </w:tcPr>
          <w:p>
            <w:pPr>
              <w:spacing w:after="0"/>
              <w:rPr>
                <w:sz w:val="20"/>
                <w:szCs w:val="20"/>
                <w:color w:val="auto"/>
              </w:rPr>
            </w:pPr>
            <w:r>
              <w:rPr>
                <w:rFonts w:ascii="Arial" w:cs="Arial" w:eastAsia="Arial" w:hAnsi="Arial"/>
                <w:sz w:val="14"/>
                <w:szCs w:val="14"/>
                <w:b w:val="1"/>
                <w:bCs w:val="1"/>
                <w:color w:val="auto"/>
                <w:w w:val="88"/>
              </w:rPr>
              <w:t>Category</w:t>
            </w:r>
          </w:p>
        </w:tc>
        <w:tc>
          <w:tcPr>
            <w:tcW w:w="3360" w:type="dxa"/>
            <w:vAlign w:val="bottom"/>
            <w:vMerge w:val="restart"/>
          </w:tcPr>
          <w:p>
            <w:pPr>
              <w:spacing w:after="0"/>
              <w:rPr>
                <w:sz w:val="14"/>
                <w:szCs w:val="14"/>
                <w:color w:val="auto"/>
              </w:rPr>
            </w:pPr>
          </w:p>
        </w:tc>
        <w:tc>
          <w:tcPr>
            <w:tcW w:w="2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5"/>
          </w:tcPr>
          <w:p>
            <w:pPr>
              <w:ind w:left="440"/>
              <w:spacing w:after="0"/>
              <w:rPr>
                <w:sz w:val="20"/>
                <w:szCs w:val="20"/>
                <w:color w:val="auto"/>
              </w:rPr>
            </w:pPr>
            <w:r>
              <w:rPr>
                <w:rFonts w:ascii="Arial" w:cs="Arial" w:eastAsia="Arial" w:hAnsi="Arial"/>
                <w:sz w:val="14"/>
                <w:szCs w:val="14"/>
                <w:b w:val="1"/>
                <w:bCs w:val="1"/>
                <w:color w:val="auto"/>
              </w:rPr>
              <w:t>Aggregate Fees</w:t>
            </w:r>
          </w:p>
        </w:tc>
        <w:tc>
          <w:tcPr>
            <w:tcW w:w="0" w:type="dxa"/>
            <w:vAlign w:val="bottom"/>
          </w:tcPr>
          <w:p>
            <w:pPr>
              <w:spacing w:after="0"/>
              <w:rPr>
                <w:sz w:val="1"/>
                <w:szCs w:val="1"/>
                <w:color w:val="auto"/>
              </w:rPr>
            </w:pPr>
          </w:p>
        </w:tc>
      </w:tr>
      <w:tr>
        <w:trPr>
          <w:trHeight w:val="149"/>
        </w:trPr>
        <w:tc>
          <w:tcPr>
            <w:tcW w:w="560" w:type="dxa"/>
            <w:vAlign w:val="bottom"/>
            <w:tcBorders>
              <w:bottom w:val="single" w:sz="8" w:color="auto"/>
            </w:tcBorders>
            <w:vMerge w:val="continue"/>
          </w:tcPr>
          <w:p>
            <w:pPr>
              <w:spacing w:after="0"/>
              <w:rPr>
                <w:sz w:val="12"/>
                <w:szCs w:val="12"/>
                <w:color w:val="auto"/>
              </w:rPr>
            </w:pPr>
          </w:p>
        </w:tc>
        <w:tc>
          <w:tcPr>
            <w:tcW w:w="3360" w:type="dxa"/>
            <w:vAlign w:val="bottom"/>
            <w:vMerge w:val="continue"/>
          </w:tcPr>
          <w:p>
            <w:pPr>
              <w:spacing w:after="0"/>
              <w:rPr>
                <w:sz w:val="12"/>
                <w:szCs w:val="12"/>
                <w:color w:val="auto"/>
              </w:rPr>
            </w:pPr>
          </w:p>
        </w:tc>
        <w:tc>
          <w:tcPr>
            <w:tcW w:w="26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9"/>
              <w:spacing w:after="0" w:line="129" w:lineRule="exact"/>
              <w:rPr>
                <w:sz w:val="20"/>
                <w:szCs w:val="20"/>
                <w:color w:val="auto"/>
              </w:rPr>
            </w:pPr>
            <w:r>
              <w:rPr>
                <w:rFonts w:ascii="Arial" w:cs="Arial" w:eastAsia="Arial" w:hAnsi="Arial"/>
                <w:sz w:val="14"/>
                <w:szCs w:val="14"/>
                <w:b w:val="1"/>
                <w:bCs w:val="1"/>
                <w:color w:val="auto"/>
              </w:rPr>
              <w:t>2013</w:t>
            </w:r>
          </w:p>
        </w:tc>
        <w:tc>
          <w:tcPr>
            <w:tcW w:w="6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6"/>
              <w:spacing w:after="0" w:line="129"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9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Audit fees</w:t>
            </w:r>
          </w:p>
        </w:tc>
        <w:tc>
          <w:tcPr>
            <w:tcW w:w="2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270,210</w:t>
            </w: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307,174</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238,786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2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“Audit fees” includes the aggregate fees billed by our principal auditors for professional services rendered for the audit of our consolidated financial statements for the years ended December 31, 2013 and 2012. “Audit fees” also includes amounts billed for services provided in connection with debt offerings in 2013 and 2012. “Tax fees” include amounts billed for domestic tax planning.</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All of the principal accounting fees and services were pre-approved by the Audit Committee in 2013 and 2012. The Audit Committee pre-approves services either by: (1) approving a request from management to engage our principal auditors for a specific project at a specific fee or rate or (2) by pre-approving certain types of services that would comprise the fees within each of the above categories at our principal auditors usual and customary rates.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PART IV</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(a)1. The following consolidated financial statements of the Company are filed as part of this report under Item 8—“Financial Statements and Supplemental Data”.</w:t>
      </w:r>
    </w:p>
    <w:p>
      <w:pPr>
        <w:spacing w:after="0" w:line="51"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Consolidated Balance Sheets as of December 31, 2013 and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Consolidated Statements of Operations and Comprehensive Loss for the years ended December 31, 2013, 2012 and 2011</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Consolidated Statements of Member’s Equity (Deficit) for the years ended December 31, 2013, 2012 and 2011</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Consolidated Statements of Cash Flows for the years ended December 31, 2013, 2012 and 2011</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387"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Schedule II—Valuation and Qualifying Accounts</w:t>
      </w:r>
    </w:p>
    <w:p>
      <w:pPr>
        <w:spacing w:after="0" w:line="171"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We have omitted all other financial statement schedules because they are not required or are not applicable, or the required information is shown in the consolidated financial statements or notes to the consolidated financial statements.</w:t>
      </w:r>
    </w:p>
    <w:p>
      <w:pPr>
        <w:spacing w:after="0" w:line="11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980"/>
          </w:cols>
          <w:pgMar w:left="240" w:top="459" w:right="6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60"/>
        <w:spacing w:after="0"/>
        <w:rPr>
          <w:sz w:val="20"/>
          <w:szCs w:val="20"/>
          <w:color w:val="auto"/>
        </w:rPr>
      </w:pPr>
      <w:r>
        <w:rPr>
          <w:rFonts w:ascii="Arial" w:cs="Arial" w:eastAsia="Arial" w:hAnsi="Arial"/>
          <w:sz w:val="14"/>
          <w:szCs w:val="14"/>
          <w:b w:val="1"/>
          <w:bCs w:val="1"/>
          <w:u w:val="single" w:color="auto"/>
          <w:color w:val="auto"/>
        </w:rPr>
        <w:t>Description</w:t>
      </w:r>
    </w:p>
    <w:p>
      <w:pPr>
        <w:spacing w:after="0" w:line="13" w:lineRule="exact"/>
        <w:rPr>
          <w:sz w:val="20"/>
          <w:szCs w:val="20"/>
          <w:color w:val="auto"/>
        </w:rPr>
      </w:pPr>
    </w:p>
    <w:p>
      <w:pPr>
        <w:jc w:val="center"/>
        <w:ind w:left="460"/>
        <w:spacing w:after="0"/>
        <w:rPr>
          <w:sz w:val="20"/>
          <w:szCs w:val="20"/>
          <w:color w:val="auto"/>
        </w:rPr>
      </w:pPr>
      <w:r>
        <w:rPr>
          <w:rFonts w:ascii="Arial" w:cs="Arial" w:eastAsia="Arial" w:hAnsi="Arial"/>
          <w:sz w:val="16"/>
          <w:szCs w:val="16"/>
          <w:color w:val="auto"/>
        </w:rPr>
        <w:t>Allowance for doubtful accounts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60"/>
        <w:spacing w:after="0"/>
        <w:rPr>
          <w:sz w:val="20"/>
          <w:szCs w:val="20"/>
          <w:color w:val="auto"/>
        </w:rPr>
      </w:pPr>
      <w:r>
        <w:rPr>
          <w:rFonts w:ascii="Arial" w:cs="Arial" w:eastAsia="Arial" w:hAnsi="Arial"/>
          <w:sz w:val="14"/>
          <w:szCs w:val="14"/>
          <w:b w:val="1"/>
          <w:bCs w:val="1"/>
          <w:u w:val="single" w:color="auto"/>
          <w:color w:val="auto"/>
        </w:rPr>
        <w:t>Description</w:t>
      </w:r>
    </w:p>
    <w:p>
      <w:pPr>
        <w:spacing w:after="0" w:line="13" w:lineRule="exact"/>
        <w:rPr>
          <w:sz w:val="20"/>
          <w:szCs w:val="20"/>
          <w:color w:val="auto"/>
        </w:rPr>
      </w:pPr>
    </w:p>
    <w:p>
      <w:pPr>
        <w:jc w:val="center"/>
        <w:ind w:left="460"/>
        <w:spacing w:after="0"/>
        <w:rPr>
          <w:sz w:val="20"/>
          <w:szCs w:val="20"/>
          <w:color w:val="auto"/>
        </w:rPr>
      </w:pPr>
      <w:r>
        <w:rPr>
          <w:rFonts w:ascii="Arial" w:cs="Arial" w:eastAsia="Arial" w:hAnsi="Arial"/>
          <w:sz w:val="16"/>
          <w:szCs w:val="16"/>
          <w:color w:val="auto"/>
        </w:rPr>
        <w:t>Allowance for doubtful accounts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60"/>
        <w:spacing w:after="0"/>
        <w:rPr>
          <w:sz w:val="20"/>
          <w:szCs w:val="20"/>
          <w:color w:val="auto"/>
        </w:rPr>
      </w:pPr>
      <w:r>
        <w:rPr>
          <w:rFonts w:ascii="Arial" w:cs="Arial" w:eastAsia="Arial" w:hAnsi="Arial"/>
          <w:sz w:val="14"/>
          <w:szCs w:val="14"/>
          <w:b w:val="1"/>
          <w:bCs w:val="1"/>
          <w:u w:val="single" w:color="auto"/>
          <w:color w:val="auto"/>
        </w:rPr>
        <w:t>Description</w:t>
      </w:r>
    </w:p>
    <w:p>
      <w:pPr>
        <w:spacing w:after="0" w:line="13" w:lineRule="exact"/>
        <w:rPr>
          <w:sz w:val="20"/>
          <w:szCs w:val="20"/>
          <w:color w:val="auto"/>
        </w:rPr>
      </w:pPr>
    </w:p>
    <w:p>
      <w:pPr>
        <w:jc w:val="center"/>
        <w:ind w:left="460"/>
        <w:spacing w:after="0"/>
        <w:rPr>
          <w:sz w:val="20"/>
          <w:szCs w:val="20"/>
          <w:color w:val="auto"/>
        </w:rPr>
      </w:pPr>
      <w:r>
        <w:rPr>
          <w:rFonts w:ascii="Arial" w:cs="Arial" w:eastAsia="Arial" w:hAnsi="Arial"/>
          <w:sz w:val="16"/>
          <w:szCs w:val="16"/>
          <w:color w:val="auto"/>
        </w:rPr>
        <w:t>Allowance for doubtful accounts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jc w:val="center"/>
        <w:ind w:right="2700"/>
        <w:spacing w:after="0"/>
        <w:rPr>
          <w:sz w:val="20"/>
          <w:szCs w:val="20"/>
          <w:color w:val="auto"/>
        </w:rPr>
      </w:pPr>
      <w:r>
        <w:rPr>
          <w:rFonts w:ascii="Arial" w:cs="Arial" w:eastAsia="Arial" w:hAnsi="Arial"/>
          <w:sz w:val="16"/>
          <w:szCs w:val="16"/>
          <w:b w:val="1"/>
          <w:bCs w:val="1"/>
          <w:color w:val="auto"/>
        </w:rPr>
        <w:t>SCHEDULE II-VALUATION AND QUALIFYING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-2089785</wp:posOffset>
            </wp:positionH>
            <wp:positionV relativeFrom="paragraph">
              <wp:posOffset>-647065</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4" w:lineRule="exact"/>
        <w:rPr>
          <w:sz w:val="20"/>
          <w:szCs w:val="20"/>
          <w:color w:val="auto"/>
        </w:rPr>
      </w:pPr>
    </w:p>
    <w:p>
      <w:pPr>
        <w:jc w:val="center"/>
        <w:ind w:right="2700"/>
        <w:spacing w:after="0"/>
        <w:rPr>
          <w:sz w:val="20"/>
          <w:szCs w:val="20"/>
          <w:color w:val="auto"/>
        </w:rPr>
      </w:pPr>
      <w:r>
        <w:rPr>
          <w:rFonts w:ascii="Arial" w:cs="Arial" w:eastAsia="Arial" w:hAnsi="Arial"/>
          <w:sz w:val="18"/>
          <w:szCs w:val="18"/>
          <w:b w:val="1"/>
          <w:bCs w:val="1"/>
          <w:color w:val="auto"/>
        </w:rPr>
        <w:t>(amounts in thousands)</w:t>
      </w:r>
    </w:p>
    <w:p>
      <w:pPr>
        <w:spacing w:after="0" w:line="188" w:lineRule="exact"/>
        <w:rPr>
          <w:sz w:val="20"/>
          <w:szCs w:val="20"/>
          <w:color w:val="auto"/>
        </w:rPr>
      </w:pPr>
    </w:p>
    <w:tbl>
      <w:tblPr>
        <w:tblLayout w:type="fixed"/>
        <w:tblInd w:w="292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2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3"/>
              </w:rPr>
              <w:t>Provisions</w:t>
            </w: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49"/>
        </w:trPr>
        <w:tc>
          <w:tcPr>
            <w:tcW w:w="13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Balance at</w:t>
            </w:r>
          </w:p>
        </w:tc>
        <w:tc>
          <w:tcPr>
            <w:tcW w:w="13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6"/>
              </w:rPr>
              <w:t>for</w:t>
            </w:r>
          </w:p>
        </w:tc>
        <w:tc>
          <w:tcPr>
            <w:tcW w:w="12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Write-offs,</w:t>
            </w:r>
          </w:p>
        </w:tc>
        <w:tc>
          <w:tcPr>
            <w:tcW w:w="100" w:type="dxa"/>
            <w:vAlign w:val="bottom"/>
          </w:tcPr>
          <w:p>
            <w:pPr>
              <w:spacing w:after="0"/>
              <w:rPr>
                <w:sz w:val="12"/>
                <w:szCs w:val="12"/>
                <w:color w:val="auto"/>
              </w:rPr>
            </w:pPr>
          </w:p>
        </w:tc>
        <w:tc>
          <w:tcPr>
            <w:tcW w:w="70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85"/>
              </w:rPr>
              <w:t>Balance at</w:t>
            </w:r>
          </w:p>
        </w:tc>
      </w:tr>
      <w:tr>
        <w:trPr>
          <w:trHeight w:val="149"/>
        </w:trPr>
        <w:tc>
          <w:tcPr>
            <w:tcW w:w="13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9"/>
              </w:rPr>
              <w:t>January 1,</w:t>
            </w:r>
          </w:p>
        </w:tc>
        <w:tc>
          <w:tcPr>
            <w:tcW w:w="13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Doubtful</w:t>
            </w:r>
          </w:p>
        </w:tc>
        <w:tc>
          <w:tcPr>
            <w:tcW w:w="12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Net of</w:t>
            </w: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3"/>
              </w:rPr>
              <w:t>December 31,</w:t>
            </w:r>
          </w:p>
        </w:tc>
      </w:tr>
      <w:tr>
        <w:trPr>
          <w:trHeight w:val="161"/>
        </w:trPr>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9"/>
              </w:rPr>
              <w:t>2013</w:t>
            </w:r>
          </w:p>
        </w:tc>
        <w:tc>
          <w:tcPr>
            <w:tcW w:w="700" w:type="dxa"/>
            <w:vAlign w:val="bottom"/>
          </w:tcPr>
          <w:p>
            <w:pPr>
              <w:spacing w:after="0"/>
              <w:rPr>
                <w:sz w:val="14"/>
                <w:szCs w:val="14"/>
                <w:color w:val="auto"/>
              </w:rPr>
            </w:pPr>
          </w:p>
        </w:tc>
        <w:tc>
          <w:tcPr>
            <w:tcW w:w="132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4"/>
              </w:rPr>
              <w:t>Accounts</w:t>
            </w:r>
          </w:p>
        </w:tc>
        <w:tc>
          <w:tcPr>
            <w:tcW w:w="12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2"/>
              </w:rPr>
              <w:t>Recoveries</w:t>
            </w:r>
          </w:p>
        </w:tc>
        <w:tc>
          <w:tcPr>
            <w:tcW w:w="100" w:type="dxa"/>
            <w:vAlign w:val="bottom"/>
          </w:tcPr>
          <w:p>
            <w:pPr>
              <w:spacing w:after="0"/>
              <w:rPr>
                <w:sz w:val="14"/>
                <w:szCs w:val="14"/>
                <w:color w:val="auto"/>
              </w:rPr>
            </w:pPr>
          </w:p>
        </w:tc>
        <w:tc>
          <w:tcPr>
            <w:tcW w:w="700" w:type="dxa"/>
            <w:vAlign w:val="bottom"/>
          </w:tcPr>
          <w:p>
            <w:pPr>
              <w:jc w:val="center"/>
              <w:ind w:right="6"/>
              <w:spacing w:after="0"/>
              <w:rPr>
                <w:sz w:val="20"/>
                <w:szCs w:val="20"/>
                <w:color w:val="auto"/>
              </w:rPr>
            </w:pPr>
            <w:r>
              <w:rPr>
                <w:rFonts w:ascii="Arial" w:cs="Arial" w:eastAsia="Arial" w:hAnsi="Arial"/>
                <w:sz w:val="14"/>
                <w:szCs w:val="14"/>
                <w:b w:val="1"/>
                <w:bCs w:val="1"/>
                <w:color w:val="auto"/>
                <w:w w:val="83"/>
              </w:rPr>
              <w:t>2013</w:t>
            </w:r>
          </w:p>
        </w:tc>
      </w:tr>
      <w:tr>
        <w:trPr>
          <w:trHeight w:val="216"/>
        </w:trPr>
        <w:tc>
          <w:tcPr>
            <w:tcW w:w="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$ 64,281</w:t>
            </w:r>
          </w:p>
        </w:tc>
        <w:tc>
          <w:tcPr>
            <w:tcW w:w="70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7,534</w:t>
            </w:r>
          </w:p>
        </w:tc>
        <w:tc>
          <w:tcPr>
            <w:tcW w:w="68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(18,961)</w:t>
            </w:r>
          </w:p>
        </w:tc>
        <w:tc>
          <w:tcPr>
            <w:tcW w:w="58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52,854</w:t>
            </w:r>
          </w:p>
        </w:tc>
      </w:tr>
      <w:tr>
        <w:trPr>
          <w:trHeight w:val="346"/>
        </w:trPr>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3"/>
              </w:rPr>
              <w:t>Provisions</w:t>
            </w: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49"/>
        </w:trPr>
        <w:tc>
          <w:tcPr>
            <w:tcW w:w="13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Balance at</w:t>
            </w:r>
          </w:p>
        </w:tc>
        <w:tc>
          <w:tcPr>
            <w:tcW w:w="13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6"/>
              </w:rPr>
              <w:t>for</w:t>
            </w:r>
          </w:p>
        </w:tc>
        <w:tc>
          <w:tcPr>
            <w:tcW w:w="12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Write-offs,</w:t>
            </w:r>
          </w:p>
        </w:tc>
        <w:tc>
          <w:tcPr>
            <w:tcW w:w="100" w:type="dxa"/>
            <w:vAlign w:val="bottom"/>
          </w:tcPr>
          <w:p>
            <w:pPr>
              <w:spacing w:after="0"/>
              <w:rPr>
                <w:sz w:val="12"/>
                <w:szCs w:val="12"/>
                <w:color w:val="auto"/>
              </w:rPr>
            </w:pPr>
          </w:p>
        </w:tc>
        <w:tc>
          <w:tcPr>
            <w:tcW w:w="70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85"/>
              </w:rPr>
              <w:t>Balance at</w:t>
            </w:r>
          </w:p>
        </w:tc>
      </w:tr>
      <w:tr>
        <w:trPr>
          <w:trHeight w:val="149"/>
        </w:trPr>
        <w:tc>
          <w:tcPr>
            <w:tcW w:w="13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9"/>
              </w:rPr>
              <w:t>January 1,</w:t>
            </w:r>
          </w:p>
        </w:tc>
        <w:tc>
          <w:tcPr>
            <w:tcW w:w="13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Doubtful</w:t>
            </w:r>
          </w:p>
        </w:tc>
        <w:tc>
          <w:tcPr>
            <w:tcW w:w="12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Net of</w:t>
            </w: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3"/>
              </w:rPr>
              <w:t>December 31,</w:t>
            </w:r>
          </w:p>
        </w:tc>
      </w:tr>
      <w:tr>
        <w:trPr>
          <w:trHeight w:val="161"/>
        </w:trPr>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9"/>
              </w:rPr>
              <w:t>2012</w:t>
            </w:r>
          </w:p>
        </w:tc>
        <w:tc>
          <w:tcPr>
            <w:tcW w:w="700" w:type="dxa"/>
            <w:vAlign w:val="bottom"/>
          </w:tcPr>
          <w:p>
            <w:pPr>
              <w:spacing w:after="0"/>
              <w:rPr>
                <w:sz w:val="14"/>
                <w:szCs w:val="14"/>
                <w:color w:val="auto"/>
              </w:rPr>
            </w:pPr>
          </w:p>
        </w:tc>
        <w:tc>
          <w:tcPr>
            <w:tcW w:w="132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4"/>
              </w:rPr>
              <w:t>Accounts</w:t>
            </w:r>
          </w:p>
        </w:tc>
        <w:tc>
          <w:tcPr>
            <w:tcW w:w="12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2"/>
              </w:rPr>
              <w:t>Recoveries</w:t>
            </w:r>
          </w:p>
        </w:tc>
        <w:tc>
          <w:tcPr>
            <w:tcW w:w="100" w:type="dxa"/>
            <w:vAlign w:val="bottom"/>
          </w:tcPr>
          <w:p>
            <w:pPr>
              <w:spacing w:after="0"/>
              <w:rPr>
                <w:sz w:val="14"/>
                <w:szCs w:val="14"/>
                <w:color w:val="auto"/>
              </w:rPr>
            </w:pPr>
          </w:p>
        </w:tc>
        <w:tc>
          <w:tcPr>
            <w:tcW w:w="700" w:type="dxa"/>
            <w:vAlign w:val="bottom"/>
          </w:tcPr>
          <w:p>
            <w:pPr>
              <w:jc w:val="center"/>
              <w:ind w:right="6"/>
              <w:spacing w:after="0"/>
              <w:rPr>
                <w:sz w:val="20"/>
                <w:szCs w:val="20"/>
                <w:color w:val="auto"/>
              </w:rPr>
            </w:pPr>
            <w:r>
              <w:rPr>
                <w:rFonts w:ascii="Arial" w:cs="Arial" w:eastAsia="Arial" w:hAnsi="Arial"/>
                <w:sz w:val="14"/>
                <w:szCs w:val="14"/>
                <w:b w:val="1"/>
                <w:bCs w:val="1"/>
                <w:color w:val="auto"/>
                <w:w w:val="83"/>
              </w:rPr>
              <w:t>2012</w:t>
            </w:r>
          </w:p>
        </w:tc>
      </w:tr>
      <w:tr>
        <w:trPr>
          <w:trHeight w:val="216"/>
        </w:trPr>
        <w:tc>
          <w:tcPr>
            <w:tcW w:w="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$ 56,777</w:t>
            </w:r>
          </w:p>
        </w:tc>
        <w:tc>
          <w:tcPr>
            <w:tcW w:w="70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18,306</w:t>
            </w:r>
          </w:p>
        </w:tc>
        <w:tc>
          <w:tcPr>
            <w:tcW w:w="68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(10,802)</w:t>
            </w:r>
          </w:p>
        </w:tc>
        <w:tc>
          <w:tcPr>
            <w:tcW w:w="58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64,281</w:t>
            </w:r>
          </w:p>
        </w:tc>
      </w:tr>
      <w:tr>
        <w:trPr>
          <w:trHeight w:val="346"/>
        </w:trPr>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3"/>
              </w:rPr>
              <w:t>Provisions</w:t>
            </w: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49"/>
        </w:trPr>
        <w:tc>
          <w:tcPr>
            <w:tcW w:w="13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Balance at</w:t>
            </w:r>
          </w:p>
        </w:tc>
        <w:tc>
          <w:tcPr>
            <w:tcW w:w="13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6"/>
              </w:rPr>
              <w:t>for</w:t>
            </w:r>
          </w:p>
        </w:tc>
        <w:tc>
          <w:tcPr>
            <w:tcW w:w="12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Write-offs,</w:t>
            </w:r>
          </w:p>
        </w:tc>
        <w:tc>
          <w:tcPr>
            <w:tcW w:w="100" w:type="dxa"/>
            <w:vAlign w:val="bottom"/>
          </w:tcPr>
          <w:p>
            <w:pPr>
              <w:spacing w:after="0"/>
              <w:rPr>
                <w:sz w:val="12"/>
                <w:szCs w:val="12"/>
                <w:color w:val="auto"/>
              </w:rPr>
            </w:pPr>
          </w:p>
        </w:tc>
        <w:tc>
          <w:tcPr>
            <w:tcW w:w="70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85"/>
              </w:rPr>
              <w:t>Balance at</w:t>
            </w:r>
          </w:p>
        </w:tc>
      </w:tr>
      <w:tr>
        <w:trPr>
          <w:trHeight w:val="149"/>
        </w:trPr>
        <w:tc>
          <w:tcPr>
            <w:tcW w:w="13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9"/>
              </w:rPr>
              <w:t>January 1,</w:t>
            </w:r>
          </w:p>
        </w:tc>
        <w:tc>
          <w:tcPr>
            <w:tcW w:w="13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Doubtful</w:t>
            </w:r>
          </w:p>
        </w:tc>
        <w:tc>
          <w:tcPr>
            <w:tcW w:w="12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Net of</w:t>
            </w: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3"/>
              </w:rPr>
              <w:t>December 31,</w:t>
            </w:r>
          </w:p>
        </w:tc>
      </w:tr>
      <w:tr>
        <w:trPr>
          <w:trHeight w:val="161"/>
        </w:trPr>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3"/>
              </w:rPr>
              <w:t>2011</w:t>
            </w:r>
          </w:p>
        </w:tc>
        <w:tc>
          <w:tcPr>
            <w:tcW w:w="700" w:type="dxa"/>
            <w:vAlign w:val="bottom"/>
          </w:tcPr>
          <w:p>
            <w:pPr>
              <w:spacing w:after="0"/>
              <w:rPr>
                <w:sz w:val="14"/>
                <w:szCs w:val="14"/>
                <w:color w:val="auto"/>
              </w:rPr>
            </w:pPr>
          </w:p>
        </w:tc>
        <w:tc>
          <w:tcPr>
            <w:tcW w:w="132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4"/>
              </w:rPr>
              <w:t>Accounts</w:t>
            </w:r>
          </w:p>
        </w:tc>
        <w:tc>
          <w:tcPr>
            <w:tcW w:w="12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2"/>
              </w:rPr>
              <w:t>Recoveries</w:t>
            </w:r>
          </w:p>
        </w:tc>
        <w:tc>
          <w:tcPr>
            <w:tcW w:w="100" w:type="dxa"/>
            <w:vAlign w:val="bottom"/>
          </w:tcPr>
          <w:p>
            <w:pPr>
              <w:spacing w:after="0"/>
              <w:rPr>
                <w:sz w:val="14"/>
                <w:szCs w:val="14"/>
                <w:color w:val="auto"/>
              </w:rPr>
            </w:pPr>
          </w:p>
        </w:tc>
        <w:tc>
          <w:tcPr>
            <w:tcW w:w="700" w:type="dxa"/>
            <w:vAlign w:val="bottom"/>
          </w:tcPr>
          <w:p>
            <w:pPr>
              <w:jc w:val="center"/>
              <w:ind w:right="6"/>
              <w:spacing w:after="0"/>
              <w:rPr>
                <w:sz w:val="20"/>
                <w:szCs w:val="20"/>
                <w:color w:val="auto"/>
              </w:rPr>
            </w:pPr>
            <w:r>
              <w:rPr>
                <w:rFonts w:ascii="Arial" w:cs="Arial" w:eastAsia="Arial" w:hAnsi="Arial"/>
                <w:sz w:val="14"/>
                <w:szCs w:val="14"/>
                <w:b w:val="1"/>
                <w:bCs w:val="1"/>
                <w:color w:val="auto"/>
                <w:w w:val="83"/>
              </w:rPr>
              <w:t>2011</w:t>
            </w:r>
          </w:p>
        </w:tc>
      </w:tr>
      <w:tr>
        <w:trPr>
          <w:trHeight w:val="216"/>
        </w:trPr>
        <w:tc>
          <w:tcPr>
            <w:tcW w:w="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$ 44,306</w:t>
            </w:r>
          </w:p>
        </w:tc>
        <w:tc>
          <w:tcPr>
            <w:tcW w:w="70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20,332</w:t>
            </w:r>
          </w:p>
        </w:tc>
        <w:tc>
          <w:tcPr>
            <w:tcW w:w="68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(7,861)</w:t>
            </w:r>
          </w:p>
        </w:tc>
        <w:tc>
          <w:tcPr>
            <w:tcW w:w="58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56,777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-1785620</wp:posOffset>
            </wp:positionH>
            <wp:positionV relativeFrom="paragraph">
              <wp:posOffset>-1470025</wp:posOffset>
            </wp:positionV>
            <wp:extent cx="6663690" cy="146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663690" cy="146050"/>
                    </a:xfrm>
                    <a:prstGeom prst="rect">
                      <a:avLst/>
                    </a:prstGeom>
                    <a:noFill/>
                  </pic:spPr>
                </pic:pic>
              </a:graphicData>
            </a:graphic>
          </wp:anchor>
        </w:drawing>
        <w:drawing>
          <wp:anchor simplePos="0" relativeHeight="251657728" behindDoc="1" locked="0" layoutInCell="0" allowOverlap="1">
            <wp:simplePos x="0" y="0"/>
            <wp:positionH relativeFrom="column">
              <wp:posOffset>-1785620</wp:posOffset>
            </wp:positionH>
            <wp:positionV relativeFrom="paragraph">
              <wp:posOffset>-809625</wp:posOffset>
            </wp:positionV>
            <wp:extent cx="6663690" cy="146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663690" cy="146050"/>
                    </a:xfrm>
                    <a:prstGeom prst="rect">
                      <a:avLst/>
                    </a:prstGeom>
                    <a:noFill/>
                  </pic:spPr>
                </pic:pic>
              </a:graphicData>
            </a:graphic>
          </wp:anchor>
        </w:drawing>
        <w:drawing>
          <wp:anchor simplePos="0" relativeHeight="251657728" behindDoc="1" locked="0" layoutInCell="0" allowOverlap="1">
            <wp:simplePos x="0" y="0"/>
            <wp:positionH relativeFrom="column">
              <wp:posOffset>-1785620</wp:posOffset>
            </wp:positionH>
            <wp:positionV relativeFrom="paragraph">
              <wp:posOffset>-149225</wp:posOffset>
            </wp:positionV>
            <wp:extent cx="6663690" cy="146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663690" cy="146050"/>
                    </a:xfrm>
                    <a:prstGeom prst="rect">
                      <a:avLst/>
                    </a:prstGeom>
                    <a:noFill/>
                  </pic:spPr>
                </pic:pic>
              </a:graphicData>
            </a:graphic>
          </wp:anchor>
        </w:drawing>
      </w:r>
    </w:p>
    <w:p>
      <w:pPr>
        <w:spacing w:after="0" w:line="114"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68</w:t>
      </w:r>
    </w:p>
    <w:p>
      <w:pPr>
        <w:sectPr>
          <w:pgSz w:w="11900" w:h="16838" w:orient="portrait"/>
          <w:cols w:equalWidth="0" w:num="2">
            <w:col w:w="2780" w:space="500"/>
            <w:col w:w="7580"/>
          </w:cols>
          <w:pgMar w:left="240" w:top="459" w:right="79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(a)3. Exhibits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Exhibits that are not filed herewith have been previously filed with the SEC and are incorporated herein by reference.</w:t>
      </w:r>
    </w:p>
    <w:p>
      <w:pPr>
        <w:spacing w:after="0" w:line="327" w:lineRule="exact"/>
        <w:rPr>
          <w:sz w:val="20"/>
          <w:szCs w:val="20"/>
          <w:color w:val="auto"/>
        </w:rPr>
      </w:pPr>
    </w:p>
    <w:tbl>
      <w:tblPr>
        <w:tblLayout w:type="fixed"/>
        <w:tblInd w:w="12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tcPr>
          <w:p>
            <w:pPr>
              <w:jc w:val="center"/>
              <w:ind w:right="1053"/>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460" w:type="dxa"/>
            <w:vAlign w:val="bottom"/>
          </w:tcPr>
          <w:p>
            <w:pPr>
              <w:ind w:left="20"/>
              <w:spacing w:after="0"/>
              <w:rPr>
                <w:sz w:val="20"/>
                <w:szCs w:val="20"/>
                <w:color w:val="auto"/>
              </w:rPr>
            </w:pPr>
            <w:r>
              <w:rPr>
                <w:rFonts w:ascii="Arial" w:cs="Arial" w:eastAsia="Arial" w:hAnsi="Arial"/>
                <w:sz w:val="14"/>
                <w:szCs w:val="14"/>
                <w:b w:val="1"/>
                <w:bCs w:val="1"/>
                <w:color w:val="auto"/>
                <w:w w:val="89"/>
              </w:rPr>
              <w:t>Exhibit</w:t>
            </w:r>
          </w:p>
        </w:tc>
        <w:tc>
          <w:tcPr>
            <w:tcW w:w="580" w:type="dxa"/>
            <w:vAlign w:val="bottom"/>
          </w:tcPr>
          <w:p>
            <w:pPr>
              <w:spacing w:after="0"/>
              <w:rPr>
                <w:sz w:val="24"/>
                <w:szCs w:val="24"/>
                <w:color w:val="auto"/>
              </w:rPr>
            </w:pPr>
          </w:p>
        </w:tc>
        <w:tc>
          <w:tcPr>
            <w:tcW w:w="10260" w:type="dxa"/>
            <w:vAlign w:val="bottom"/>
          </w:tcPr>
          <w:p>
            <w:pPr>
              <w:spacing w:after="0"/>
              <w:rPr>
                <w:sz w:val="24"/>
                <w:szCs w:val="24"/>
                <w:color w:val="auto"/>
              </w:rPr>
            </w:pPr>
          </w:p>
        </w:tc>
      </w:tr>
      <w:tr>
        <w:trPr>
          <w:trHeight w:val="168"/>
        </w:trPr>
        <w:tc>
          <w:tcPr>
            <w:tcW w:w="4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No.</w:t>
            </w:r>
          </w:p>
        </w:tc>
        <w:tc>
          <w:tcPr>
            <w:tcW w:w="580" w:type="dxa"/>
            <w:vAlign w:val="bottom"/>
          </w:tcPr>
          <w:p>
            <w:pPr>
              <w:spacing w:after="0"/>
              <w:rPr>
                <w:sz w:val="14"/>
                <w:szCs w:val="14"/>
                <w:color w:val="auto"/>
              </w:rPr>
            </w:pPr>
          </w:p>
        </w:tc>
        <w:tc>
          <w:tcPr>
            <w:tcW w:w="10260" w:type="dxa"/>
            <w:vAlign w:val="bottom"/>
            <w:tcBorders>
              <w:bottom w:val="single" w:sz="8" w:color="auto"/>
            </w:tcBorders>
          </w:tcPr>
          <w:p>
            <w:pPr>
              <w:ind w:left="4800"/>
              <w:spacing w:after="0"/>
              <w:rPr>
                <w:sz w:val="20"/>
                <w:szCs w:val="20"/>
                <w:color w:val="auto"/>
              </w:rPr>
            </w:pPr>
            <w:r>
              <w:rPr>
                <w:rFonts w:ascii="Arial" w:cs="Arial" w:eastAsia="Arial" w:hAnsi="Arial"/>
                <w:sz w:val="14"/>
                <w:szCs w:val="14"/>
                <w:b w:val="1"/>
                <w:bCs w:val="1"/>
                <w:color w:val="auto"/>
              </w:rPr>
              <w:t>Description</w:t>
            </w:r>
          </w:p>
        </w:tc>
      </w:tr>
      <w:tr>
        <w:trPr>
          <w:trHeight w:val="309"/>
        </w:trPr>
        <w:tc>
          <w:tcPr>
            <w:tcW w:w="460" w:type="dxa"/>
            <w:vAlign w:val="bottom"/>
          </w:tcPr>
          <w:p>
            <w:pPr>
              <w:ind w:left="60"/>
              <w:spacing w:after="0"/>
              <w:rPr>
                <w:sz w:val="20"/>
                <w:szCs w:val="20"/>
                <w:color w:val="auto"/>
              </w:rPr>
            </w:pPr>
            <w:r>
              <w:rPr>
                <w:rFonts w:ascii="Arial" w:cs="Arial" w:eastAsia="Arial" w:hAnsi="Arial"/>
                <w:sz w:val="18"/>
                <w:szCs w:val="18"/>
                <w:color w:val="auto"/>
              </w:rPr>
              <w:t>3.1</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Second Amended and Restated Articles of Organization of Wynn Las Vegas, LLC. (1)</w:t>
            </w:r>
          </w:p>
        </w:tc>
      </w:tr>
      <w:tr>
        <w:trPr>
          <w:trHeight w:val="324"/>
        </w:trPr>
        <w:tc>
          <w:tcPr>
            <w:tcW w:w="460" w:type="dxa"/>
            <w:vAlign w:val="bottom"/>
          </w:tcPr>
          <w:p>
            <w:pPr>
              <w:ind w:left="60"/>
              <w:spacing w:after="0"/>
              <w:rPr>
                <w:sz w:val="20"/>
                <w:szCs w:val="20"/>
                <w:color w:val="auto"/>
              </w:rPr>
            </w:pPr>
            <w:r>
              <w:rPr>
                <w:rFonts w:ascii="Arial" w:cs="Arial" w:eastAsia="Arial" w:hAnsi="Arial"/>
                <w:sz w:val="18"/>
                <w:szCs w:val="18"/>
                <w:color w:val="auto"/>
              </w:rPr>
              <w:t>3.2</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Second Amended and Restated Operating Agreement of Wynn Las Vegas, LLC. (1)</w:t>
            </w:r>
          </w:p>
        </w:tc>
      </w:tr>
      <w:tr>
        <w:trPr>
          <w:trHeight w:val="324"/>
        </w:trPr>
        <w:tc>
          <w:tcPr>
            <w:tcW w:w="460" w:type="dxa"/>
            <w:vAlign w:val="bottom"/>
          </w:tcPr>
          <w:p>
            <w:pPr>
              <w:ind w:left="60"/>
              <w:spacing w:after="0"/>
              <w:rPr>
                <w:sz w:val="20"/>
                <w:szCs w:val="20"/>
                <w:color w:val="auto"/>
              </w:rPr>
            </w:pPr>
            <w:r>
              <w:rPr>
                <w:rFonts w:ascii="Arial" w:cs="Arial" w:eastAsia="Arial" w:hAnsi="Arial"/>
                <w:sz w:val="18"/>
                <w:szCs w:val="18"/>
                <w:color w:val="auto"/>
              </w:rPr>
              <w:t>3.3</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First Amended and Restated Articles of Incorporation of Wynn Las Vegas Capital Corp. (1)</w:t>
            </w:r>
          </w:p>
        </w:tc>
      </w:tr>
      <w:tr>
        <w:trPr>
          <w:trHeight w:val="324"/>
        </w:trPr>
        <w:tc>
          <w:tcPr>
            <w:tcW w:w="460" w:type="dxa"/>
            <w:vAlign w:val="bottom"/>
          </w:tcPr>
          <w:p>
            <w:pPr>
              <w:ind w:left="60"/>
              <w:spacing w:after="0"/>
              <w:rPr>
                <w:sz w:val="20"/>
                <w:szCs w:val="20"/>
                <w:color w:val="auto"/>
              </w:rPr>
            </w:pPr>
            <w:r>
              <w:rPr>
                <w:rFonts w:ascii="Arial" w:cs="Arial" w:eastAsia="Arial" w:hAnsi="Arial"/>
                <w:sz w:val="18"/>
                <w:szCs w:val="18"/>
                <w:color w:val="auto"/>
              </w:rPr>
              <w:t>3.4</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Certificate of Amendment of the Articles of Incorporation of Wynn Las Vegas Capital Corp. (1)</w:t>
            </w:r>
          </w:p>
        </w:tc>
      </w:tr>
      <w:tr>
        <w:trPr>
          <w:trHeight w:val="324"/>
        </w:trPr>
        <w:tc>
          <w:tcPr>
            <w:tcW w:w="460" w:type="dxa"/>
            <w:vAlign w:val="bottom"/>
          </w:tcPr>
          <w:p>
            <w:pPr>
              <w:ind w:left="60"/>
              <w:spacing w:after="0"/>
              <w:rPr>
                <w:sz w:val="20"/>
                <w:szCs w:val="20"/>
                <w:color w:val="auto"/>
              </w:rPr>
            </w:pPr>
            <w:r>
              <w:rPr>
                <w:rFonts w:ascii="Arial" w:cs="Arial" w:eastAsia="Arial" w:hAnsi="Arial"/>
                <w:sz w:val="18"/>
                <w:szCs w:val="18"/>
                <w:color w:val="auto"/>
              </w:rPr>
              <w:t>3.5</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First Amended and Restated Bylaws of Wynn Las Vegas Capital Corp. (1)</w:t>
            </w:r>
          </w:p>
        </w:tc>
      </w:tr>
      <w:tr>
        <w:trPr>
          <w:trHeight w:val="324"/>
        </w:trPr>
        <w:tc>
          <w:tcPr>
            <w:tcW w:w="460" w:type="dxa"/>
            <w:vAlign w:val="bottom"/>
          </w:tcPr>
          <w:p>
            <w:pPr>
              <w:ind w:left="60"/>
              <w:spacing w:after="0"/>
              <w:rPr>
                <w:sz w:val="20"/>
                <w:szCs w:val="20"/>
                <w:color w:val="auto"/>
              </w:rPr>
            </w:pPr>
            <w:r>
              <w:rPr>
                <w:rFonts w:ascii="Arial" w:cs="Arial" w:eastAsia="Arial" w:hAnsi="Arial"/>
                <w:sz w:val="18"/>
                <w:szCs w:val="18"/>
                <w:color w:val="auto"/>
              </w:rPr>
              <w:t>3.6</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First Amendment to the First Amended and Restated Bylaws of Wynn Las Vegas Capital Corp. (1)</w:t>
            </w:r>
          </w:p>
        </w:tc>
      </w:tr>
      <w:tr>
        <w:trPr>
          <w:trHeight w:val="324"/>
        </w:trPr>
        <w:tc>
          <w:tcPr>
            <w:tcW w:w="460" w:type="dxa"/>
            <w:vAlign w:val="bottom"/>
          </w:tcPr>
          <w:p>
            <w:pPr>
              <w:ind w:left="60"/>
              <w:spacing w:after="0"/>
              <w:rPr>
                <w:sz w:val="20"/>
                <w:szCs w:val="20"/>
                <w:color w:val="auto"/>
              </w:rPr>
            </w:pPr>
            <w:r>
              <w:rPr>
                <w:rFonts w:ascii="Arial" w:cs="Arial" w:eastAsia="Arial" w:hAnsi="Arial"/>
                <w:sz w:val="18"/>
                <w:szCs w:val="18"/>
                <w:color w:val="auto"/>
              </w:rPr>
              <w:t>3.7</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Second Amendment to the First Amended and Restated Bylaws of Wynn Las Vegas Capital Corp. (1)</w:t>
            </w:r>
          </w:p>
        </w:tc>
      </w:tr>
      <w:tr>
        <w:trPr>
          <w:trHeight w:val="324"/>
        </w:trPr>
        <w:tc>
          <w:tcPr>
            <w:tcW w:w="460" w:type="dxa"/>
            <w:vAlign w:val="bottom"/>
          </w:tcPr>
          <w:p>
            <w:pPr>
              <w:ind w:left="60"/>
              <w:spacing w:after="0"/>
              <w:rPr>
                <w:sz w:val="20"/>
                <w:szCs w:val="20"/>
                <w:color w:val="auto"/>
              </w:rPr>
            </w:pPr>
            <w:r>
              <w:rPr>
                <w:rFonts w:ascii="Arial" w:cs="Arial" w:eastAsia="Arial" w:hAnsi="Arial"/>
                <w:sz w:val="18"/>
                <w:szCs w:val="18"/>
                <w:color w:val="auto"/>
              </w:rPr>
              <w:t>3.8</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Articles of Organization of Kevyn, LLC. (10)</w:t>
            </w:r>
          </w:p>
        </w:tc>
      </w:tr>
      <w:tr>
        <w:trPr>
          <w:trHeight w:val="324"/>
        </w:trPr>
        <w:tc>
          <w:tcPr>
            <w:tcW w:w="460" w:type="dxa"/>
            <w:vAlign w:val="bottom"/>
          </w:tcPr>
          <w:p>
            <w:pPr>
              <w:ind w:left="60"/>
              <w:spacing w:after="0"/>
              <w:rPr>
                <w:sz w:val="20"/>
                <w:szCs w:val="20"/>
                <w:color w:val="auto"/>
              </w:rPr>
            </w:pPr>
            <w:r>
              <w:rPr>
                <w:rFonts w:ascii="Arial" w:cs="Arial" w:eastAsia="Arial" w:hAnsi="Arial"/>
                <w:sz w:val="18"/>
                <w:szCs w:val="18"/>
                <w:color w:val="auto"/>
              </w:rPr>
              <w:t>3.9</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Operating Agreement of Kevyn, LLC. (10)</w:t>
            </w:r>
          </w:p>
        </w:tc>
      </w:tr>
      <w:tr>
        <w:trPr>
          <w:trHeight w:val="324"/>
        </w:trPr>
        <w:tc>
          <w:tcPr>
            <w:tcW w:w="460" w:type="dxa"/>
            <w:vAlign w:val="bottom"/>
          </w:tcPr>
          <w:p>
            <w:pPr>
              <w:ind w:left="60"/>
              <w:spacing w:after="0"/>
              <w:rPr>
                <w:sz w:val="20"/>
                <w:szCs w:val="20"/>
                <w:color w:val="auto"/>
              </w:rPr>
            </w:pPr>
            <w:r>
              <w:rPr>
                <w:rFonts w:ascii="Arial" w:cs="Arial" w:eastAsia="Arial" w:hAnsi="Arial"/>
                <w:sz w:val="18"/>
                <w:szCs w:val="18"/>
                <w:color w:val="auto"/>
              </w:rPr>
              <w:t>3.10</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Amended and Restated Articles of Organization of Wynn Golf, LLC. (1)</w:t>
            </w:r>
          </w:p>
        </w:tc>
      </w:tr>
      <w:tr>
        <w:trPr>
          <w:trHeight w:val="324"/>
        </w:trPr>
        <w:tc>
          <w:tcPr>
            <w:tcW w:w="460" w:type="dxa"/>
            <w:vAlign w:val="bottom"/>
          </w:tcPr>
          <w:p>
            <w:pPr>
              <w:ind w:left="60"/>
              <w:spacing w:after="0"/>
              <w:rPr>
                <w:sz w:val="20"/>
                <w:szCs w:val="20"/>
                <w:color w:val="auto"/>
              </w:rPr>
            </w:pPr>
            <w:r>
              <w:rPr>
                <w:rFonts w:ascii="Arial" w:cs="Arial" w:eastAsia="Arial" w:hAnsi="Arial"/>
                <w:sz w:val="18"/>
                <w:szCs w:val="18"/>
                <w:color w:val="auto"/>
              </w:rPr>
              <w:t>3.11</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First Amended and Restated Operating Agreement of Wynn Golf, LLC. (1)</w:t>
            </w:r>
          </w:p>
        </w:tc>
      </w:tr>
      <w:tr>
        <w:trPr>
          <w:trHeight w:val="324"/>
        </w:trPr>
        <w:tc>
          <w:tcPr>
            <w:tcW w:w="460" w:type="dxa"/>
            <w:vAlign w:val="bottom"/>
          </w:tcPr>
          <w:p>
            <w:pPr>
              <w:ind w:left="60"/>
              <w:spacing w:after="0"/>
              <w:rPr>
                <w:sz w:val="20"/>
                <w:szCs w:val="20"/>
                <w:color w:val="auto"/>
              </w:rPr>
            </w:pPr>
            <w:r>
              <w:rPr>
                <w:rFonts w:ascii="Arial" w:cs="Arial" w:eastAsia="Arial" w:hAnsi="Arial"/>
                <w:sz w:val="18"/>
                <w:szCs w:val="18"/>
                <w:color w:val="auto"/>
              </w:rPr>
              <w:t>3.12</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Second Amended and Restated Articles of Organization of Las Vegas Jet, LLC. (1)</w:t>
            </w:r>
          </w:p>
        </w:tc>
      </w:tr>
      <w:tr>
        <w:trPr>
          <w:trHeight w:val="324"/>
        </w:trPr>
        <w:tc>
          <w:tcPr>
            <w:tcW w:w="460" w:type="dxa"/>
            <w:vAlign w:val="bottom"/>
          </w:tcPr>
          <w:p>
            <w:pPr>
              <w:ind w:left="60"/>
              <w:spacing w:after="0"/>
              <w:rPr>
                <w:sz w:val="20"/>
                <w:szCs w:val="20"/>
                <w:color w:val="auto"/>
              </w:rPr>
            </w:pPr>
            <w:r>
              <w:rPr>
                <w:rFonts w:ascii="Arial" w:cs="Arial" w:eastAsia="Arial" w:hAnsi="Arial"/>
                <w:sz w:val="18"/>
                <w:szCs w:val="18"/>
                <w:color w:val="auto"/>
              </w:rPr>
              <w:t>3.13</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Second Amended and Restated Operating Agreement of Las Vegas Jet, LLC. (1)</w:t>
            </w:r>
          </w:p>
        </w:tc>
      </w:tr>
      <w:tr>
        <w:trPr>
          <w:trHeight w:val="324"/>
        </w:trPr>
        <w:tc>
          <w:tcPr>
            <w:tcW w:w="460" w:type="dxa"/>
            <w:vAlign w:val="bottom"/>
          </w:tcPr>
          <w:p>
            <w:pPr>
              <w:ind w:left="60"/>
              <w:spacing w:after="0"/>
              <w:rPr>
                <w:sz w:val="20"/>
                <w:szCs w:val="20"/>
                <w:color w:val="auto"/>
              </w:rPr>
            </w:pPr>
            <w:r>
              <w:rPr>
                <w:rFonts w:ascii="Arial" w:cs="Arial" w:eastAsia="Arial" w:hAnsi="Arial"/>
                <w:sz w:val="18"/>
                <w:szCs w:val="18"/>
                <w:color w:val="auto"/>
              </w:rPr>
              <w:t>3.14</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Articles of Organization of Wynn Sunrise, LLC. (1)</w:t>
            </w:r>
          </w:p>
        </w:tc>
      </w:tr>
      <w:tr>
        <w:trPr>
          <w:trHeight w:val="324"/>
        </w:trPr>
        <w:tc>
          <w:tcPr>
            <w:tcW w:w="460" w:type="dxa"/>
            <w:vAlign w:val="bottom"/>
          </w:tcPr>
          <w:p>
            <w:pPr>
              <w:ind w:left="60"/>
              <w:spacing w:after="0"/>
              <w:rPr>
                <w:sz w:val="20"/>
                <w:szCs w:val="20"/>
                <w:color w:val="auto"/>
              </w:rPr>
            </w:pPr>
            <w:r>
              <w:rPr>
                <w:rFonts w:ascii="Arial" w:cs="Arial" w:eastAsia="Arial" w:hAnsi="Arial"/>
                <w:sz w:val="18"/>
                <w:szCs w:val="18"/>
                <w:color w:val="auto"/>
              </w:rPr>
              <w:t>3.15</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First Amended and Restated Operating Agreement of Wynn Sunrise, LLC. (1)</w:t>
            </w:r>
          </w:p>
        </w:tc>
      </w:tr>
      <w:tr>
        <w:trPr>
          <w:trHeight w:val="324"/>
        </w:trPr>
        <w:tc>
          <w:tcPr>
            <w:tcW w:w="460" w:type="dxa"/>
            <w:vAlign w:val="bottom"/>
          </w:tcPr>
          <w:p>
            <w:pPr>
              <w:ind w:left="60"/>
              <w:spacing w:after="0"/>
              <w:rPr>
                <w:sz w:val="20"/>
                <w:szCs w:val="20"/>
                <w:color w:val="auto"/>
              </w:rPr>
            </w:pPr>
            <w:r>
              <w:rPr>
                <w:rFonts w:ascii="Arial" w:cs="Arial" w:eastAsia="Arial" w:hAnsi="Arial"/>
                <w:sz w:val="18"/>
                <w:szCs w:val="18"/>
                <w:color w:val="auto"/>
              </w:rPr>
              <w:t>3.16</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Second Amended and Restated Articles of Organization of World Travel, LLC. (1)</w:t>
            </w:r>
          </w:p>
        </w:tc>
      </w:tr>
      <w:tr>
        <w:trPr>
          <w:trHeight w:val="324"/>
        </w:trPr>
        <w:tc>
          <w:tcPr>
            <w:tcW w:w="460" w:type="dxa"/>
            <w:vAlign w:val="bottom"/>
          </w:tcPr>
          <w:p>
            <w:pPr>
              <w:ind w:left="60"/>
              <w:spacing w:after="0"/>
              <w:rPr>
                <w:sz w:val="20"/>
                <w:szCs w:val="20"/>
                <w:color w:val="auto"/>
              </w:rPr>
            </w:pPr>
            <w:r>
              <w:rPr>
                <w:rFonts w:ascii="Arial" w:cs="Arial" w:eastAsia="Arial" w:hAnsi="Arial"/>
                <w:sz w:val="18"/>
                <w:szCs w:val="18"/>
                <w:color w:val="auto"/>
              </w:rPr>
              <w:t>3.17</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Second Amended and Restated Operating Agreement of World Travel, LLC. (1)</w:t>
            </w:r>
          </w:p>
        </w:tc>
      </w:tr>
      <w:tr>
        <w:trPr>
          <w:trHeight w:val="324"/>
        </w:trPr>
        <w:tc>
          <w:tcPr>
            <w:tcW w:w="460" w:type="dxa"/>
            <w:vAlign w:val="bottom"/>
          </w:tcPr>
          <w:p>
            <w:pPr>
              <w:ind w:left="60"/>
              <w:spacing w:after="0"/>
              <w:rPr>
                <w:sz w:val="20"/>
                <w:szCs w:val="20"/>
                <w:color w:val="auto"/>
              </w:rPr>
            </w:pPr>
            <w:r>
              <w:rPr>
                <w:rFonts w:ascii="Arial" w:cs="Arial" w:eastAsia="Arial" w:hAnsi="Arial"/>
                <w:sz w:val="18"/>
                <w:szCs w:val="18"/>
                <w:color w:val="auto"/>
              </w:rPr>
              <w:t>3.18</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First Amended and Restated Articles of Organization of Wynn Show Performers, LLC. (1)</w:t>
            </w:r>
          </w:p>
        </w:tc>
      </w:tr>
      <w:tr>
        <w:trPr>
          <w:trHeight w:val="324"/>
        </w:trPr>
        <w:tc>
          <w:tcPr>
            <w:tcW w:w="460" w:type="dxa"/>
            <w:vAlign w:val="bottom"/>
          </w:tcPr>
          <w:p>
            <w:pPr>
              <w:ind w:left="60"/>
              <w:spacing w:after="0"/>
              <w:rPr>
                <w:sz w:val="20"/>
                <w:szCs w:val="20"/>
                <w:color w:val="auto"/>
              </w:rPr>
            </w:pPr>
            <w:r>
              <w:rPr>
                <w:rFonts w:ascii="Arial" w:cs="Arial" w:eastAsia="Arial" w:hAnsi="Arial"/>
                <w:sz w:val="18"/>
                <w:szCs w:val="18"/>
                <w:color w:val="auto"/>
              </w:rPr>
              <w:t>3.19</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First Amended and Restated Operating Agreement of Wynn Show Performers, LLC. (1)</w:t>
            </w:r>
          </w:p>
        </w:tc>
      </w:tr>
      <w:tr>
        <w:trPr>
          <w:trHeight w:val="318"/>
        </w:trPr>
        <w:tc>
          <w:tcPr>
            <w:tcW w:w="460" w:type="dxa"/>
            <w:vAlign w:val="bottom"/>
          </w:tcPr>
          <w:p>
            <w:pPr>
              <w:ind w:left="60"/>
              <w:spacing w:after="0"/>
              <w:rPr>
                <w:sz w:val="20"/>
                <w:szCs w:val="20"/>
                <w:color w:val="auto"/>
              </w:rPr>
            </w:pPr>
            <w:r>
              <w:rPr>
                <w:rFonts w:ascii="Arial" w:cs="Arial" w:eastAsia="Arial" w:hAnsi="Arial"/>
                <w:sz w:val="18"/>
                <w:szCs w:val="18"/>
                <w:color w:val="auto"/>
              </w:rPr>
              <w:t>4.1</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8"/>
              </w:rPr>
              <w:t>Indenture, dated as of October 19, 2009, among Wynn Las Vegas, LLC, Wynn Las Vegas Capital Corp., the Guarantors set forth therein and U.S.</w:t>
            </w:r>
          </w:p>
        </w:tc>
      </w:tr>
      <w:tr>
        <w:trPr>
          <w:trHeight w:val="222"/>
        </w:trPr>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Bank National Association, as trustee. (11)</w:t>
            </w:r>
          </w:p>
        </w:tc>
      </w:tr>
      <w:tr>
        <w:trPr>
          <w:trHeight w:val="318"/>
        </w:trPr>
        <w:tc>
          <w:tcPr>
            <w:tcW w:w="460" w:type="dxa"/>
            <w:vAlign w:val="bottom"/>
          </w:tcPr>
          <w:p>
            <w:pPr>
              <w:ind w:left="60"/>
              <w:spacing w:after="0"/>
              <w:rPr>
                <w:sz w:val="20"/>
                <w:szCs w:val="20"/>
                <w:color w:val="auto"/>
              </w:rPr>
            </w:pPr>
            <w:r>
              <w:rPr>
                <w:rFonts w:ascii="Arial" w:cs="Arial" w:eastAsia="Arial" w:hAnsi="Arial"/>
                <w:sz w:val="18"/>
                <w:szCs w:val="18"/>
                <w:color w:val="auto"/>
              </w:rPr>
              <w:t>4.2</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8"/>
              </w:rPr>
              <w:t>Indenture, dated as of April 28, 2010, by and among Wynn Las Vegas, LLC, Wynn Las Vegas Capital Corp., the Guarantors set forth therein and</w:t>
            </w:r>
          </w:p>
        </w:tc>
      </w:tr>
      <w:tr>
        <w:trPr>
          <w:trHeight w:val="222"/>
        </w:trPr>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U.S. Bank National Association, as trustee. (13)</w:t>
            </w:r>
          </w:p>
        </w:tc>
      </w:tr>
      <w:tr>
        <w:trPr>
          <w:trHeight w:val="318"/>
        </w:trPr>
        <w:tc>
          <w:tcPr>
            <w:tcW w:w="460" w:type="dxa"/>
            <w:vAlign w:val="bottom"/>
          </w:tcPr>
          <w:p>
            <w:pPr>
              <w:ind w:left="60"/>
              <w:spacing w:after="0"/>
              <w:rPr>
                <w:sz w:val="20"/>
                <w:szCs w:val="20"/>
                <w:color w:val="auto"/>
              </w:rPr>
            </w:pPr>
            <w:r>
              <w:rPr>
                <w:rFonts w:ascii="Arial" w:cs="Arial" w:eastAsia="Arial" w:hAnsi="Arial"/>
                <w:sz w:val="18"/>
                <w:szCs w:val="18"/>
                <w:color w:val="auto"/>
              </w:rPr>
              <w:t>4.3</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Indenture, dated as of August 4, 2010, among Wynn Las Vegas, LLC, Wynn Las Vegas Capital Corp., the Guarantors named therein and U.S.</w:t>
            </w:r>
          </w:p>
        </w:tc>
      </w:tr>
      <w:tr>
        <w:trPr>
          <w:trHeight w:val="222"/>
        </w:trPr>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Bank National Association, as trustee. (14)</w:t>
            </w:r>
          </w:p>
        </w:tc>
      </w:tr>
      <w:tr>
        <w:trPr>
          <w:trHeight w:val="318"/>
        </w:trPr>
        <w:tc>
          <w:tcPr>
            <w:tcW w:w="460" w:type="dxa"/>
            <w:vAlign w:val="bottom"/>
          </w:tcPr>
          <w:p>
            <w:pPr>
              <w:ind w:left="60"/>
              <w:spacing w:after="0"/>
              <w:rPr>
                <w:sz w:val="20"/>
                <w:szCs w:val="20"/>
                <w:color w:val="auto"/>
              </w:rPr>
            </w:pPr>
            <w:r>
              <w:rPr>
                <w:rFonts w:ascii="Arial" w:cs="Arial" w:eastAsia="Arial" w:hAnsi="Arial"/>
                <w:sz w:val="18"/>
                <w:szCs w:val="18"/>
                <w:color w:val="auto"/>
              </w:rPr>
              <w:t>4.4</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7"/>
              </w:rPr>
              <w:t>Indenture, dated as of March 12, 2012, by and among Wynn Las Vegas, LLC, Wynn Las Vegas Capital Corp., the Guarantors set forth therein and</w:t>
            </w:r>
          </w:p>
        </w:tc>
      </w:tr>
      <w:tr>
        <w:trPr>
          <w:trHeight w:val="222"/>
        </w:trPr>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U.S. Bank National Association, as trustee. (16)</w:t>
            </w:r>
          </w:p>
        </w:tc>
      </w:tr>
      <w:tr>
        <w:trPr>
          <w:trHeight w:val="318"/>
        </w:trPr>
        <w:tc>
          <w:tcPr>
            <w:tcW w:w="460" w:type="dxa"/>
            <w:vAlign w:val="bottom"/>
          </w:tcPr>
          <w:p>
            <w:pPr>
              <w:ind w:left="60"/>
              <w:spacing w:after="0"/>
              <w:rPr>
                <w:sz w:val="20"/>
                <w:szCs w:val="20"/>
                <w:color w:val="auto"/>
              </w:rPr>
            </w:pPr>
            <w:r>
              <w:rPr>
                <w:rFonts w:ascii="Arial" w:cs="Arial" w:eastAsia="Arial" w:hAnsi="Arial"/>
                <w:sz w:val="18"/>
                <w:szCs w:val="18"/>
                <w:color w:val="auto"/>
              </w:rPr>
              <w:t>4.5</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7"/>
              </w:rPr>
              <w:t>Third Supplemental Indenture, dated August 4, 2010, among Wynn Las Vegas, LLC, Wynn Las Vegas Capital Corp., the Guarantors name therein</w:t>
            </w:r>
          </w:p>
        </w:tc>
      </w:tr>
      <w:tr>
        <w:trPr>
          <w:trHeight w:val="222"/>
        </w:trPr>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and U.S. Bank National Association, as trustee. (14)</w:t>
            </w:r>
          </w:p>
        </w:tc>
      </w:tr>
      <w:tr>
        <w:trPr>
          <w:trHeight w:val="318"/>
        </w:trPr>
        <w:tc>
          <w:tcPr>
            <w:tcW w:w="460" w:type="dxa"/>
            <w:vAlign w:val="bottom"/>
          </w:tcPr>
          <w:p>
            <w:pPr>
              <w:ind w:left="60"/>
              <w:spacing w:after="0"/>
              <w:rPr>
                <w:sz w:val="20"/>
                <w:szCs w:val="20"/>
                <w:color w:val="auto"/>
              </w:rPr>
            </w:pPr>
            <w:r>
              <w:rPr>
                <w:rFonts w:ascii="Arial" w:cs="Arial" w:eastAsia="Arial" w:hAnsi="Arial"/>
                <w:sz w:val="18"/>
                <w:szCs w:val="18"/>
                <w:color w:val="auto"/>
              </w:rPr>
              <w:t>4.6</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8"/>
              </w:rPr>
              <w:t>Indenture, dated May 22, 2013, among Wynn Las Vegas, LLC, Wynn Las Vegas Capital Corp., the Guarantors named therein and the U.S. Bank</w:t>
            </w:r>
          </w:p>
        </w:tc>
      </w:tr>
      <w:tr>
        <w:trPr>
          <w:trHeight w:val="222"/>
        </w:trPr>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National Association. (21)</w:t>
            </w:r>
          </w:p>
        </w:tc>
      </w:tr>
      <w:tr>
        <w:trPr>
          <w:trHeight w:val="365"/>
        </w:trPr>
        <w:tc>
          <w:tcPr>
            <w:tcW w:w="460" w:type="dxa"/>
            <w:vAlign w:val="bottom"/>
          </w:tcPr>
          <w:p>
            <w:pPr>
              <w:spacing w:after="0"/>
              <w:rPr>
                <w:sz w:val="24"/>
                <w:szCs w:val="24"/>
                <w:color w:val="auto"/>
              </w:rPr>
            </w:pPr>
          </w:p>
        </w:tc>
        <w:tc>
          <w:tcPr>
            <w:tcW w:w="10840" w:type="dxa"/>
            <w:vAlign w:val="bottom"/>
            <w:gridSpan w:val="2"/>
          </w:tcPr>
          <w:p>
            <w:pPr>
              <w:jc w:val="right"/>
              <w:ind w:right="5533"/>
              <w:spacing w:after="0"/>
              <w:rPr>
                <w:sz w:val="20"/>
                <w:szCs w:val="20"/>
                <w:color w:val="auto"/>
              </w:rPr>
            </w:pPr>
            <w:r>
              <w:rPr>
                <w:rFonts w:ascii="Arial" w:cs="Arial" w:eastAsia="Arial" w:hAnsi="Arial"/>
                <w:sz w:val="18"/>
                <w:szCs w:val="18"/>
                <w:color w:val="auto"/>
              </w:rPr>
              <w:t>69</w:t>
            </w:r>
          </w:p>
        </w:tc>
      </w:tr>
    </w:tbl>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80" w:type="dxa"/>
            <w:vAlign w:val="bottom"/>
          </w:tcPr>
          <w:p>
            <w:pPr>
              <w:spacing w:after="0"/>
              <w:rPr>
                <w:sz w:val="14"/>
                <w:szCs w:val="14"/>
                <w:color w:val="auto"/>
              </w:rPr>
            </w:pPr>
          </w:p>
        </w:tc>
        <w:tc>
          <w:tcPr>
            <w:tcW w:w="1026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8"/>
              </w:rPr>
              <w:t>No.</w:t>
            </w:r>
          </w:p>
        </w:tc>
        <w:tc>
          <w:tcPr>
            <w:tcW w:w="580" w:type="dxa"/>
            <w:vAlign w:val="bottom"/>
          </w:tcPr>
          <w:p>
            <w:pPr>
              <w:spacing w:after="0"/>
              <w:rPr>
                <w:sz w:val="14"/>
                <w:szCs w:val="14"/>
                <w:color w:val="auto"/>
              </w:rPr>
            </w:pPr>
          </w:p>
        </w:tc>
        <w:tc>
          <w:tcPr>
            <w:tcW w:w="10260" w:type="dxa"/>
            <w:vAlign w:val="bottom"/>
            <w:tcBorders>
              <w:bottom w:val="single" w:sz="8" w:color="auto"/>
            </w:tcBorders>
          </w:tcPr>
          <w:p>
            <w:pPr>
              <w:ind w:left="4800"/>
              <w:spacing w:after="0"/>
              <w:rPr>
                <w:sz w:val="20"/>
                <w:szCs w:val="20"/>
                <w:color w:val="auto"/>
              </w:rPr>
            </w:pPr>
            <w:r>
              <w:rPr>
                <w:rFonts w:ascii="Arial" w:cs="Arial" w:eastAsia="Arial" w:hAnsi="Arial"/>
                <w:sz w:val="14"/>
                <w:szCs w:val="14"/>
                <w:b w:val="1"/>
                <w:bCs w:val="1"/>
                <w:color w:val="auto"/>
              </w:rPr>
              <w:t>Description</w:t>
            </w:r>
          </w:p>
        </w:tc>
      </w:tr>
      <w:tr>
        <w:trPr>
          <w:trHeight w:val="302"/>
        </w:trPr>
        <w:tc>
          <w:tcPr>
            <w:tcW w:w="480" w:type="dxa"/>
            <w:vAlign w:val="bottom"/>
            <w:gridSpan w:val="2"/>
          </w:tcPr>
          <w:p>
            <w:pPr>
              <w:ind w:left="80"/>
              <w:spacing w:after="0"/>
              <w:rPr>
                <w:sz w:val="20"/>
                <w:szCs w:val="20"/>
                <w:color w:val="auto"/>
              </w:rPr>
            </w:pPr>
            <w:r>
              <w:rPr>
                <w:rFonts w:ascii="Arial" w:cs="Arial" w:eastAsia="Arial" w:hAnsi="Arial"/>
                <w:sz w:val="18"/>
                <w:szCs w:val="18"/>
                <w:color w:val="auto"/>
              </w:rPr>
              <w:t>4.7</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8"/>
              </w:rPr>
              <w:t>Supplemental Indenture, dated May 22, 2013, among Wynn Las Vegas, LLC, Wynn Las Vegas Capital Corp., the Guarantors named therein and</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the U.S. Bank National Association. (21)</w:t>
            </w:r>
          </w:p>
        </w:tc>
      </w:tr>
      <w:tr>
        <w:trPr>
          <w:trHeight w:val="318"/>
        </w:trPr>
        <w:tc>
          <w:tcPr>
            <w:tcW w:w="480" w:type="dxa"/>
            <w:vAlign w:val="bottom"/>
            <w:gridSpan w:val="2"/>
          </w:tcPr>
          <w:p>
            <w:pPr>
              <w:spacing w:after="0"/>
              <w:rPr>
                <w:sz w:val="20"/>
                <w:szCs w:val="20"/>
                <w:color w:val="auto"/>
              </w:rPr>
            </w:pPr>
            <w:r>
              <w:rPr>
                <w:rFonts w:ascii="Arial" w:cs="Arial" w:eastAsia="Arial" w:hAnsi="Arial"/>
                <w:sz w:val="18"/>
                <w:szCs w:val="18"/>
                <w:color w:val="auto"/>
              </w:rPr>
              <w:t>10.1</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9"/>
              </w:rPr>
              <w:t>Amended and Restated Master Disbursement Agreement, dated as of October 25, 2007, by and among Wynn Las Vegas, LLC, Deutsche Bank</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Trust Company Americas, as the initial Bank Agent, and Deutsche Bank Trust Company America, as the initial Disbursement Agent. (9)</w:t>
            </w:r>
          </w:p>
        </w:tc>
      </w:tr>
      <w:tr>
        <w:trPr>
          <w:trHeight w:val="318"/>
        </w:trPr>
        <w:tc>
          <w:tcPr>
            <w:tcW w:w="480" w:type="dxa"/>
            <w:vAlign w:val="bottom"/>
            <w:gridSpan w:val="2"/>
          </w:tcPr>
          <w:p>
            <w:pPr>
              <w:spacing w:after="0"/>
              <w:rPr>
                <w:sz w:val="20"/>
                <w:szCs w:val="20"/>
                <w:color w:val="auto"/>
              </w:rPr>
            </w:pPr>
            <w:r>
              <w:rPr>
                <w:rFonts w:ascii="Arial" w:cs="Arial" w:eastAsia="Arial" w:hAnsi="Arial"/>
                <w:sz w:val="18"/>
                <w:szCs w:val="18"/>
                <w:color w:val="auto"/>
              </w:rPr>
              <w:t>10.2</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First Amendment to Amended and Restated Master Disbursement Agreement, dated as of October 31, 2007, by and among Wynn Las Vegas,</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7"/>
              </w:rPr>
              <w:t>LLC, Deutsche Bank Trust Company Americas, as the initial Bank Agent, and Deutsche Bank Trust Company America, as the initial</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Disbursement Agent. (7)</w:t>
            </w:r>
          </w:p>
        </w:tc>
      </w:tr>
      <w:tr>
        <w:trPr>
          <w:trHeight w:val="318"/>
        </w:trPr>
        <w:tc>
          <w:tcPr>
            <w:tcW w:w="480" w:type="dxa"/>
            <w:vAlign w:val="bottom"/>
            <w:gridSpan w:val="2"/>
          </w:tcPr>
          <w:p>
            <w:pPr>
              <w:spacing w:after="0"/>
              <w:rPr>
                <w:sz w:val="20"/>
                <w:szCs w:val="20"/>
                <w:color w:val="auto"/>
              </w:rPr>
            </w:pPr>
            <w:r>
              <w:rPr>
                <w:rFonts w:ascii="Arial" w:cs="Arial" w:eastAsia="Arial" w:hAnsi="Arial"/>
                <w:sz w:val="18"/>
                <w:szCs w:val="18"/>
                <w:color w:val="auto"/>
              </w:rPr>
              <w:t>10.3</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7"/>
              </w:rPr>
              <w:t>Second Amendment to Amended and Restated Master Disbursement Agreement, dated as of November 6, 2007, by and among Wynn Las Vegas,</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LLC, Deutsche Bank Trust Company Americas, as the Bank Agent, and Deutsche Bank Trust Company Americas, as the Disbursement Agent.</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40" w:type="dxa"/>
            <w:vAlign w:val="bottom"/>
            <w:gridSpan w:val="2"/>
          </w:tcPr>
          <w:p>
            <w:pPr>
              <w:ind w:left="580"/>
              <w:spacing w:after="0"/>
              <w:rPr>
                <w:sz w:val="20"/>
                <w:szCs w:val="20"/>
                <w:color w:val="auto"/>
              </w:rPr>
            </w:pPr>
            <w:r>
              <w:rPr>
                <w:rFonts w:ascii="Arial" w:cs="Arial" w:eastAsia="Arial" w:hAnsi="Arial"/>
                <w:sz w:val="18"/>
                <w:szCs w:val="18"/>
                <w:color w:val="auto"/>
              </w:rPr>
              <w:t>(8)</w:t>
            </w:r>
          </w:p>
        </w:tc>
      </w:tr>
      <w:tr>
        <w:trPr>
          <w:trHeight w:val="318"/>
        </w:trPr>
        <w:tc>
          <w:tcPr>
            <w:tcW w:w="480" w:type="dxa"/>
            <w:vAlign w:val="bottom"/>
            <w:gridSpan w:val="2"/>
          </w:tcPr>
          <w:p>
            <w:pPr>
              <w:spacing w:after="0"/>
              <w:rPr>
                <w:sz w:val="20"/>
                <w:szCs w:val="20"/>
                <w:color w:val="auto"/>
              </w:rPr>
            </w:pPr>
            <w:r>
              <w:rPr>
                <w:rFonts w:ascii="Arial" w:cs="Arial" w:eastAsia="Arial" w:hAnsi="Arial"/>
                <w:sz w:val="18"/>
                <w:szCs w:val="18"/>
                <w:color w:val="auto"/>
              </w:rPr>
              <w:t>10.4</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9"/>
              </w:rPr>
              <w:t>Third Amendment to Amended and Restated Master Disbursement Agreement, dated October 19, 2009, by and among Wynn Las Vegas, LLC,</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Deutsche Bank Trust Company Americas, as the Bank Agent, and Deutsche Bank Trust Company Americas, as the Disbursement Agent. (11)</w:t>
            </w:r>
          </w:p>
        </w:tc>
      </w:tr>
      <w:tr>
        <w:trPr>
          <w:trHeight w:val="318"/>
        </w:trPr>
        <w:tc>
          <w:tcPr>
            <w:tcW w:w="480" w:type="dxa"/>
            <w:vAlign w:val="bottom"/>
            <w:gridSpan w:val="2"/>
          </w:tcPr>
          <w:p>
            <w:pPr>
              <w:spacing w:after="0"/>
              <w:rPr>
                <w:sz w:val="20"/>
                <w:szCs w:val="20"/>
                <w:color w:val="auto"/>
              </w:rPr>
            </w:pPr>
            <w:r>
              <w:rPr>
                <w:rFonts w:ascii="Arial" w:cs="Arial" w:eastAsia="Arial" w:hAnsi="Arial"/>
                <w:sz w:val="18"/>
                <w:szCs w:val="18"/>
                <w:color w:val="auto"/>
              </w:rPr>
              <w:t>10.5</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Fourth Amendment to Amended and Restated Master Disbursement Agreement, dated April 28, 2010, by and among Wynn Las Vegas, LLC,</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Deutsche Bank Trust Company Americas, as the Bank Agent, and Deutsche Bank Trust Company Americas, as the Disbursement Agent. (13)</w:t>
            </w:r>
          </w:p>
        </w:tc>
      </w:tr>
      <w:tr>
        <w:trPr>
          <w:trHeight w:val="318"/>
        </w:trPr>
        <w:tc>
          <w:tcPr>
            <w:tcW w:w="480" w:type="dxa"/>
            <w:vAlign w:val="bottom"/>
            <w:gridSpan w:val="2"/>
          </w:tcPr>
          <w:p>
            <w:pPr>
              <w:spacing w:after="0"/>
              <w:rPr>
                <w:sz w:val="20"/>
                <w:szCs w:val="20"/>
                <w:color w:val="auto"/>
              </w:rPr>
            </w:pPr>
            <w:r>
              <w:rPr>
                <w:rFonts w:ascii="Arial" w:cs="Arial" w:eastAsia="Arial" w:hAnsi="Arial"/>
                <w:sz w:val="18"/>
                <w:szCs w:val="18"/>
                <w:color w:val="auto"/>
              </w:rPr>
              <w:t>10.6</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Fifth Amendment to Amended and Restated Master Disbursement Agreement, dated August 4, 2010, by and among Wynn Las Vegas, LLC,</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Deutsche Bank Trust Company Americas, as the Bank Agent, and Deutsche Bank Trust Company Americas, as the Disbursement Agent. (19)</w:t>
            </w:r>
          </w:p>
        </w:tc>
      </w:tr>
      <w:tr>
        <w:trPr>
          <w:trHeight w:val="318"/>
        </w:trPr>
        <w:tc>
          <w:tcPr>
            <w:tcW w:w="480" w:type="dxa"/>
            <w:vAlign w:val="bottom"/>
            <w:gridSpan w:val="2"/>
          </w:tcPr>
          <w:p>
            <w:pPr>
              <w:spacing w:after="0"/>
              <w:rPr>
                <w:sz w:val="20"/>
                <w:szCs w:val="20"/>
                <w:color w:val="auto"/>
              </w:rPr>
            </w:pPr>
            <w:r>
              <w:rPr>
                <w:rFonts w:ascii="Arial" w:cs="Arial" w:eastAsia="Arial" w:hAnsi="Arial"/>
                <w:sz w:val="18"/>
                <w:szCs w:val="18"/>
                <w:color w:val="auto"/>
              </w:rPr>
              <w:t>10.7</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Sixth Amendment to Amended and Restated Master Disbursement Agreement, dated March 12, 2012, by and among Wynn Las Vegas, LLC,</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Deutsche Bank Trust Company Americas, as the Bank Agent, and Deutsche Bank Trust Company Americas, as the Disbursement Agent. (16)</w:t>
            </w:r>
          </w:p>
        </w:tc>
      </w:tr>
      <w:tr>
        <w:trPr>
          <w:trHeight w:val="318"/>
        </w:trPr>
        <w:tc>
          <w:tcPr>
            <w:tcW w:w="480" w:type="dxa"/>
            <w:vAlign w:val="bottom"/>
            <w:gridSpan w:val="2"/>
          </w:tcPr>
          <w:p>
            <w:pPr>
              <w:spacing w:after="0"/>
              <w:rPr>
                <w:sz w:val="20"/>
                <w:szCs w:val="20"/>
                <w:color w:val="auto"/>
              </w:rPr>
            </w:pPr>
            <w:r>
              <w:rPr>
                <w:rFonts w:ascii="Arial" w:cs="Arial" w:eastAsia="Arial" w:hAnsi="Arial"/>
                <w:sz w:val="18"/>
                <w:szCs w:val="18"/>
                <w:color w:val="auto"/>
              </w:rPr>
              <w:t>10.8</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Promissory Note and Agreement, dated May 24, 2005, by Wells Fargo Northwest, National Association, not in its individual capacity but solely</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as owner trustee, and World Travel, LLC; and accepted and agreed to by Bank of America, N.A., as lender and Wells Fargo Bank, National</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Association, not in its individual capacity but solely as collateral agent. (5)</w:t>
            </w:r>
          </w:p>
        </w:tc>
      </w:tr>
      <w:tr>
        <w:trPr>
          <w:trHeight w:val="318"/>
        </w:trPr>
        <w:tc>
          <w:tcPr>
            <w:tcW w:w="480" w:type="dxa"/>
            <w:vAlign w:val="bottom"/>
            <w:gridSpan w:val="2"/>
          </w:tcPr>
          <w:p>
            <w:pPr>
              <w:spacing w:after="0"/>
              <w:rPr>
                <w:sz w:val="20"/>
                <w:szCs w:val="20"/>
                <w:color w:val="auto"/>
              </w:rPr>
            </w:pPr>
            <w:r>
              <w:rPr>
                <w:rFonts w:ascii="Arial" w:cs="Arial" w:eastAsia="Arial" w:hAnsi="Arial"/>
                <w:sz w:val="18"/>
                <w:szCs w:val="18"/>
                <w:color w:val="auto"/>
              </w:rPr>
              <w:t>10.9</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Promissory Note and Agreement, dated May 24, 2005, by Wells Fargo Northwest, National Association, not in its individual capacity but solely</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9"/>
              </w:rPr>
              <w:t>as owner trustee, and World Travel, LLC; and accepted and agreed to by The CIT Group / Equipment Financing, Inc., as lender and Wells Fargo</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Bank, National Association, not in its individual capacity but solely as collateral agent. (5)</w:t>
            </w:r>
          </w:p>
        </w:tc>
      </w:tr>
      <w:tr>
        <w:trPr>
          <w:trHeight w:val="318"/>
        </w:trPr>
        <w:tc>
          <w:tcPr>
            <w:tcW w:w="480" w:type="dxa"/>
            <w:vAlign w:val="bottom"/>
            <w:gridSpan w:val="2"/>
          </w:tcPr>
          <w:p>
            <w:pPr>
              <w:spacing w:after="0"/>
              <w:rPr>
                <w:sz w:val="20"/>
                <w:szCs w:val="20"/>
                <w:color w:val="auto"/>
              </w:rPr>
            </w:pPr>
            <w:r>
              <w:rPr>
                <w:rFonts w:ascii="Arial" w:cs="Arial" w:eastAsia="Arial" w:hAnsi="Arial"/>
                <w:sz w:val="18"/>
                <w:szCs w:val="18"/>
                <w:color w:val="auto"/>
              </w:rPr>
              <w:t>10.10</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Aircraft Security Agreement, dated May 24, 2005, between Wells Fargo Northwest, National Association, not in its individual capacity but solely</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as owner trustee, World Travel, LLC and Wells Fargo Bank, National Association, not in its individual capacity but solely as collateral agent. (5)</w:t>
            </w:r>
          </w:p>
        </w:tc>
      </w:tr>
      <w:tr>
        <w:trPr>
          <w:trHeight w:val="318"/>
        </w:trPr>
        <w:tc>
          <w:tcPr>
            <w:tcW w:w="480" w:type="dxa"/>
            <w:vAlign w:val="bottom"/>
            <w:gridSpan w:val="2"/>
          </w:tcPr>
          <w:p>
            <w:pPr>
              <w:spacing w:after="0"/>
              <w:rPr>
                <w:sz w:val="20"/>
                <w:szCs w:val="20"/>
                <w:color w:val="auto"/>
              </w:rPr>
            </w:pPr>
            <w:r>
              <w:rPr>
                <w:rFonts w:ascii="Arial" w:cs="Arial" w:eastAsia="Arial" w:hAnsi="Arial"/>
                <w:sz w:val="18"/>
                <w:szCs w:val="18"/>
                <w:color w:val="auto"/>
              </w:rPr>
              <w:t>10.11</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Guaranty, dated May 24, 2005, by Wynn Las Vegas, LLC in favor of The CIT Group / Equipment Financing, Inc., Bank of America, N.A. and</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Wells Fargo Bank, National Association, not in its individual capacity but solely as collateral agent. (5)</w:t>
            </w:r>
          </w:p>
        </w:tc>
      </w:tr>
      <w:tr>
        <w:trPr>
          <w:trHeight w:val="324"/>
        </w:trPr>
        <w:tc>
          <w:tcPr>
            <w:tcW w:w="480" w:type="dxa"/>
            <w:vAlign w:val="bottom"/>
            <w:gridSpan w:val="2"/>
          </w:tcPr>
          <w:p>
            <w:pPr>
              <w:spacing w:after="0"/>
              <w:rPr>
                <w:sz w:val="20"/>
                <w:szCs w:val="20"/>
                <w:color w:val="auto"/>
              </w:rPr>
            </w:pPr>
            <w:r>
              <w:rPr>
                <w:rFonts w:ascii="Arial" w:cs="Arial" w:eastAsia="Arial" w:hAnsi="Arial"/>
                <w:sz w:val="18"/>
                <w:szCs w:val="18"/>
                <w:color w:val="auto"/>
              </w:rPr>
              <w:t>10.12</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Agreement of Termination, dated June 30, 2005, by and between Stephen A. Wynn and Wynn Las Vegas, LLC. (6)</w:t>
            </w:r>
          </w:p>
        </w:tc>
      </w:tr>
      <w:tr>
        <w:trPr>
          <w:trHeight w:val="318"/>
        </w:trPr>
        <w:tc>
          <w:tcPr>
            <w:tcW w:w="480" w:type="dxa"/>
            <w:vAlign w:val="bottom"/>
            <w:gridSpan w:val="2"/>
          </w:tcPr>
          <w:p>
            <w:pPr>
              <w:spacing w:after="0"/>
              <w:rPr>
                <w:sz w:val="20"/>
                <w:szCs w:val="20"/>
                <w:color w:val="auto"/>
              </w:rPr>
            </w:pPr>
            <w:r>
              <w:rPr>
                <w:rFonts w:ascii="Arial" w:cs="Arial" w:eastAsia="Arial" w:hAnsi="Arial"/>
                <w:sz w:val="18"/>
                <w:szCs w:val="18"/>
                <w:color w:val="auto"/>
              </w:rPr>
              <w:t>10.13</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8"/>
              </w:rPr>
              <w:t>Fifth Amended and Restated Art Rental and Licensing Agreement, dated as of July 1, 2007, between Stephen A. Wynn, as lessor, Wynn Gallery,</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LLC, as lessee. (15)</w:t>
            </w:r>
          </w:p>
        </w:tc>
      </w:tr>
      <w:tr>
        <w:trPr>
          <w:trHeight w:val="318"/>
        </w:trPr>
        <w:tc>
          <w:tcPr>
            <w:tcW w:w="480" w:type="dxa"/>
            <w:vAlign w:val="bottom"/>
            <w:gridSpan w:val="2"/>
          </w:tcPr>
          <w:p>
            <w:pPr>
              <w:spacing w:after="0"/>
              <w:rPr>
                <w:sz w:val="20"/>
                <w:szCs w:val="20"/>
                <w:color w:val="auto"/>
              </w:rPr>
            </w:pPr>
            <w:r>
              <w:rPr>
                <w:rFonts w:ascii="Arial" w:cs="Arial" w:eastAsia="Arial" w:hAnsi="Arial"/>
                <w:sz w:val="18"/>
                <w:szCs w:val="18"/>
                <w:color w:val="auto"/>
              </w:rPr>
              <w:t>10.14</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Sixth Amended and Restated Art Rental and Licensing Agreement, dated as of July 1, 2012 between Stephen A. Wynn, as lessor, Wynn Las</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Vegas, LLC, as lessee. (18)</w:t>
            </w:r>
          </w:p>
        </w:tc>
      </w:tr>
      <w:tr>
        <w:trPr>
          <w:trHeight w:val="365"/>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40" w:type="dxa"/>
            <w:vAlign w:val="bottom"/>
            <w:gridSpan w:val="2"/>
          </w:tcPr>
          <w:p>
            <w:pPr>
              <w:jc w:val="right"/>
              <w:ind w:right="5533"/>
              <w:spacing w:after="0"/>
              <w:rPr>
                <w:sz w:val="20"/>
                <w:szCs w:val="20"/>
                <w:color w:val="auto"/>
              </w:rPr>
            </w:pPr>
            <w:r>
              <w:rPr>
                <w:rFonts w:ascii="Arial" w:cs="Arial" w:eastAsia="Arial" w:hAnsi="Arial"/>
                <w:sz w:val="18"/>
                <w:szCs w:val="18"/>
                <w:color w:val="auto"/>
              </w:rPr>
              <w:t>70</w:t>
            </w:r>
          </w:p>
        </w:tc>
      </w:tr>
    </w:tbl>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74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780" w:type="dxa"/>
            <w:vAlign w:val="bottom"/>
          </w:tcPr>
          <w:p>
            <w:pPr>
              <w:spacing w:after="0"/>
              <w:rPr>
                <w:sz w:val="14"/>
                <w:szCs w:val="14"/>
                <w:color w:val="auto"/>
              </w:rPr>
            </w:pPr>
          </w:p>
        </w:tc>
      </w:tr>
      <w:tr>
        <w:trPr>
          <w:trHeight w:val="168"/>
        </w:trPr>
        <w:tc>
          <w:tcPr>
            <w:tcW w:w="8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8"/>
              </w:rPr>
              <w:t>No.</w:t>
            </w:r>
          </w:p>
        </w:tc>
        <w:tc>
          <w:tcPr>
            <w:tcW w:w="740" w:type="dxa"/>
            <w:vAlign w:val="bottom"/>
          </w:tcPr>
          <w:p>
            <w:pPr>
              <w:spacing w:after="0"/>
              <w:rPr>
                <w:sz w:val="14"/>
                <w:szCs w:val="14"/>
                <w:color w:val="auto"/>
              </w:rPr>
            </w:pPr>
          </w:p>
        </w:tc>
        <w:tc>
          <w:tcPr>
            <w:tcW w:w="10040" w:type="dxa"/>
            <w:vAlign w:val="bottom"/>
            <w:tcBorders>
              <w:bottom w:val="single" w:sz="8" w:color="auto"/>
            </w:tcBorders>
            <w:gridSpan w:val="3"/>
          </w:tcPr>
          <w:p>
            <w:pPr>
              <w:ind w:left="4680"/>
              <w:spacing w:after="0"/>
              <w:rPr>
                <w:sz w:val="20"/>
                <w:szCs w:val="20"/>
                <w:color w:val="auto"/>
              </w:rPr>
            </w:pPr>
            <w:r>
              <w:rPr>
                <w:rFonts w:ascii="Arial" w:cs="Arial" w:eastAsia="Arial" w:hAnsi="Arial"/>
                <w:sz w:val="14"/>
                <w:szCs w:val="14"/>
                <w:b w:val="1"/>
                <w:bCs w:val="1"/>
                <w:color w:val="auto"/>
              </w:rPr>
              <w:t>Description</w:t>
            </w:r>
          </w:p>
        </w:tc>
      </w:tr>
      <w:tr>
        <w:trPr>
          <w:trHeight w:val="302"/>
        </w:trPr>
        <w:tc>
          <w:tcPr>
            <w:tcW w:w="540" w:type="dxa"/>
            <w:vAlign w:val="bottom"/>
            <w:gridSpan w:val="2"/>
          </w:tcPr>
          <w:p>
            <w:pPr>
              <w:spacing w:after="0"/>
              <w:rPr>
                <w:sz w:val="20"/>
                <w:szCs w:val="20"/>
                <w:color w:val="auto"/>
              </w:rPr>
            </w:pPr>
            <w:r>
              <w:rPr>
                <w:rFonts w:ascii="Arial" w:cs="Arial" w:eastAsia="Arial" w:hAnsi="Arial"/>
                <w:sz w:val="18"/>
                <w:szCs w:val="18"/>
                <w:color w:val="auto"/>
              </w:rPr>
              <w:t>10.15</w:t>
            </w:r>
          </w:p>
        </w:tc>
        <w:tc>
          <w:tcPr>
            <w:tcW w:w="740" w:type="dxa"/>
            <w:vAlign w:val="bottom"/>
          </w:tcPr>
          <w:p>
            <w:pPr>
              <w:spacing w:after="0"/>
              <w:rPr>
                <w:sz w:val="24"/>
                <w:szCs w:val="24"/>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w w:val="89"/>
              </w:rPr>
              <w:t>Completion Guaranty, dated December 14, 2004, by Wynn Completion Guarantor, LLC in favor of Deutsche Bank Trust Company Americas,</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rPr>
              <w:t>as the Bank Agent, and U.S. Bank National Association, as Indenture Trustee. (3)</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10.16</w:t>
            </w:r>
          </w:p>
        </w:tc>
        <w:tc>
          <w:tcPr>
            <w:tcW w:w="740" w:type="dxa"/>
            <w:vAlign w:val="bottom"/>
          </w:tcPr>
          <w:p>
            <w:pPr>
              <w:spacing w:after="0"/>
              <w:rPr>
                <w:sz w:val="24"/>
                <w:szCs w:val="24"/>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w w:val="89"/>
              </w:rPr>
              <w:t>Purchase Agreement, dated October 25, 2002, by and among Wynn Las Vegas, LLC, Wynn Las Vegas Capital Corp. and Stephen A. Wynn.</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300" w:type="dxa"/>
            <w:vAlign w:val="bottom"/>
            <w:gridSpan w:val="2"/>
          </w:tcPr>
          <w:p>
            <w:pPr>
              <w:ind w:left="740"/>
              <w:spacing w:after="0"/>
              <w:rPr>
                <w:sz w:val="20"/>
                <w:szCs w:val="20"/>
                <w:color w:val="auto"/>
              </w:rPr>
            </w:pPr>
            <w:r>
              <w:rPr>
                <w:rFonts w:ascii="Arial" w:cs="Arial" w:eastAsia="Arial" w:hAnsi="Arial"/>
                <w:sz w:val="18"/>
                <w:szCs w:val="18"/>
                <w:color w:val="auto"/>
              </w:rPr>
              <w:t>(2)</w:t>
            </w:r>
          </w:p>
        </w:tc>
        <w:tc>
          <w:tcPr>
            <w:tcW w:w="700" w:type="dxa"/>
            <w:vAlign w:val="bottom"/>
          </w:tcPr>
          <w:p>
            <w:pPr>
              <w:spacing w:after="0"/>
              <w:rPr>
                <w:sz w:val="19"/>
                <w:szCs w:val="19"/>
                <w:color w:val="auto"/>
              </w:rPr>
            </w:pPr>
          </w:p>
        </w:tc>
        <w:tc>
          <w:tcPr>
            <w:tcW w:w="3780" w:type="dxa"/>
            <w:vAlign w:val="bottom"/>
          </w:tcPr>
          <w:p>
            <w:pPr>
              <w:spacing w:after="0"/>
              <w:rPr>
                <w:sz w:val="19"/>
                <w:szCs w:val="19"/>
                <w:color w:val="auto"/>
              </w:rPr>
            </w:pP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10.17</w:t>
            </w:r>
          </w:p>
        </w:tc>
        <w:tc>
          <w:tcPr>
            <w:tcW w:w="740" w:type="dxa"/>
            <w:vAlign w:val="bottom"/>
          </w:tcPr>
          <w:p>
            <w:pPr>
              <w:spacing w:after="0"/>
              <w:rPr>
                <w:sz w:val="24"/>
                <w:szCs w:val="24"/>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w w:val="88"/>
              </w:rPr>
              <w:t>Purchase Agreement, dated October 25, 2002, by and among Wynn Las Vegas, LLC, Wynn Las Vegas Capital Corp. and Aruze USA, Inc. (2)</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10.18</w:t>
            </w:r>
          </w:p>
        </w:tc>
        <w:tc>
          <w:tcPr>
            <w:tcW w:w="740" w:type="dxa"/>
            <w:vAlign w:val="bottom"/>
          </w:tcPr>
          <w:p>
            <w:pPr>
              <w:spacing w:after="0"/>
              <w:rPr>
                <w:sz w:val="24"/>
                <w:szCs w:val="24"/>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w w:val="90"/>
              </w:rPr>
              <w:t>Acknowledgement and Agreement, dated as of September 1, 2004, among Wynn Las Vegas, LLC, Wells Fargo Bank, National Association</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rPr>
              <w:t>and the lenders named therein. (4)</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10.19</w:t>
            </w:r>
          </w:p>
        </w:tc>
        <w:tc>
          <w:tcPr>
            <w:tcW w:w="740" w:type="dxa"/>
            <w:vAlign w:val="bottom"/>
          </w:tcPr>
          <w:p>
            <w:pPr>
              <w:spacing w:after="0"/>
              <w:rPr>
                <w:sz w:val="24"/>
                <w:szCs w:val="24"/>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w w:val="89"/>
              </w:rPr>
              <w:t>Management Fees Subordination Agreement, dated as of December 14, 2004, by Wynn Resorts, Limited, Wynn Las Vegas, LLC, Wynn Las</w:t>
            </w:r>
          </w:p>
        </w:tc>
      </w:tr>
      <w:tr>
        <w:trPr>
          <w:trHeight w:val="184"/>
        </w:trPr>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40" w:type="dxa"/>
            <w:vAlign w:val="bottom"/>
            <w:gridSpan w:val="3"/>
          </w:tcPr>
          <w:p>
            <w:pPr>
              <w:spacing w:after="0" w:line="184" w:lineRule="exact"/>
              <w:rPr>
                <w:sz w:val="20"/>
                <w:szCs w:val="20"/>
                <w:color w:val="auto"/>
              </w:rPr>
            </w:pPr>
            <w:r>
              <w:rPr>
                <w:rFonts w:ascii="Arial" w:cs="Arial" w:eastAsia="Arial" w:hAnsi="Arial"/>
                <w:sz w:val="18"/>
                <w:szCs w:val="18"/>
                <w:color w:val="auto"/>
                <w:w w:val="91"/>
              </w:rPr>
              <w:t>Vegas Capital Corp., and those subsidiaries of Wynn Las Vegas, LLC listed on Exhibit A hereto in favor of Deutsche Bank Trust Company</w:t>
            </w:r>
          </w:p>
        </w:tc>
      </w:tr>
      <w:tr>
        <w:trPr>
          <w:trHeight w:val="20"/>
        </w:trPr>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r>
      <w:tr>
        <w:trPr>
          <w:trHeight w:val="235"/>
        </w:trPr>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rPr>
              <w:t>Americas, as administrative agent, and U.S. Bank National Association, as trustee. (3)</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10.20</w:t>
            </w:r>
          </w:p>
        </w:tc>
        <w:tc>
          <w:tcPr>
            <w:tcW w:w="740" w:type="dxa"/>
            <w:vAlign w:val="bottom"/>
          </w:tcPr>
          <w:p>
            <w:pPr>
              <w:spacing w:after="0"/>
              <w:rPr>
                <w:sz w:val="24"/>
                <w:szCs w:val="24"/>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w w:val="90"/>
              </w:rPr>
              <w:t>Management Agreement, made as of December 14, 2004, by and among Wynn Las Vegas, LLC, Wynn Show Performers, LLC, Wynn Las</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w w:val="96"/>
              </w:rPr>
              <w:t>Vegas Capital Corp., Wynn Golf, LLC, World Travel, LLC, Las Vegas Jet, LLC, Wynn Sunrise, LLC, and Wynn Resorts, Limited. (3)</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10.21</w:t>
            </w:r>
          </w:p>
        </w:tc>
        <w:tc>
          <w:tcPr>
            <w:tcW w:w="740" w:type="dxa"/>
            <w:vAlign w:val="bottom"/>
          </w:tcPr>
          <w:p>
            <w:pPr>
              <w:spacing w:after="0"/>
              <w:rPr>
                <w:sz w:val="24"/>
                <w:szCs w:val="24"/>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w w:val="89"/>
              </w:rPr>
              <w:t>Intellectual Property License Agreement, dated as of December 14, 2004, by and among Wynn Resorts Holdings, Wynn Resorts, Limited and</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rPr>
              <w:t>Wynn Las Vegas, LLC. (3)</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10.22</w:t>
            </w:r>
          </w:p>
        </w:tc>
        <w:tc>
          <w:tcPr>
            <w:tcW w:w="740" w:type="dxa"/>
            <w:vAlign w:val="bottom"/>
          </w:tcPr>
          <w:p>
            <w:pPr>
              <w:spacing w:after="0"/>
              <w:rPr>
                <w:sz w:val="24"/>
                <w:szCs w:val="24"/>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rPr>
              <w:t>Agreement of Lease, dated as of March 17, 2010, by and between Wynn Las Vegas, LLC and Elaine P. Wynn.(12)</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10.23</w:t>
            </w:r>
          </w:p>
        </w:tc>
        <w:tc>
          <w:tcPr>
            <w:tcW w:w="740" w:type="dxa"/>
            <w:vAlign w:val="bottom"/>
          </w:tcPr>
          <w:p>
            <w:pPr>
              <w:spacing w:after="0"/>
              <w:rPr>
                <w:sz w:val="24"/>
                <w:szCs w:val="24"/>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w w:val="93"/>
              </w:rPr>
              <w:t>Amended and Restated Agreement of Lease made as of March 18, 2010, by and between Wynn Las Vegas and Stephen A. Wynn.(12)</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10.24</w:t>
            </w:r>
          </w:p>
        </w:tc>
        <w:tc>
          <w:tcPr>
            <w:tcW w:w="740" w:type="dxa"/>
            <w:vAlign w:val="bottom"/>
          </w:tcPr>
          <w:p>
            <w:pPr>
              <w:spacing w:after="0"/>
              <w:rPr>
                <w:sz w:val="24"/>
                <w:szCs w:val="24"/>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w w:val="92"/>
              </w:rPr>
              <w:t>First Amendment to Amended and Restated Agreement of Lease, dated as of April 9, 2012, by and between Wynn Las Vegas, LLC and</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rPr>
              <w:t>Stephen A. Wynn. (17)</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w w:val="86"/>
              </w:rPr>
              <w:t>10.24.1</w:t>
            </w:r>
          </w:p>
        </w:tc>
        <w:tc>
          <w:tcPr>
            <w:tcW w:w="740" w:type="dxa"/>
            <w:vAlign w:val="bottom"/>
          </w:tcPr>
          <w:p>
            <w:pPr>
              <w:spacing w:after="0"/>
              <w:rPr>
                <w:sz w:val="24"/>
                <w:szCs w:val="24"/>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w w:val="90"/>
              </w:rPr>
              <w:t>2013 Amended and Restated Agreement of Lease, dated as of May 7, 2013, by and between Wynn Las Vegas, LLC and Stephen A. Wynn.</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300" w:type="dxa"/>
            <w:vAlign w:val="bottom"/>
            <w:gridSpan w:val="2"/>
          </w:tcPr>
          <w:p>
            <w:pPr>
              <w:ind w:left="740"/>
              <w:spacing w:after="0"/>
              <w:rPr>
                <w:sz w:val="20"/>
                <w:szCs w:val="20"/>
                <w:color w:val="auto"/>
              </w:rPr>
            </w:pPr>
            <w:r>
              <w:rPr>
                <w:rFonts w:ascii="Arial" w:cs="Arial" w:eastAsia="Arial" w:hAnsi="Arial"/>
                <w:sz w:val="18"/>
                <w:szCs w:val="18"/>
                <w:color w:val="auto"/>
              </w:rPr>
              <w:t>(20)</w:t>
            </w:r>
          </w:p>
        </w:tc>
        <w:tc>
          <w:tcPr>
            <w:tcW w:w="700" w:type="dxa"/>
            <w:vAlign w:val="bottom"/>
          </w:tcPr>
          <w:p>
            <w:pPr>
              <w:spacing w:after="0"/>
              <w:rPr>
                <w:sz w:val="19"/>
                <w:szCs w:val="19"/>
                <w:color w:val="auto"/>
              </w:rPr>
            </w:pPr>
          </w:p>
        </w:tc>
        <w:tc>
          <w:tcPr>
            <w:tcW w:w="3780" w:type="dxa"/>
            <w:vAlign w:val="bottom"/>
          </w:tcPr>
          <w:p>
            <w:pPr>
              <w:spacing w:after="0"/>
              <w:rPr>
                <w:sz w:val="19"/>
                <w:szCs w:val="19"/>
                <w:color w:val="auto"/>
              </w:rPr>
            </w:pP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w w:val="86"/>
              </w:rPr>
              <w:t>10.24.2</w:t>
            </w:r>
          </w:p>
        </w:tc>
        <w:tc>
          <w:tcPr>
            <w:tcW w:w="740" w:type="dxa"/>
            <w:vAlign w:val="bottom"/>
          </w:tcPr>
          <w:p>
            <w:pPr>
              <w:spacing w:after="0"/>
              <w:rPr>
                <w:sz w:val="24"/>
                <w:szCs w:val="24"/>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w w:val="87"/>
              </w:rPr>
              <w:t>2013 Second Amended and Restated Agreement of Lease, dated as of November 7, 2013, by and between Wynn Las Vegas, LLC and Stephen</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rPr>
              <w:t>A. Wynn. (22)</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10.25</w:t>
            </w:r>
          </w:p>
        </w:tc>
        <w:tc>
          <w:tcPr>
            <w:tcW w:w="740" w:type="dxa"/>
            <w:vAlign w:val="bottom"/>
          </w:tcPr>
          <w:p>
            <w:pPr>
              <w:spacing w:after="0"/>
              <w:rPr>
                <w:sz w:val="24"/>
                <w:szCs w:val="24"/>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w w:val="91"/>
              </w:rPr>
              <w:t>Registration Rights Agreement, dated as of March 12, 2012, by and among Wynn Las Vegas, LLC, Wynn Las Vegas Capital Corp, Wynn</w:t>
            </w:r>
          </w:p>
        </w:tc>
      </w:tr>
      <w:tr>
        <w:trPr>
          <w:trHeight w:val="216"/>
        </w:trPr>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w w:val="96"/>
              </w:rPr>
              <w:t>Show Performers, LLC, Wynn Golf, LLC, Las Vegas Jet, LLC, World Travel, LLC, Wynn Sunrise, LLC, Kevyn, LLC, Deutsche Bank</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rPr>
              <w:t>Securities Inc., Merrill Lynch, Pierce, Fenner &amp; Smith Incorporated and J.P. Morgan Securities LLC. (16)</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31.1</w:t>
            </w:r>
          </w:p>
        </w:tc>
        <w:tc>
          <w:tcPr>
            <w:tcW w:w="740" w:type="dxa"/>
            <w:vAlign w:val="bottom"/>
          </w:tcPr>
          <w:p>
            <w:pPr>
              <w:spacing w:after="0"/>
              <w:rPr>
                <w:sz w:val="24"/>
                <w:szCs w:val="24"/>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 (23)</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31.2</w:t>
            </w:r>
          </w:p>
        </w:tc>
        <w:tc>
          <w:tcPr>
            <w:tcW w:w="740" w:type="dxa"/>
            <w:vAlign w:val="bottom"/>
          </w:tcPr>
          <w:p>
            <w:pPr>
              <w:spacing w:after="0"/>
              <w:rPr>
                <w:sz w:val="24"/>
                <w:szCs w:val="24"/>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 (23)</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32.1</w:t>
            </w:r>
          </w:p>
        </w:tc>
        <w:tc>
          <w:tcPr>
            <w:tcW w:w="740" w:type="dxa"/>
            <w:vAlign w:val="bottom"/>
          </w:tcPr>
          <w:p>
            <w:pPr>
              <w:spacing w:after="0"/>
              <w:rPr>
                <w:sz w:val="24"/>
                <w:szCs w:val="24"/>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w w:val="90"/>
              </w:rPr>
              <w:t>Certification of CEO and CFO Pursuant to 18 U.S.C. Section 1350, as Adopted Pursuant to Section 906 of the Sarbanes-Oxley Act of 2002.</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300" w:type="dxa"/>
            <w:vAlign w:val="bottom"/>
            <w:gridSpan w:val="2"/>
          </w:tcPr>
          <w:p>
            <w:pPr>
              <w:ind w:left="740"/>
              <w:spacing w:after="0"/>
              <w:rPr>
                <w:sz w:val="20"/>
                <w:szCs w:val="20"/>
                <w:color w:val="auto"/>
              </w:rPr>
            </w:pPr>
            <w:r>
              <w:rPr>
                <w:rFonts w:ascii="Arial" w:cs="Arial" w:eastAsia="Arial" w:hAnsi="Arial"/>
                <w:sz w:val="18"/>
                <w:szCs w:val="18"/>
                <w:color w:val="auto"/>
              </w:rPr>
              <w:t>(23)</w:t>
            </w:r>
          </w:p>
        </w:tc>
        <w:tc>
          <w:tcPr>
            <w:tcW w:w="700" w:type="dxa"/>
            <w:vAlign w:val="bottom"/>
          </w:tcPr>
          <w:p>
            <w:pPr>
              <w:spacing w:after="0"/>
              <w:rPr>
                <w:sz w:val="19"/>
                <w:szCs w:val="19"/>
                <w:color w:val="auto"/>
              </w:rPr>
            </w:pPr>
          </w:p>
        </w:tc>
        <w:tc>
          <w:tcPr>
            <w:tcW w:w="3780" w:type="dxa"/>
            <w:vAlign w:val="bottom"/>
          </w:tcPr>
          <w:p>
            <w:pPr>
              <w:spacing w:after="0"/>
              <w:rPr>
                <w:sz w:val="19"/>
                <w:szCs w:val="19"/>
                <w:color w:val="auto"/>
              </w:rPr>
            </w:pPr>
          </w:p>
        </w:tc>
      </w:tr>
    </w:tbl>
    <w:p>
      <w:pPr>
        <w:spacing w:after="0" w:line="102" w:lineRule="exact"/>
        <w:rPr>
          <w:sz w:val="20"/>
          <w:szCs w:val="20"/>
          <w:color w:val="auto"/>
        </w:rPr>
      </w:pPr>
    </w:p>
    <w:p>
      <w:pPr>
        <w:jc w:val="both"/>
        <w:ind w:left="1380" w:right="80" w:hanging="1240"/>
        <w:spacing w:after="0" w:line="318" w:lineRule="auto"/>
        <w:tabs>
          <w:tab w:leader="none" w:pos="13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following financial information from the Company’s Annual Report on Form 10-K for the year ended December 31, 2013, filed with the SEC on February 28, 2014 formatted in Extensible Business Reporting Language (XBRL): (i) the Consolidated Statements of Operations and Comprehensive Loss for the years ended December 31, 2013, 2012 and 2011, (ii) the Consolidated Balance Sheets at December 31, 2013 and 2012, (iii) the Consolidated Statements of Member’s Equity (Deficit) at December 31, 2013, 2012 and 2011, (iv) the Consolidated Statements of Cash Flows for the years ended December 31, 2013, 2012 and 2011, and (iv) Notes to Consolidated Financial Statements. (23)</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Previously filed with the Registration Statement on Form S-4 (File No. 333-124052) filed by the registrant on April 13, 2005.</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November 18, 2002.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Wynn Resorts on March 15, 2005.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September 8, 2004.</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May 25, 2005.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Incorporated by reference from the Periodic Report on form 10-Q filed by Wynn Resorts, Limited on August 3, 2005.</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November 1,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November 13,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October 31,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the Registrant on February 22,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October 20, 2009.</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March 19,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April 28,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August 5,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the Registrant on March 1, 2011.</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March 13, 2012.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April 12, 2012.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Incorporated by reference from the Quarterly Report on Form 10-Q filed by the Registrant on November 9, 2012.</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the Registrant on March 1, 2013.</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May 10, 2013.</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May 22, 2013.</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November 14, 2013.</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Filed herein.</w:t>
      </w:r>
    </w:p>
    <w:p>
      <w:pPr>
        <w:spacing w:after="0" w:line="1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219"/>
          </w:cols>
          <w:pgMar w:left="240" w:top="459" w:right="1440"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ectPr>
          <w:pgSz w:w="11900" w:h="16838" w:orient="portrait"/>
          <w:cols w:equalWidth="0" w:num="1">
            <w:col w:w="11420"/>
          </w:cols>
          <w:pgMar w:left="240" w:top="459" w:right="239" w:bottom="1440" w:gutter="0" w:footer="0" w:header="0"/>
        </w:sectPr>
      </w:pPr>
    </w:p>
    <w:p>
      <w:pPr>
        <w:spacing w:after="0" w:line="335" w:lineRule="exact"/>
        <w:rPr>
          <w:sz w:val="20"/>
          <w:szCs w:val="20"/>
          <w:color w:val="auto"/>
        </w:rPr>
      </w:pPr>
    </w:p>
    <w:p>
      <w:pPr>
        <w:ind w:left="440"/>
        <w:spacing w:after="0"/>
        <w:rPr>
          <w:sz w:val="20"/>
          <w:szCs w:val="20"/>
          <w:color w:val="auto"/>
        </w:rPr>
      </w:pPr>
      <w:r>
        <w:rPr>
          <w:rFonts w:ascii="Arial" w:cs="Arial" w:eastAsia="Arial" w:hAnsi="Arial"/>
          <w:sz w:val="15"/>
          <w:szCs w:val="15"/>
          <w:color w:val="auto"/>
        </w:rPr>
        <w:t>Dated: February 28, 2014</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jc w:val="center"/>
        <w:ind w:right="3420"/>
        <w:spacing w:after="0"/>
        <w:rPr>
          <w:sz w:val="20"/>
          <w:szCs w:val="20"/>
          <w:color w:val="auto"/>
        </w:rPr>
      </w:pPr>
      <w:r>
        <w:rPr>
          <w:rFonts w:ascii="Arial" w:cs="Arial" w:eastAsia="Arial" w:hAnsi="Arial"/>
          <w:sz w:val="16"/>
          <w:szCs w:val="16"/>
          <w:b w:val="1"/>
          <w:bCs w:val="1"/>
          <w:color w:val="auto"/>
        </w:rPr>
        <w:t>WYNN LAS VEGAS, LLC</w:t>
      </w:r>
    </w:p>
    <w:p>
      <w:pPr>
        <w:spacing w:after="0" w:line="200" w:lineRule="exact"/>
        <w:rPr>
          <w:sz w:val="20"/>
          <w:szCs w:val="20"/>
          <w:color w:val="auto"/>
        </w:rPr>
      </w:pPr>
    </w:p>
    <w:p>
      <w:pPr>
        <w:sectPr>
          <w:pgSz w:w="11900" w:h="16838" w:orient="portrait"/>
          <w:cols w:equalWidth="0" w:num="2">
            <w:col w:w="5240" w:space="720"/>
            <w:col w:w="5460"/>
          </w:cols>
          <w:pgMar w:left="240" w:top="459" w:right="239" w:bottom="1440" w:gutter="0" w:footer="0" w:header="0"/>
          <w:type w:val="continuous"/>
        </w:sectPr>
      </w:pPr>
    </w:p>
    <w:p>
      <w:pPr>
        <w:spacing w:after="0" w:line="54"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Maurice Wooden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10795</wp:posOffset>
            </wp:positionV>
            <wp:extent cx="33274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3" w:lineRule="exact"/>
        <w:rPr>
          <w:sz w:val="20"/>
          <w:szCs w:val="20"/>
          <w:color w:val="auto"/>
        </w:rPr>
      </w:pPr>
    </w:p>
    <w:p>
      <w:pPr>
        <w:sectPr>
          <w:pgSz w:w="11900" w:h="16838" w:orient="portrait"/>
          <w:cols w:equalWidth="0" w:num="2">
            <w:col w:w="6160" w:space="560"/>
            <w:col w:w="4700"/>
          </w:cols>
          <w:pgMar w:left="240" w:top="459" w:right="239" w:bottom="1440" w:gutter="0" w:footer="0" w:header="0"/>
          <w:type w:val="continuous"/>
        </w:sectPr>
      </w:pPr>
    </w:p>
    <w:p>
      <w:pPr>
        <w:ind w:left="6280"/>
        <w:spacing w:after="0"/>
        <w:rPr>
          <w:sz w:val="20"/>
          <w:szCs w:val="20"/>
          <w:color w:val="auto"/>
        </w:rPr>
      </w:pPr>
      <w:r>
        <w:rPr>
          <w:rFonts w:ascii="Arial" w:cs="Arial" w:eastAsia="Arial" w:hAnsi="Arial"/>
          <w:sz w:val="18"/>
          <w:szCs w:val="18"/>
          <w:color w:val="auto"/>
        </w:rPr>
        <w:t>Maurice Wooden</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President</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Executive Officer)</w:t>
      </w:r>
    </w:p>
    <w:p>
      <w:pPr>
        <w:spacing w:after="0" w:line="16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6"/>
              </w:rPr>
              <w:t>Signature</w:t>
            </w:r>
          </w:p>
        </w:tc>
        <w:tc>
          <w:tcPr>
            <w:tcW w:w="19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0"/>
              </w:rPr>
              <w:t>Title</w:t>
            </w:r>
          </w:p>
        </w:tc>
        <w:tc>
          <w:tcPr>
            <w:tcW w:w="2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7"/>
              </w:rPr>
              <w:t>Date</w:t>
            </w:r>
          </w:p>
        </w:tc>
        <w:tc>
          <w:tcPr>
            <w:tcW w:w="100" w:type="dxa"/>
            <w:vAlign w:val="bottom"/>
          </w:tcPr>
          <w:p>
            <w:pPr>
              <w:spacing w:after="0"/>
              <w:rPr>
                <w:sz w:val="14"/>
                <w:szCs w:val="14"/>
                <w:color w:val="auto"/>
              </w:rPr>
            </w:pPr>
          </w:p>
        </w:tc>
      </w:tr>
      <w:tr>
        <w:trPr>
          <w:trHeight w:val="425"/>
        </w:trPr>
        <w:tc>
          <w:tcPr>
            <w:tcW w:w="20" w:type="dxa"/>
            <w:vAlign w:val="bottom"/>
          </w:tcPr>
          <w:p>
            <w:pPr>
              <w:spacing w:after="0"/>
              <w:rPr>
                <w:sz w:val="24"/>
                <w:szCs w:val="24"/>
                <w:color w:val="auto"/>
              </w:rPr>
            </w:pPr>
          </w:p>
        </w:tc>
        <w:tc>
          <w:tcPr>
            <w:tcW w:w="252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/s/ Stephen A. Wynn</w:t>
            </w:r>
          </w:p>
        </w:tc>
        <w:tc>
          <w:tcPr>
            <w:tcW w:w="1960" w:type="dxa"/>
            <w:vAlign w:val="bottom"/>
            <w:tcBorders>
              <w:bottom w:val="single" w:sz="8" w:color="auto"/>
            </w:tcBorders>
          </w:tcPr>
          <w:p>
            <w:pPr>
              <w:spacing w:after="0"/>
              <w:rPr>
                <w:sz w:val="24"/>
                <w:szCs w:val="24"/>
                <w:color w:val="auto"/>
              </w:rPr>
            </w:pPr>
          </w:p>
        </w:tc>
        <w:tc>
          <w:tcPr>
            <w:tcW w:w="4580" w:type="dxa"/>
            <w:vAlign w:val="bottom"/>
            <w:gridSpan w:val="3"/>
          </w:tcPr>
          <w:p>
            <w:pPr>
              <w:ind w:left="120"/>
              <w:spacing w:after="0"/>
              <w:rPr>
                <w:sz w:val="20"/>
                <w:szCs w:val="20"/>
                <w:color w:val="auto"/>
              </w:rPr>
            </w:pPr>
            <w:r>
              <w:rPr>
                <w:rFonts w:ascii="Arial" w:cs="Arial" w:eastAsia="Arial" w:hAnsi="Arial"/>
                <w:sz w:val="18"/>
                <w:szCs w:val="18"/>
                <w:color w:val="auto"/>
              </w:rPr>
              <w:t>Chairman of the Board</w:t>
            </w:r>
          </w:p>
        </w:tc>
        <w:tc>
          <w:tcPr>
            <w:tcW w:w="1540" w:type="dxa"/>
            <w:vAlign w:val="bottom"/>
            <w:gridSpan w:val="3"/>
          </w:tcPr>
          <w:p>
            <w:pPr>
              <w:ind w:left="240"/>
              <w:spacing w:after="0"/>
              <w:rPr>
                <w:sz w:val="20"/>
                <w:szCs w:val="20"/>
                <w:color w:val="auto"/>
              </w:rPr>
            </w:pPr>
            <w:r>
              <w:rPr>
                <w:rFonts w:ascii="Arial" w:cs="Arial" w:eastAsia="Arial" w:hAnsi="Arial"/>
                <w:sz w:val="18"/>
                <w:szCs w:val="18"/>
                <w:color w:val="auto"/>
                <w:w w:val="86"/>
              </w:rPr>
              <w:t>February 28, 2014</w:t>
            </w:r>
          </w:p>
        </w:tc>
      </w:tr>
      <w:tr>
        <w:trPr>
          <w:trHeight w:val="217"/>
        </w:trPr>
        <w:tc>
          <w:tcPr>
            <w:tcW w:w="20" w:type="dxa"/>
            <w:vAlign w:val="bottom"/>
          </w:tcPr>
          <w:p>
            <w:pPr>
              <w:spacing w:after="0"/>
              <w:rPr>
                <w:sz w:val="18"/>
                <w:szCs w:val="18"/>
                <w:color w:val="auto"/>
              </w:rPr>
            </w:pPr>
          </w:p>
        </w:tc>
        <w:tc>
          <w:tcPr>
            <w:tcW w:w="2520" w:type="dxa"/>
            <w:vAlign w:val="bottom"/>
            <w:gridSpan w:val="3"/>
          </w:tcPr>
          <w:p>
            <w:pPr>
              <w:spacing w:after="0"/>
              <w:rPr>
                <w:sz w:val="20"/>
                <w:szCs w:val="20"/>
                <w:color w:val="auto"/>
              </w:rPr>
            </w:pPr>
            <w:r>
              <w:rPr>
                <w:rFonts w:ascii="Arial" w:cs="Arial" w:eastAsia="Arial" w:hAnsi="Arial"/>
                <w:sz w:val="18"/>
                <w:szCs w:val="18"/>
                <w:color w:val="auto"/>
              </w:rPr>
              <w:t>Stephen A. Wynn</w:t>
            </w:r>
          </w:p>
        </w:tc>
        <w:tc>
          <w:tcPr>
            <w:tcW w:w="19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38"/>
        </w:trPr>
        <w:tc>
          <w:tcPr>
            <w:tcW w:w="20" w:type="dxa"/>
            <w:vAlign w:val="bottom"/>
          </w:tcPr>
          <w:p>
            <w:pPr>
              <w:spacing w:after="0"/>
              <w:rPr>
                <w:sz w:val="24"/>
                <w:szCs w:val="24"/>
                <w:color w:val="auto"/>
              </w:rPr>
            </w:pPr>
          </w:p>
        </w:tc>
        <w:tc>
          <w:tcPr>
            <w:tcW w:w="3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w:t>
            </w:r>
          </w:p>
        </w:tc>
        <w:tc>
          <w:tcPr>
            <w:tcW w:w="21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John Hagenbuch</w:t>
            </w:r>
          </w:p>
        </w:tc>
        <w:tc>
          <w:tcPr>
            <w:tcW w:w="1960" w:type="dxa"/>
            <w:vAlign w:val="bottom"/>
            <w:tcBorders>
              <w:bottom w:val="single" w:sz="8" w:color="auto"/>
            </w:tcBorders>
          </w:tcPr>
          <w:p>
            <w:pPr>
              <w:spacing w:after="0"/>
              <w:rPr>
                <w:sz w:val="24"/>
                <w:szCs w:val="24"/>
                <w:color w:val="auto"/>
              </w:rPr>
            </w:pPr>
          </w:p>
        </w:tc>
        <w:tc>
          <w:tcPr>
            <w:tcW w:w="45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540" w:type="dxa"/>
            <w:vAlign w:val="bottom"/>
            <w:gridSpan w:val="3"/>
          </w:tcPr>
          <w:p>
            <w:pPr>
              <w:ind w:left="240"/>
              <w:spacing w:after="0"/>
              <w:rPr>
                <w:sz w:val="20"/>
                <w:szCs w:val="20"/>
                <w:color w:val="auto"/>
              </w:rPr>
            </w:pPr>
            <w:r>
              <w:rPr>
                <w:rFonts w:ascii="Arial" w:cs="Arial" w:eastAsia="Arial" w:hAnsi="Arial"/>
                <w:sz w:val="18"/>
                <w:szCs w:val="18"/>
                <w:color w:val="auto"/>
                <w:w w:val="86"/>
              </w:rPr>
              <w:t>February 28, 2014</w:t>
            </w:r>
          </w:p>
        </w:tc>
      </w:tr>
      <w:tr>
        <w:trPr>
          <w:trHeight w:val="217"/>
        </w:trPr>
        <w:tc>
          <w:tcPr>
            <w:tcW w:w="20" w:type="dxa"/>
            <w:vAlign w:val="bottom"/>
          </w:tcPr>
          <w:p>
            <w:pPr>
              <w:spacing w:after="0"/>
              <w:rPr>
                <w:sz w:val="18"/>
                <w:szCs w:val="18"/>
                <w:color w:val="auto"/>
              </w:rPr>
            </w:pPr>
          </w:p>
        </w:tc>
        <w:tc>
          <w:tcPr>
            <w:tcW w:w="2520" w:type="dxa"/>
            <w:vAlign w:val="bottom"/>
            <w:gridSpan w:val="3"/>
          </w:tcPr>
          <w:p>
            <w:pPr>
              <w:spacing w:after="0"/>
              <w:rPr>
                <w:sz w:val="20"/>
                <w:szCs w:val="20"/>
                <w:color w:val="auto"/>
              </w:rPr>
            </w:pPr>
            <w:r>
              <w:rPr>
                <w:rFonts w:ascii="Arial" w:cs="Arial" w:eastAsia="Arial" w:hAnsi="Arial"/>
                <w:sz w:val="18"/>
                <w:szCs w:val="18"/>
                <w:color w:val="auto"/>
              </w:rPr>
              <w:t>John Hagenbuch</w:t>
            </w:r>
          </w:p>
        </w:tc>
        <w:tc>
          <w:tcPr>
            <w:tcW w:w="19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38"/>
        </w:trPr>
        <w:tc>
          <w:tcPr>
            <w:tcW w:w="20" w:type="dxa"/>
            <w:vAlign w:val="bottom"/>
          </w:tcPr>
          <w:p>
            <w:pPr>
              <w:spacing w:after="0"/>
              <w:rPr>
                <w:sz w:val="24"/>
                <w:szCs w:val="24"/>
                <w:color w:val="auto"/>
              </w:rPr>
            </w:pPr>
          </w:p>
        </w:tc>
        <w:tc>
          <w:tcPr>
            <w:tcW w:w="3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w:t>
            </w:r>
          </w:p>
        </w:tc>
        <w:tc>
          <w:tcPr>
            <w:tcW w:w="21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Ray R. Irani</w:t>
            </w:r>
          </w:p>
        </w:tc>
        <w:tc>
          <w:tcPr>
            <w:tcW w:w="1960" w:type="dxa"/>
            <w:vAlign w:val="bottom"/>
            <w:tcBorders>
              <w:bottom w:val="single" w:sz="8" w:color="auto"/>
            </w:tcBorders>
          </w:tcPr>
          <w:p>
            <w:pPr>
              <w:spacing w:after="0"/>
              <w:rPr>
                <w:sz w:val="24"/>
                <w:szCs w:val="24"/>
                <w:color w:val="auto"/>
              </w:rPr>
            </w:pPr>
          </w:p>
        </w:tc>
        <w:tc>
          <w:tcPr>
            <w:tcW w:w="45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540" w:type="dxa"/>
            <w:vAlign w:val="bottom"/>
            <w:gridSpan w:val="3"/>
          </w:tcPr>
          <w:p>
            <w:pPr>
              <w:ind w:left="240"/>
              <w:spacing w:after="0"/>
              <w:rPr>
                <w:sz w:val="20"/>
                <w:szCs w:val="20"/>
                <w:color w:val="auto"/>
              </w:rPr>
            </w:pPr>
            <w:r>
              <w:rPr>
                <w:rFonts w:ascii="Arial" w:cs="Arial" w:eastAsia="Arial" w:hAnsi="Arial"/>
                <w:sz w:val="18"/>
                <w:szCs w:val="18"/>
                <w:color w:val="auto"/>
                <w:w w:val="86"/>
              </w:rPr>
              <w:t>February 28, 2014</w:t>
            </w:r>
          </w:p>
        </w:tc>
      </w:tr>
      <w:tr>
        <w:trPr>
          <w:trHeight w:val="217"/>
        </w:trPr>
        <w:tc>
          <w:tcPr>
            <w:tcW w:w="20" w:type="dxa"/>
            <w:vAlign w:val="bottom"/>
          </w:tcPr>
          <w:p>
            <w:pPr>
              <w:spacing w:after="0"/>
              <w:rPr>
                <w:sz w:val="18"/>
                <w:szCs w:val="18"/>
                <w:color w:val="auto"/>
              </w:rPr>
            </w:pPr>
          </w:p>
        </w:tc>
        <w:tc>
          <w:tcPr>
            <w:tcW w:w="2520" w:type="dxa"/>
            <w:vAlign w:val="bottom"/>
            <w:gridSpan w:val="3"/>
          </w:tcPr>
          <w:p>
            <w:pPr>
              <w:spacing w:after="0"/>
              <w:rPr>
                <w:sz w:val="20"/>
                <w:szCs w:val="20"/>
                <w:color w:val="auto"/>
              </w:rPr>
            </w:pPr>
            <w:r>
              <w:rPr>
                <w:rFonts w:ascii="Arial" w:cs="Arial" w:eastAsia="Arial" w:hAnsi="Arial"/>
                <w:sz w:val="18"/>
                <w:szCs w:val="18"/>
                <w:color w:val="auto"/>
              </w:rPr>
              <w:t>Dr. Ray R. Irani</w:t>
            </w:r>
          </w:p>
        </w:tc>
        <w:tc>
          <w:tcPr>
            <w:tcW w:w="19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38"/>
        </w:trPr>
        <w:tc>
          <w:tcPr>
            <w:tcW w:w="20" w:type="dxa"/>
            <w:vAlign w:val="bottom"/>
          </w:tcPr>
          <w:p>
            <w:pPr>
              <w:spacing w:after="0"/>
              <w:rPr>
                <w:sz w:val="24"/>
                <w:szCs w:val="24"/>
                <w:color w:val="auto"/>
              </w:rPr>
            </w:pPr>
          </w:p>
        </w:tc>
        <w:tc>
          <w:tcPr>
            <w:tcW w:w="3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w:t>
            </w:r>
          </w:p>
        </w:tc>
        <w:tc>
          <w:tcPr>
            <w:tcW w:w="21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Robert J. Miller</w:t>
            </w:r>
          </w:p>
        </w:tc>
        <w:tc>
          <w:tcPr>
            <w:tcW w:w="1960" w:type="dxa"/>
            <w:vAlign w:val="bottom"/>
            <w:tcBorders>
              <w:bottom w:val="single" w:sz="8" w:color="auto"/>
            </w:tcBorders>
          </w:tcPr>
          <w:p>
            <w:pPr>
              <w:spacing w:after="0"/>
              <w:rPr>
                <w:sz w:val="24"/>
                <w:szCs w:val="24"/>
                <w:color w:val="auto"/>
              </w:rPr>
            </w:pPr>
          </w:p>
        </w:tc>
        <w:tc>
          <w:tcPr>
            <w:tcW w:w="45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540" w:type="dxa"/>
            <w:vAlign w:val="bottom"/>
            <w:gridSpan w:val="3"/>
          </w:tcPr>
          <w:p>
            <w:pPr>
              <w:ind w:left="240"/>
              <w:spacing w:after="0"/>
              <w:rPr>
                <w:sz w:val="20"/>
                <w:szCs w:val="20"/>
                <w:color w:val="auto"/>
              </w:rPr>
            </w:pPr>
            <w:r>
              <w:rPr>
                <w:rFonts w:ascii="Arial" w:cs="Arial" w:eastAsia="Arial" w:hAnsi="Arial"/>
                <w:sz w:val="18"/>
                <w:szCs w:val="18"/>
                <w:color w:val="auto"/>
                <w:w w:val="86"/>
              </w:rPr>
              <w:t>February 28, 2014</w:t>
            </w:r>
          </w:p>
        </w:tc>
      </w:tr>
      <w:tr>
        <w:trPr>
          <w:trHeight w:val="217"/>
        </w:trPr>
        <w:tc>
          <w:tcPr>
            <w:tcW w:w="20" w:type="dxa"/>
            <w:vAlign w:val="bottom"/>
          </w:tcPr>
          <w:p>
            <w:pPr>
              <w:spacing w:after="0"/>
              <w:rPr>
                <w:sz w:val="18"/>
                <w:szCs w:val="18"/>
                <w:color w:val="auto"/>
              </w:rPr>
            </w:pPr>
          </w:p>
        </w:tc>
        <w:tc>
          <w:tcPr>
            <w:tcW w:w="2520" w:type="dxa"/>
            <w:vAlign w:val="bottom"/>
            <w:gridSpan w:val="3"/>
          </w:tcPr>
          <w:p>
            <w:pPr>
              <w:spacing w:after="0"/>
              <w:rPr>
                <w:sz w:val="20"/>
                <w:szCs w:val="20"/>
                <w:color w:val="auto"/>
              </w:rPr>
            </w:pPr>
            <w:r>
              <w:rPr>
                <w:rFonts w:ascii="Arial" w:cs="Arial" w:eastAsia="Arial" w:hAnsi="Arial"/>
                <w:sz w:val="18"/>
                <w:szCs w:val="18"/>
                <w:color w:val="auto"/>
              </w:rPr>
              <w:t>Robert J. Miller</w:t>
            </w:r>
          </w:p>
        </w:tc>
        <w:tc>
          <w:tcPr>
            <w:tcW w:w="19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38"/>
        </w:trPr>
        <w:tc>
          <w:tcPr>
            <w:tcW w:w="20" w:type="dxa"/>
            <w:vAlign w:val="bottom"/>
          </w:tcPr>
          <w:p>
            <w:pPr>
              <w:spacing w:after="0"/>
              <w:rPr>
                <w:sz w:val="24"/>
                <w:szCs w:val="24"/>
                <w:color w:val="auto"/>
              </w:rPr>
            </w:pPr>
          </w:p>
        </w:tc>
        <w:tc>
          <w:tcPr>
            <w:tcW w:w="252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/s/ Alvin V. Shoemaker</w:t>
            </w:r>
          </w:p>
        </w:tc>
        <w:tc>
          <w:tcPr>
            <w:tcW w:w="1960" w:type="dxa"/>
            <w:vAlign w:val="bottom"/>
            <w:tcBorders>
              <w:bottom w:val="single" w:sz="8" w:color="auto"/>
            </w:tcBorders>
          </w:tcPr>
          <w:p>
            <w:pPr>
              <w:spacing w:after="0"/>
              <w:rPr>
                <w:sz w:val="24"/>
                <w:szCs w:val="24"/>
                <w:color w:val="auto"/>
              </w:rPr>
            </w:pPr>
          </w:p>
        </w:tc>
        <w:tc>
          <w:tcPr>
            <w:tcW w:w="45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540" w:type="dxa"/>
            <w:vAlign w:val="bottom"/>
            <w:gridSpan w:val="3"/>
          </w:tcPr>
          <w:p>
            <w:pPr>
              <w:ind w:left="240"/>
              <w:spacing w:after="0"/>
              <w:rPr>
                <w:sz w:val="20"/>
                <w:szCs w:val="20"/>
                <w:color w:val="auto"/>
              </w:rPr>
            </w:pPr>
            <w:r>
              <w:rPr>
                <w:rFonts w:ascii="Arial" w:cs="Arial" w:eastAsia="Arial" w:hAnsi="Arial"/>
                <w:sz w:val="18"/>
                <w:szCs w:val="18"/>
                <w:color w:val="auto"/>
                <w:w w:val="86"/>
              </w:rPr>
              <w:t>February 28, 2014</w:t>
            </w:r>
          </w:p>
        </w:tc>
      </w:tr>
      <w:tr>
        <w:trPr>
          <w:trHeight w:val="217"/>
        </w:trPr>
        <w:tc>
          <w:tcPr>
            <w:tcW w:w="20" w:type="dxa"/>
            <w:vAlign w:val="bottom"/>
          </w:tcPr>
          <w:p>
            <w:pPr>
              <w:spacing w:after="0"/>
              <w:rPr>
                <w:sz w:val="18"/>
                <w:szCs w:val="18"/>
                <w:color w:val="auto"/>
              </w:rPr>
            </w:pPr>
          </w:p>
        </w:tc>
        <w:tc>
          <w:tcPr>
            <w:tcW w:w="2520" w:type="dxa"/>
            <w:vAlign w:val="bottom"/>
            <w:gridSpan w:val="3"/>
          </w:tcPr>
          <w:p>
            <w:pPr>
              <w:spacing w:after="0"/>
              <w:rPr>
                <w:sz w:val="20"/>
                <w:szCs w:val="20"/>
                <w:color w:val="auto"/>
              </w:rPr>
            </w:pPr>
            <w:r>
              <w:rPr>
                <w:rFonts w:ascii="Arial" w:cs="Arial" w:eastAsia="Arial" w:hAnsi="Arial"/>
                <w:sz w:val="18"/>
                <w:szCs w:val="18"/>
                <w:color w:val="auto"/>
              </w:rPr>
              <w:t>Alvin V. Shoemaker</w:t>
            </w:r>
          </w:p>
        </w:tc>
        <w:tc>
          <w:tcPr>
            <w:tcW w:w="19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38"/>
        </w:trPr>
        <w:tc>
          <w:tcPr>
            <w:tcW w:w="20" w:type="dxa"/>
            <w:vAlign w:val="bottom"/>
          </w:tcPr>
          <w:p>
            <w:pPr>
              <w:spacing w:after="0"/>
              <w:rPr>
                <w:sz w:val="24"/>
                <w:szCs w:val="24"/>
                <w:color w:val="auto"/>
              </w:rPr>
            </w:pPr>
          </w:p>
        </w:tc>
        <w:tc>
          <w:tcPr>
            <w:tcW w:w="3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w:t>
            </w:r>
          </w:p>
        </w:tc>
        <w:tc>
          <w:tcPr>
            <w:tcW w:w="21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J. Edward Virtue</w:t>
            </w:r>
          </w:p>
        </w:tc>
        <w:tc>
          <w:tcPr>
            <w:tcW w:w="1960" w:type="dxa"/>
            <w:vAlign w:val="bottom"/>
            <w:tcBorders>
              <w:bottom w:val="single" w:sz="8" w:color="auto"/>
            </w:tcBorders>
          </w:tcPr>
          <w:p>
            <w:pPr>
              <w:spacing w:after="0"/>
              <w:rPr>
                <w:sz w:val="24"/>
                <w:szCs w:val="24"/>
                <w:color w:val="auto"/>
              </w:rPr>
            </w:pPr>
          </w:p>
        </w:tc>
        <w:tc>
          <w:tcPr>
            <w:tcW w:w="45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540" w:type="dxa"/>
            <w:vAlign w:val="bottom"/>
            <w:gridSpan w:val="3"/>
          </w:tcPr>
          <w:p>
            <w:pPr>
              <w:ind w:left="240"/>
              <w:spacing w:after="0"/>
              <w:rPr>
                <w:sz w:val="20"/>
                <w:szCs w:val="20"/>
                <w:color w:val="auto"/>
              </w:rPr>
            </w:pPr>
            <w:r>
              <w:rPr>
                <w:rFonts w:ascii="Arial" w:cs="Arial" w:eastAsia="Arial" w:hAnsi="Arial"/>
                <w:sz w:val="18"/>
                <w:szCs w:val="18"/>
                <w:color w:val="auto"/>
                <w:w w:val="86"/>
              </w:rPr>
              <w:t>February 28, 2014</w:t>
            </w:r>
          </w:p>
        </w:tc>
      </w:tr>
      <w:tr>
        <w:trPr>
          <w:trHeight w:val="217"/>
        </w:trPr>
        <w:tc>
          <w:tcPr>
            <w:tcW w:w="20" w:type="dxa"/>
            <w:vAlign w:val="bottom"/>
          </w:tcPr>
          <w:p>
            <w:pPr>
              <w:spacing w:after="0"/>
              <w:rPr>
                <w:sz w:val="18"/>
                <w:szCs w:val="18"/>
                <w:color w:val="auto"/>
              </w:rPr>
            </w:pPr>
          </w:p>
        </w:tc>
        <w:tc>
          <w:tcPr>
            <w:tcW w:w="2520" w:type="dxa"/>
            <w:vAlign w:val="bottom"/>
            <w:gridSpan w:val="3"/>
          </w:tcPr>
          <w:p>
            <w:pPr>
              <w:spacing w:after="0"/>
              <w:rPr>
                <w:sz w:val="20"/>
                <w:szCs w:val="20"/>
                <w:color w:val="auto"/>
              </w:rPr>
            </w:pPr>
            <w:r>
              <w:rPr>
                <w:rFonts w:ascii="Arial" w:cs="Arial" w:eastAsia="Arial" w:hAnsi="Arial"/>
                <w:sz w:val="18"/>
                <w:szCs w:val="18"/>
                <w:color w:val="auto"/>
              </w:rPr>
              <w:t>J. Edward Virtue</w:t>
            </w:r>
          </w:p>
        </w:tc>
        <w:tc>
          <w:tcPr>
            <w:tcW w:w="19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38"/>
        </w:trPr>
        <w:tc>
          <w:tcPr>
            <w:tcW w:w="20" w:type="dxa"/>
            <w:vAlign w:val="bottom"/>
          </w:tcPr>
          <w:p>
            <w:pPr>
              <w:spacing w:after="0"/>
              <w:rPr>
                <w:sz w:val="24"/>
                <w:szCs w:val="24"/>
                <w:color w:val="auto"/>
              </w:rPr>
            </w:pPr>
          </w:p>
        </w:tc>
        <w:tc>
          <w:tcPr>
            <w:tcW w:w="252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/s/ D. Boone Wayson</w:t>
            </w:r>
          </w:p>
        </w:tc>
        <w:tc>
          <w:tcPr>
            <w:tcW w:w="1960" w:type="dxa"/>
            <w:vAlign w:val="bottom"/>
            <w:tcBorders>
              <w:bottom w:val="single" w:sz="8" w:color="auto"/>
            </w:tcBorders>
          </w:tcPr>
          <w:p>
            <w:pPr>
              <w:spacing w:after="0"/>
              <w:rPr>
                <w:sz w:val="24"/>
                <w:szCs w:val="24"/>
                <w:color w:val="auto"/>
              </w:rPr>
            </w:pPr>
          </w:p>
        </w:tc>
        <w:tc>
          <w:tcPr>
            <w:tcW w:w="45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540" w:type="dxa"/>
            <w:vAlign w:val="bottom"/>
            <w:gridSpan w:val="3"/>
          </w:tcPr>
          <w:p>
            <w:pPr>
              <w:ind w:left="240"/>
              <w:spacing w:after="0"/>
              <w:rPr>
                <w:sz w:val="20"/>
                <w:szCs w:val="20"/>
                <w:color w:val="auto"/>
              </w:rPr>
            </w:pPr>
            <w:r>
              <w:rPr>
                <w:rFonts w:ascii="Arial" w:cs="Arial" w:eastAsia="Arial" w:hAnsi="Arial"/>
                <w:sz w:val="18"/>
                <w:szCs w:val="18"/>
                <w:color w:val="auto"/>
                <w:w w:val="86"/>
              </w:rPr>
              <w:t>February 28, 2014</w:t>
            </w:r>
          </w:p>
        </w:tc>
      </w:tr>
      <w:tr>
        <w:trPr>
          <w:trHeight w:val="217"/>
        </w:trPr>
        <w:tc>
          <w:tcPr>
            <w:tcW w:w="20" w:type="dxa"/>
            <w:vAlign w:val="bottom"/>
          </w:tcPr>
          <w:p>
            <w:pPr>
              <w:spacing w:after="0"/>
              <w:rPr>
                <w:sz w:val="18"/>
                <w:szCs w:val="18"/>
                <w:color w:val="auto"/>
              </w:rPr>
            </w:pPr>
          </w:p>
        </w:tc>
        <w:tc>
          <w:tcPr>
            <w:tcW w:w="2520" w:type="dxa"/>
            <w:vAlign w:val="bottom"/>
            <w:gridSpan w:val="3"/>
          </w:tcPr>
          <w:p>
            <w:pPr>
              <w:spacing w:after="0"/>
              <w:rPr>
                <w:sz w:val="20"/>
                <w:szCs w:val="20"/>
                <w:color w:val="auto"/>
              </w:rPr>
            </w:pPr>
            <w:r>
              <w:rPr>
                <w:rFonts w:ascii="Arial" w:cs="Arial" w:eastAsia="Arial" w:hAnsi="Arial"/>
                <w:sz w:val="18"/>
                <w:szCs w:val="18"/>
                <w:color w:val="auto"/>
              </w:rPr>
              <w:t>D. Boone Wayson</w:t>
            </w:r>
          </w:p>
        </w:tc>
        <w:tc>
          <w:tcPr>
            <w:tcW w:w="19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38"/>
        </w:trPr>
        <w:tc>
          <w:tcPr>
            <w:tcW w:w="20" w:type="dxa"/>
            <w:vAlign w:val="bottom"/>
          </w:tcPr>
          <w:p>
            <w:pPr>
              <w:spacing w:after="0"/>
              <w:rPr>
                <w:sz w:val="24"/>
                <w:szCs w:val="24"/>
                <w:color w:val="auto"/>
              </w:rPr>
            </w:pPr>
          </w:p>
        </w:tc>
        <w:tc>
          <w:tcPr>
            <w:tcW w:w="3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w:t>
            </w:r>
          </w:p>
        </w:tc>
        <w:tc>
          <w:tcPr>
            <w:tcW w:w="21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Elaine P. Wynn</w:t>
            </w:r>
          </w:p>
        </w:tc>
        <w:tc>
          <w:tcPr>
            <w:tcW w:w="1960" w:type="dxa"/>
            <w:vAlign w:val="bottom"/>
            <w:tcBorders>
              <w:bottom w:val="single" w:sz="8" w:color="auto"/>
            </w:tcBorders>
          </w:tcPr>
          <w:p>
            <w:pPr>
              <w:spacing w:after="0"/>
              <w:rPr>
                <w:sz w:val="24"/>
                <w:szCs w:val="24"/>
                <w:color w:val="auto"/>
              </w:rPr>
            </w:pPr>
          </w:p>
        </w:tc>
        <w:tc>
          <w:tcPr>
            <w:tcW w:w="45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540" w:type="dxa"/>
            <w:vAlign w:val="bottom"/>
            <w:gridSpan w:val="3"/>
          </w:tcPr>
          <w:p>
            <w:pPr>
              <w:ind w:left="240"/>
              <w:spacing w:after="0"/>
              <w:rPr>
                <w:sz w:val="20"/>
                <w:szCs w:val="20"/>
                <w:color w:val="auto"/>
              </w:rPr>
            </w:pPr>
            <w:r>
              <w:rPr>
                <w:rFonts w:ascii="Arial" w:cs="Arial" w:eastAsia="Arial" w:hAnsi="Arial"/>
                <w:sz w:val="18"/>
                <w:szCs w:val="18"/>
                <w:color w:val="auto"/>
                <w:w w:val="86"/>
              </w:rPr>
              <w:t>February 28, 2014</w:t>
            </w:r>
          </w:p>
        </w:tc>
      </w:tr>
      <w:tr>
        <w:trPr>
          <w:trHeight w:val="217"/>
        </w:trPr>
        <w:tc>
          <w:tcPr>
            <w:tcW w:w="20" w:type="dxa"/>
            <w:vAlign w:val="bottom"/>
          </w:tcPr>
          <w:p>
            <w:pPr>
              <w:spacing w:after="0"/>
              <w:rPr>
                <w:sz w:val="18"/>
                <w:szCs w:val="18"/>
                <w:color w:val="auto"/>
              </w:rPr>
            </w:pPr>
          </w:p>
        </w:tc>
        <w:tc>
          <w:tcPr>
            <w:tcW w:w="2520" w:type="dxa"/>
            <w:vAlign w:val="bottom"/>
            <w:gridSpan w:val="3"/>
          </w:tcPr>
          <w:p>
            <w:pPr>
              <w:spacing w:after="0"/>
              <w:rPr>
                <w:sz w:val="20"/>
                <w:szCs w:val="20"/>
                <w:color w:val="auto"/>
              </w:rPr>
            </w:pPr>
            <w:r>
              <w:rPr>
                <w:rFonts w:ascii="Arial" w:cs="Arial" w:eastAsia="Arial" w:hAnsi="Arial"/>
                <w:sz w:val="18"/>
                <w:szCs w:val="18"/>
                <w:color w:val="auto"/>
              </w:rPr>
              <w:t>Elaine P. Wynn</w:t>
            </w:r>
          </w:p>
        </w:tc>
        <w:tc>
          <w:tcPr>
            <w:tcW w:w="19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38"/>
        </w:trPr>
        <w:tc>
          <w:tcPr>
            <w:tcW w:w="20" w:type="dxa"/>
            <w:vAlign w:val="bottom"/>
          </w:tcPr>
          <w:p>
            <w:pPr>
              <w:spacing w:after="0"/>
              <w:rPr>
                <w:sz w:val="24"/>
                <w:szCs w:val="24"/>
                <w:color w:val="auto"/>
              </w:rPr>
            </w:pPr>
          </w:p>
        </w:tc>
        <w:tc>
          <w:tcPr>
            <w:tcW w:w="3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w:t>
            </w:r>
          </w:p>
        </w:tc>
        <w:tc>
          <w:tcPr>
            <w:tcW w:w="21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Maurice Wooden</w:t>
            </w:r>
          </w:p>
        </w:tc>
        <w:tc>
          <w:tcPr>
            <w:tcW w:w="1960" w:type="dxa"/>
            <w:vAlign w:val="bottom"/>
            <w:tcBorders>
              <w:bottom w:val="single" w:sz="8" w:color="auto"/>
            </w:tcBorders>
          </w:tcPr>
          <w:p>
            <w:pPr>
              <w:spacing w:after="0"/>
              <w:rPr>
                <w:sz w:val="24"/>
                <w:szCs w:val="24"/>
                <w:color w:val="auto"/>
              </w:rPr>
            </w:pPr>
          </w:p>
        </w:tc>
        <w:tc>
          <w:tcPr>
            <w:tcW w:w="4580" w:type="dxa"/>
            <w:vAlign w:val="bottom"/>
            <w:gridSpan w:val="3"/>
          </w:tcPr>
          <w:p>
            <w:pPr>
              <w:ind w:left="120"/>
              <w:spacing w:after="0"/>
              <w:rPr>
                <w:sz w:val="20"/>
                <w:szCs w:val="20"/>
                <w:color w:val="auto"/>
              </w:rPr>
            </w:pPr>
            <w:r>
              <w:rPr>
                <w:rFonts w:ascii="Arial" w:cs="Arial" w:eastAsia="Arial" w:hAnsi="Arial"/>
                <w:sz w:val="18"/>
                <w:szCs w:val="18"/>
                <w:color w:val="auto"/>
              </w:rPr>
              <w:t>President (Principal Executive Officer)</w:t>
            </w:r>
          </w:p>
        </w:tc>
        <w:tc>
          <w:tcPr>
            <w:tcW w:w="1540" w:type="dxa"/>
            <w:vAlign w:val="bottom"/>
            <w:gridSpan w:val="3"/>
          </w:tcPr>
          <w:p>
            <w:pPr>
              <w:ind w:left="240"/>
              <w:spacing w:after="0"/>
              <w:rPr>
                <w:sz w:val="20"/>
                <w:szCs w:val="20"/>
                <w:color w:val="auto"/>
              </w:rPr>
            </w:pPr>
            <w:r>
              <w:rPr>
                <w:rFonts w:ascii="Arial" w:cs="Arial" w:eastAsia="Arial" w:hAnsi="Arial"/>
                <w:sz w:val="18"/>
                <w:szCs w:val="18"/>
                <w:color w:val="auto"/>
                <w:w w:val="86"/>
              </w:rPr>
              <w:t>February 28, 2014</w:t>
            </w:r>
          </w:p>
        </w:tc>
      </w:tr>
      <w:tr>
        <w:trPr>
          <w:trHeight w:val="217"/>
        </w:trPr>
        <w:tc>
          <w:tcPr>
            <w:tcW w:w="20" w:type="dxa"/>
            <w:vAlign w:val="bottom"/>
          </w:tcPr>
          <w:p>
            <w:pPr>
              <w:spacing w:after="0"/>
              <w:rPr>
                <w:sz w:val="18"/>
                <w:szCs w:val="18"/>
                <w:color w:val="auto"/>
              </w:rPr>
            </w:pPr>
          </w:p>
        </w:tc>
        <w:tc>
          <w:tcPr>
            <w:tcW w:w="2520" w:type="dxa"/>
            <w:vAlign w:val="bottom"/>
            <w:gridSpan w:val="3"/>
          </w:tcPr>
          <w:p>
            <w:pPr>
              <w:spacing w:after="0"/>
              <w:rPr>
                <w:sz w:val="20"/>
                <w:szCs w:val="20"/>
                <w:color w:val="auto"/>
              </w:rPr>
            </w:pPr>
            <w:r>
              <w:rPr>
                <w:rFonts w:ascii="Arial" w:cs="Arial" w:eastAsia="Arial" w:hAnsi="Arial"/>
                <w:sz w:val="18"/>
                <w:szCs w:val="18"/>
                <w:color w:val="auto"/>
              </w:rPr>
              <w:t>Maurice Wooden</w:t>
            </w:r>
          </w:p>
        </w:tc>
        <w:tc>
          <w:tcPr>
            <w:tcW w:w="19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37"/>
        </w:trPr>
        <w:tc>
          <w:tcPr>
            <w:tcW w:w="20" w:type="dxa"/>
            <w:vAlign w:val="bottom"/>
          </w:tcPr>
          <w:p>
            <w:pPr>
              <w:spacing w:after="0"/>
              <w:rPr>
                <w:sz w:val="24"/>
                <w:szCs w:val="24"/>
                <w:color w:val="auto"/>
              </w:rPr>
            </w:pPr>
          </w:p>
        </w:tc>
        <w:tc>
          <w:tcPr>
            <w:tcW w:w="3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w:t>
            </w:r>
          </w:p>
        </w:tc>
        <w:tc>
          <w:tcPr>
            <w:tcW w:w="21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Scott Peterson</w:t>
            </w:r>
          </w:p>
        </w:tc>
        <w:tc>
          <w:tcPr>
            <w:tcW w:w="1960" w:type="dxa"/>
            <w:vAlign w:val="bottom"/>
            <w:tcBorders>
              <w:bottom w:val="single" w:sz="8" w:color="auto"/>
            </w:tcBorders>
          </w:tcPr>
          <w:p>
            <w:pPr>
              <w:spacing w:after="0"/>
              <w:rPr>
                <w:sz w:val="24"/>
                <w:szCs w:val="24"/>
                <w:color w:val="auto"/>
              </w:rPr>
            </w:pPr>
          </w:p>
        </w:tc>
        <w:tc>
          <w:tcPr>
            <w:tcW w:w="4580" w:type="dxa"/>
            <w:vAlign w:val="bottom"/>
            <w:gridSpan w:val="3"/>
          </w:tcPr>
          <w:p>
            <w:pPr>
              <w:ind w:left="120"/>
              <w:spacing w:after="0"/>
              <w:rPr>
                <w:sz w:val="20"/>
                <w:szCs w:val="20"/>
                <w:color w:val="auto"/>
              </w:rPr>
            </w:pPr>
            <w:r>
              <w:rPr>
                <w:rFonts w:ascii="Arial" w:cs="Arial" w:eastAsia="Arial" w:hAnsi="Arial"/>
                <w:sz w:val="18"/>
                <w:szCs w:val="18"/>
                <w:color w:val="auto"/>
                <w:w w:val="94"/>
              </w:rPr>
              <w:t>Senior Vice President and Chief Financial Officer (Principal</w:t>
            </w:r>
          </w:p>
        </w:tc>
        <w:tc>
          <w:tcPr>
            <w:tcW w:w="1540" w:type="dxa"/>
            <w:vAlign w:val="bottom"/>
            <w:gridSpan w:val="3"/>
          </w:tcPr>
          <w:p>
            <w:pPr>
              <w:ind w:left="240"/>
              <w:spacing w:after="0"/>
              <w:rPr>
                <w:sz w:val="20"/>
                <w:szCs w:val="20"/>
                <w:color w:val="auto"/>
              </w:rPr>
            </w:pPr>
            <w:r>
              <w:rPr>
                <w:rFonts w:ascii="Arial" w:cs="Arial" w:eastAsia="Arial" w:hAnsi="Arial"/>
                <w:sz w:val="18"/>
                <w:szCs w:val="18"/>
                <w:color w:val="auto"/>
                <w:w w:val="86"/>
              </w:rPr>
              <w:t>February 28, 2014</w:t>
            </w:r>
          </w:p>
        </w:tc>
      </w:tr>
      <w:tr>
        <w:trPr>
          <w:trHeight w:val="218"/>
        </w:trPr>
        <w:tc>
          <w:tcPr>
            <w:tcW w:w="20" w:type="dxa"/>
            <w:vAlign w:val="bottom"/>
          </w:tcPr>
          <w:p>
            <w:pPr>
              <w:spacing w:after="0"/>
              <w:rPr>
                <w:sz w:val="18"/>
                <w:szCs w:val="18"/>
                <w:color w:val="auto"/>
              </w:rPr>
            </w:pPr>
          </w:p>
        </w:tc>
        <w:tc>
          <w:tcPr>
            <w:tcW w:w="2520" w:type="dxa"/>
            <w:vAlign w:val="bottom"/>
            <w:gridSpan w:val="3"/>
          </w:tcPr>
          <w:p>
            <w:pPr>
              <w:spacing w:after="0"/>
              <w:rPr>
                <w:sz w:val="20"/>
                <w:szCs w:val="20"/>
                <w:color w:val="auto"/>
              </w:rPr>
            </w:pPr>
            <w:r>
              <w:rPr>
                <w:rFonts w:ascii="Arial" w:cs="Arial" w:eastAsia="Arial" w:hAnsi="Arial"/>
                <w:sz w:val="18"/>
                <w:szCs w:val="18"/>
                <w:color w:val="auto"/>
              </w:rPr>
              <w:t>Scott Peterson</w:t>
            </w:r>
          </w:p>
        </w:tc>
        <w:tc>
          <w:tcPr>
            <w:tcW w:w="1960" w:type="dxa"/>
            <w:vAlign w:val="bottom"/>
          </w:tcPr>
          <w:p>
            <w:pPr>
              <w:spacing w:after="0"/>
              <w:rPr>
                <w:sz w:val="18"/>
                <w:szCs w:val="18"/>
                <w:color w:val="auto"/>
              </w:rPr>
            </w:pPr>
          </w:p>
        </w:tc>
        <w:tc>
          <w:tcPr>
            <w:tcW w:w="4580" w:type="dxa"/>
            <w:vAlign w:val="bottom"/>
            <w:gridSpan w:val="3"/>
          </w:tcPr>
          <w:p>
            <w:pPr>
              <w:ind w:left="320"/>
              <w:spacing w:after="0" w:line="202" w:lineRule="exact"/>
              <w:rPr>
                <w:sz w:val="20"/>
                <w:szCs w:val="20"/>
                <w:color w:val="auto"/>
              </w:rPr>
            </w:pPr>
            <w:r>
              <w:rPr>
                <w:rFonts w:ascii="Arial" w:cs="Arial" w:eastAsia="Arial" w:hAnsi="Arial"/>
                <w:sz w:val="18"/>
                <w:szCs w:val="18"/>
                <w:color w:val="auto"/>
              </w:rPr>
              <w:t>Financial and Accounting Officer)</w:t>
            </w: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70"/>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0" w:type="dxa"/>
            <w:vAlign w:val="bottom"/>
            <w:gridSpan w:val="2"/>
          </w:tcPr>
          <w:p>
            <w:pPr>
              <w:jc w:val="right"/>
              <w:ind w:right="852"/>
              <w:spacing w:after="0"/>
              <w:rPr>
                <w:sz w:val="20"/>
                <w:szCs w:val="20"/>
                <w:color w:val="auto"/>
              </w:rPr>
            </w:pPr>
            <w:r>
              <w:rPr>
                <w:rFonts w:ascii="Arial" w:cs="Arial" w:eastAsia="Arial" w:hAnsi="Arial"/>
                <w:sz w:val="18"/>
                <w:szCs w:val="18"/>
                <w:color w:val="auto"/>
              </w:rPr>
              <w:t>73</w:t>
            </w:r>
          </w:p>
        </w:tc>
        <w:tc>
          <w:tcPr>
            <w:tcW w:w="2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type w:val="continuous"/>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I, Maurice Wooden, certify that:</w:t>
      </w:r>
    </w:p>
    <w:p>
      <w:pPr>
        <w:spacing w:after="0" w:line="90"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Wynn Las Vegas, LLC;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Dated: February 28, 2014</w:t>
            </w:r>
          </w:p>
        </w:tc>
        <w:tc>
          <w:tcPr>
            <w:tcW w:w="53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/s/  Maurice Wooden</w:t>
            </w:r>
          </w:p>
        </w:tc>
      </w:tr>
      <w:tr>
        <w:trPr>
          <w:trHeight w:val="202"/>
        </w:trPr>
        <w:tc>
          <w:tcPr>
            <w:tcW w:w="608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Maurice Wooden</w:t>
            </w:r>
          </w:p>
        </w:tc>
      </w:tr>
      <w:tr>
        <w:trPr>
          <w:trHeight w:val="222"/>
        </w:trPr>
        <w:tc>
          <w:tcPr>
            <w:tcW w:w="608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President</w:t>
            </w:r>
          </w:p>
        </w:tc>
      </w:tr>
      <w:tr>
        <w:trPr>
          <w:trHeight w:val="230"/>
        </w:trPr>
        <w:tc>
          <w:tcPr>
            <w:tcW w:w="608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5"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I, Scott Peterson, certify that:</w:t>
      </w:r>
    </w:p>
    <w:p>
      <w:pPr>
        <w:spacing w:after="0" w:line="90"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Wynn Las Vegas, LLC;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Dated: February 28, 2014</w:t>
            </w:r>
          </w:p>
        </w:tc>
        <w:tc>
          <w:tcPr>
            <w:tcW w:w="53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/s/  Scott Peterson</w:t>
            </w:r>
          </w:p>
        </w:tc>
      </w:tr>
      <w:tr>
        <w:trPr>
          <w:trHeight w:val="202"/>
        </w:trPr>
        <w:tc>
          <w:tcPr>
            <w:tcW w:w="608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Scott Peterson</w:t>
            </w:r>
          </w:p>
        </w:tc>
      </w:tr>
      <w:tr>
        <w:trPr>
          <w:trHeight w:val="222"/>
        </w:trPr>
        <w:tc>
          <w:tcPr>
            <w:tcW w:w="608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Senior Vice President and</w:t>
            </w:r>
          </w:p>
        </w:tc>
      </w:tr>
      <w:tr>
        <w:trPr>
          <w:trHeight w:val="223"/>
        </w:trPr>
        <w:tc>
          <w:tcPr>
            <w:tcW w:w="608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216"/>
        </w:trPr>
        <w:tc>
          <w:tcPr>
            <w:tcW w:w="608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(Principal Financial and</w:t>
            </w:r>
          </w:p>
        </w:tc>
      </w:tr>
      <w:tr>
        <w:trPr>
          <w:trHeight w:val="222"/>
        </w:trPr>
        <w:tc>
          <w:tcPr>
            <w:tcW w:w="608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Accounting Officer)</w:t>
            </w:r>
          </w:p>
        </w:tc>
      </w:tr>
    </w:tbl>
    <w:p>
      <w:pPr>
        <w:sectPr>
          <w:pgSz w:w="11900" w:h="16838" w:orient="portrait"/>
          <w:cols w:equalWidth="0" w:num="1">
            <w:col w:w="11420"/>
          </w:cols>
          <w:pgMar w:left="240" w:top="125"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connection with the Annual Report on Form 10-K of Wynn Las Vegas, LLC (the “Company”) for the year ended December 31, 2013 as filed with the Securities and Exchange Commission on the date hereof (the “Report”), Maurice Wooden, as President of the Company, and Scott Peterson, as Chief Financial Officer of the Company, each hereby certifies, pursuant to 18 U.S.C. Section 1350, as adopted pursuant to Section 906 of the Sarbanes-Oxley Act of 2002, that, to the best of his knowledge:</w:t>
      </w:r>
    </w:p>
    <w:p>
      <w:pPr>
        <w:spacing w:after="0" w:line="62"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1" w:lineRule="exact"/>
        <w:rPr>
          <w:sz w:val="20"/>
          <w:szCs w:val="20"/>
          <w:color w:val="auto"/>
        </w:rPr>
      </w:pPr>
    </w:p>
    <w:p>
      <w:pPr>
        <w:ind w:left="180"/>
        <w:spacing w:after="0"/>
        <w:tabs>
          <w:tab w:leader="none" w:pos="5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Maurice Wooden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Maurice Wooden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28, 2014</w:t>
      </w:r>
    </w:p>
    <w:p>
      <w:pPr>
        <w:spacing w:after="0" w:line="200" w:lineRule="exact"/>
        <w:rPr>
          <w:sz w:val="20"/>
          <w:szCs w:val="20"/>
          <w:color w:val="auto"/>
        </w:rPr>
      </w:pPr>
    </w:p>
    <w:p>
      <w:pPr>
        <w:spacing w:after="0" w:line="235" w:lineRule="exact"/>
        <w:rPr>
          <w:sz w:val="20"/>
          <w:szCs w:val="20"/>
          <w:color w:val="auto"/>
        </w:rPr>
      </w:pPr>
    </w:p>
    <w:p>
      <w:pPr>
        <w:ind w:left="180"/>
        <w:spacing w:after="0"/>
        <w:tabs>
          <w:tab w:leader="none" w:pos="5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Scott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Scott Peterson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Senior Vice President and</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(Principal Financial and Accounting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28, 2014</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1)"/>
      <w:numFmt w:val="decimal"/>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1]"/>
      <w:numFmt w:val="decimal"/>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1]"/>
      <w:numFmt w:val="decimal"/>
      <w:start w:val="1"/>
    </w:lvl>
  </w:abstractNum>
  <w:abstractNum w:abstractNumId="20">
    <w:nsid w:val="2CA88611"/>
    <w:multiLevelType w:val="hybridMultilevel"/>
    <w:lvl w:ilvl="0">
      <w:lvlJc w:val="left"/>
      <w:lvlText w:val="%1."/>
      <w:numFmt w:val="decimal"/>
      <w:start w:val="2"/>
    </w:lvl>
  </w:abstractNum>
  <w:abstractNum w:abstractNumId="21">
    <w:nsid w:val="836C40E"/>
    <w:multiLevelType w:val="hybridMultilevel"/>
    <w:lvl w:ilvl="0">
      <w:lvlJc w:val="left"/>
      <w:lvlText w:val="%1."/>
      <w:numFmt w:val="decimal"/>
      <w:start w:val="8"/>
    </w:lvl>
  </w:abstractNum>
  <w:abstractNum w:abstractNumId="22">
    <w:nsid w:val="2901D82"/>
    <w:multiLevelType w:val="hybridMultilevel"/>
    <w:lvl w:ilvl="0">
      <w:lvlJc w:val="left"/>
      <w:lvlText w:val="%1."/>
      <w:numFmt w:val="decimal"/>
      <w:start w:val="10"/>
    </w:lvl>
  </w:abstractNum>
  <w:abstractNum w:abstractNumId="23">
    <w:nsid w:val="3A95F874"/>
    <w:multiLevelType w:val="hybridMultilevel"/>
    <w:lvl w:ilvl="0">
      <w:lvlJc w:val="left"/>
      <w:lvlText w:val="%1."/>
      <w:numFmt w:val="decimal"/>
      <w:start w:val="11"/>
    </w:lvl>
  </w:abstractNum>
  <w:abstractNum w:abstractNumId="24">
    <w:nsid w:val="8138641"/>
    <w:multiLevelType w:val="hybridMultilevel"/>
    <w:lvl w:ilvl="0">
      <w:lvlJc w:val="left"/>
      <w:lvlText w:val="(%1)"/>
      <w:numFmt w:val="decimal"/>
      <w:start w:val="1"/>
    </w:lvl>
  </w:abstractNum>
  <w:abstractNum w:abstractNumId="25">
    <w:nsid w:val="1E7FF521"/>
    <w:multiLevelType w:val="hybridMultilevel"/>
    <w:lvl w:ilvl="0">
      <w:lvlJc w:val="left"/>
      <w:lvlText w:val="(%1)"/>
      <w:numFmt w:val="decimal"/>
      <w:start w:val="3"/>
    </w:lvl>
  </w:abstractNum>
  <w:abstractNum w:abstractNumId="26">
    <w:nsid w:val="7C3DBD3D"/>
    <w:multiLevelType w:val="hybridMultilevel"/>
    <w:lvl w:ilvl="0">
      <w:lvlJc w:val="left"/>
      <w:lvlText w:val="(%1)"/>
      <w:numFmt w:val="lowerLetter"/>
      <w:start w:val="1"/>
    </w:lvl>
  </w:abstractNum>
  <w:abstractNum w:abstractNumId="27">
    <w:nsid w:val="737B8DDC"/>
    <w:multiLevelType w:val="hybridMultilevel"/>
    <w:lvl w:ilvl="0">
      <w:lvlJc w:val="left"/>
      <w:lvlText w:val="(%1)"/>
      <w:numFmt w:val="lowerLetter"/>
      <w:start w:val="3"/>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1"/>
      <w:numFmt w:val="decimal"/>
      <w:start w:val="101"/>
    </w:lvl>
  </w:abstractNum>
  <w:abstractNum w:abstractNumId="31">
    <w:nsid w:val="3006C83E"/>
    <w:multiLevelType w:val="hybridMultilevel"/>
    <w:lvl w:ilvl="0">
      <w:lvlJc w:val="left"/>
      <w:lvlText w:val="(%1)"/>
      <w:numFmt w:val="decimal"/>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lvl w:ilvl="1">
      <w:lvlJc w:val="left"/>
      <w:lvlText w:val="%2)"/>
      <w:numFmt w:val="lowerLetter"/>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2019-12-07T04:19:25Z</dcterms:created>
  <dcterms:modified xsi:type="dcterms:W3CDTF">2019-12-07T04:19:25Z</dcterms:modified>
</cp:coreProperties>
</file>