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-220345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8" w:lineRule="exact"/>
        <w:rPr>
          <w:sz w:val="24"/>
          <w:szCs w:val="24"/>
          <w:color w:val="auto"/>
        </w:rPr>
      </w:pPr>
    </w:p>
    <w:p>
      <w:pPr>
        <w:ind w:left="720" w:right="200" w:hanging="685"/>
        <w:spacing w:after="0" w:line="251"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18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64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-5080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000-50028</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-297815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9" w:lineRule="exact"/>
        <w:rPr>
          <w:sz w:val="24"/>
          <w:szCs w:val="24"/>
          <w:color w:val="auto"/>
        </w:rPr>
      </w:pPr>
    </w:p>
    <w:tbl>
      <w:tblPr>
        <w:tblLayout w:type="fixed"/>
        <w:tblInd w:w="1880" w:type="dxa"/>
        <w:tblCellMar>
          <w:top w:w="0" w:type="dxa"/>
          <w:left w:w="0" w:type="dxa"/>
          <w:bottom w:w="0" w:type="dxa"/>
          <w:right w:w="0" w:type="dxa"/>
        </w:tblCellMar>
      </w:tblPr>
      <w:tr>
        <w:trPr>
          <w:trHeight w:val="238"/>
        </w:trPr>
        <w:tc>
          <w:tcPr>
            <w:tcW w:w="59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20"/>
                <w:szCs w:val="20"/>
                <w:color w:val="auto"/>
              </w:rPr>
            </w:pPr>
          </w:p>
        </w:tc>
      </w:tr>
      <w:tr>
        <w:trPr>
          <w:trHeight w:val="432"/>
        </w:trPr>
        <w:tc>
          <w:tcPr>
            <w:tcW w:w="5980" w:type="dxa"/>
            <w:vAlign w:val="bottom"/>
          </w:tcPr>
          <w:p>
            <w:pPr>
              <w:jc w:val="center"/>
              <w:ind w:right="4039"/>
              <w:spacing w:after="0"/>
              <w:rPr>
                <w:sz w:val="20"/>
                <w:szCs w:val="20"/>
                <w:color w:val="auto"/>
              </w:rPr>
            </w:pPr>
            <w:r>
              <w:rPr>
                <w:rFonts w:ascii="Times New Roman" w:cs="Times New Roman" w:eastAsia="Times New Roman" w:hAnsi="Times New Roman"/>
                <w:sz w:val="18"/>
                <w:szCs w:val="18"/>
                <w:b w:val="1"/>
                <w:bCs w:val="1"/>
                <w:color w:val="auto"/>
                <w:w w:val="98"/>
              </w:rPr>
              <w:t>N</w:t>
            </w:r>
            <w:r>
              <w:rPr>
                <w:rFonts w:ascii="Times New Roman" w:cs="Times New Roman" w:eastAsia="Times New Roman" w:hAnsi="Times New Roman"/>
                <w:sz w:val="14"/>
                <w:szCs w:val="14"/>
                <w:b w:val="1"/>
                <w:bCs w:val="1"/>
                <w:color w:val="auto"/>
                <w:w w:val="98"/>
              </w:rPr>
              <w:t>EVADA</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8"/>
              </w:rPr>
              <w:t>46-0484987</w:t>
            </w:r>
          </w:p>
        </w:tc>
      </w:tr>
      <w:tr>
        <w:trPr>
          <w:trHeight w:val="178"/>
        </w:trPr>
        <w:tc>
          <w:tcPr>
            <w:tcW w:w="5980" w:type="dxa"/>
            <w:vAlign w:val="bottom"/>
          </w:tcPr>
          <w:p>
            <w:pPr>
              <w:jc w:val="center"/>
              <w:ind w:right="403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80" w:type="dxa"/>
            <w:vAlign w:val="bottom"/>
          </w:tcPr>
          <w:p>
            <w:pPr>
              <w:jc w:val="center"/>
              <w:ind w:right="40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3131 Las Vegas Boulevard South - Las Vegas, Nevada 89109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right="4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7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 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1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660" w:space="680"/>
            <w:col w:w="5220" w:space="720"/>
            <w:col w:w="2000" w:space="720"/>
            <w:col w:w="420"/>
          </w:cols>
          <w:pgMar w:left="240" w:top="225" w:right="23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4">
            <w:col w:w="1620" w:space="720"/>
            <w:col w:w="5220" w:space="720"/>
            <w:col w:w="2000" w:space="720"/>
            <w:col w:w="420"/>
          </w:cols>
          <w:pgMar w:left="240" w:top="225" w:right="239" w:bottom="1440" w:gutter="0" w:footer="0" w:header="0"/>
          <w:type w:val="continuous"/>
        </w:sectPr>
      </w:pPr>
    </w:p>
    <w:p>
      <w:pPr>
        <w:spacing w:after="0" w:line="2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63" w:lineRule="exact"/>
        <w:rPr>
          <w:sz w:val="24"/>
          <w:szCs w:val="24"/>
          <w:color w:val="auto"/>
        </w:rPr>
      </w:pPr>
    </w:p>
    <w:p>
      <w:pPr>
        <w:sectPr>
          <w:pgSz w:w="11900" w:h="16838" w:orient="portrait"/>
          <w:cols w:equalWidth="0" w:num="4">
            <w:col w:w="8620" w:space="180"/>
            <w:col w:w="260" w:space="80"/>
            <w:col w:w="160" w:space="180"/>
            <w:col w:w="1940"/>
          </w:cols>
          <w:pgMar w:left="240" w:top="225" w:right="2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260" w:type="dxa"/>
            <w:vAlign w:val="bottom"/>
          </w:tcPr>
          <w:p>
            <w:pPr>
              <w:spacing w:after="0"/>
              <w:rPr>
                <w:sz w:val="13"/>
                <w:szCs w:val="13"/>
                <w:color w:val="auto"/>
              </w:rPr>
            </w:pPr>
          </w:p>
        </w:tc>
        <w:tc>
          <w:tcPr>
            <w:tcW w:w="5500" w:type="dxa"/>
            <w:vAlign w:val="bottom"/>
            <w:gridSpan w:val="3"/>
          </w:tcPr>
          <w:p>
            <w:pPr>
              <w:jc w:val="center"/>
              <w:ind w:left="2799"/>
              <w:spacing w:after="0"/>
              <w:rPr>
                <w:sz w:val="20"/>
                <w:szCs w:val="20"/>
                <w:color w:val="auto"/>
              </w:rPr>
            </w:pPr>
            <w:r>
              <w:rPr>
                <w:rFonts w:ascii="Times New Roman" w:cs="Times New Roman" w:eastAsia="Times New Roman" w:hAnsi="Times New Roman"/>
                <w:sz w:val="14"/>
                <w:szCs w:val="14"/>
                <w:b w:val="1"/>
                <w:bCs w:val="1"/>
                <w:color w:val="auto"/>
              </w:rPr>
              <w:t>Outstanding at April 30, 2016</w:t>
            </w:r>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5920" w:type="dxa"/>
            <w:vAlign w:val="bottom"/>
            <w:gridSpan w:val="3"/>
          </w:tcPr>
          <w:p>
            <w:pPr>
              <w:jc w:val="center"/>
              <w:ind w:right="294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101,790,911</w:t>
            </w:r>
          </w:p>
        </w:tc>
        <w:tc>
          <w:tcPr>
            <w:tcW w:w="40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44"/>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860" w:type="dxa"/>
            <w:vAlign w:val="bottom"/>
            <w:gridSpan w:val="4"/>
          </w:tcPr>
          <w:p>
            <w:pPr>
              <w:spacing w:after="0"/>
              <w:rPr>
                <w:sz w:val="19"/>
                <w:szCs w:val="19"/>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March 31, 2016 (unaudited) and December 31, 2015</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(unaudited) – Three Months Ended March 31, 2016 and 2015</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(Loss) (unaudited) – Three Months Ended March 31,</w:t>
              </w:r>
            </w:hyperlink>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2016 and 2015</w:t>
              </w:r>
            </w:hyperlink>
          </w:p>
        </w:tc>
        <w:tc>
          <w:tcPr>
            <w:tcW w:w="806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Stockholders' Equity (unaudited) – Three Months Ended March 31, 2016</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Cash Flows (unaudited) – Three Months Ended March 31, 2016 and 2015</w:t>
              </w:r>
            </w:hyperlink>
          </w:p>
        </w:tc>
        <w:tc>
          <w:tcPr>
            <w:tcW w:w="9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Condensed Consolidated Financial Statements (unaudited)</w:t>
              </w:r>
            </w:hyperlink>
          </w:p>
        </w:tc>
        <w:tc>
          <w:tcPr>
            <w:tcW w:w="4580" w:type="dxa"/>
            <w:vAlign w:val="bottom"/>
            <w:gridSpan w:val="7"/>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Item 2.</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30</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Quantitative and Qualitative Disclosures About Market Risk</w:t>
              </w:r>
            </w:hyperlink>
          </w:p>
        </w:tc>
        <w:tc>
          <w:tcPr>
            <w:tcW w:w="2060" w:type="dxa"/>
            <w:vAlign w:val="bottom"/>
            <w:tcBorders>
              <w:top w:val="single" w:sz="8" w:color="0000EE"/>
            </w:tcBorders>
            <w:gridSpan w:val="2"/>
          </w:tcPr>
          <w:p>
            <w:pPr>
              <w:spacing w:after="0"/>
              <w:rPr>
                <w:sz w:val="21"/>
                <w:szCs w:val="21"/>
                <w:color w:val="auto"/>
              </w:rPr>
            </w:pPr>
          </w:p>
        </w:tc>
        <w:tc>
          <w:tcPr>
            <w:tcW w:w="30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42</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Controls and Procedures</w:t>
              </w:r>
            </w:hyperlink>
          </w:p>
        </w:tc>
        <w:tc>
          <w:tcPr>
            <w:tcW w:w="76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588"/>
        </w:trPr>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44</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1A.</w:t>
              </w:r>
            </w:hyperlink>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Risk Factors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44</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44</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6">
              <w:r>
                <w:rPr>
                  <w:rFonts w:ascii="Times New Roman" w:cs="Times New Roman" w:eastAsia="Times New Roman" w:hAnsi="Times New Roman"/>
                  <w:sz w:val="18"/>
                  <w:szCs w:val="18"/>
                  <w:color w:val="0000EE"/>
                  <w:w w:val="97"/>
                </w:rPr>
                <w:t>Item 5.</w:t>
              </w:r>
            </w:hyperlink>
          </w:p>
        </w:tc>
        <w:tc>
          <w:tcPr>
            <w:tcW w:w="860" w:type="dxa"/>
            <w:vAlign w:val="bottom"/>
            <w:gridSpan w:val="4"/>
          </w:tcPr>
          <w:p>
            <w:pPr>
              <w:spacing w:after="0"/>
              <w:rPr>
                <w:sz w:val="21"/>
                <w:szCs w:val="21"/>
                <w:color w:val="auto"/>
              </w:rPr>
            </w:pPr>
          </w:p>
        </w:tc>
        <w:tc>
          <w:tcPr>
            <w:tcW w:w="13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46">
              <w:r>
                <w:rPr>
                  <w:rFonts w:ascii="Times New Roman" w:cs="Times New Roman" w:eastAsia="Times New Roman" w:hAnsi="Times New Roman"/>
                  <w:sz w:val="18"/>
                  <w:szCs w:val="18"/>
                  <w:color w:val="0000EE"/>
                  <w:w w:val="98"/>
                </w:rPr>
                <w:t>Other Information</w:t>
              </w:r>
            </w:hyperlink>
          </w:p>
        </w:tc>
        <w:tc>
          <w:tcPr>
            <w:tcW w:w="814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45</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46">
              <w:r>
                <w:rPr>
                  <w:rFonts w:ascii="Times New Roman" w:cs="Times New Roman" w:eastAsia="Times New Roman" w:hAnsi="Times New Roman"/>
                  <w:sz w:val="18"/>
                  <w:szCs w:val="18"/>
                  <w:color w:val="0000EE"/>
                  <w:w w:val="97"/>
                </w:rPr>
                <w:t>Item 6.</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Exhibits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45</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7">
              <w:r>
                <w:rPr>
                  <w:rFonts w:ascii="Times New Roman" w:cs="Times New Roman" w:eastAsia="Times New Roman" w:hAnsi="Times New Roman"/>
                  <w:sz w:val="18"/>
                  <w:szCs w:val="18"/>
                  <w:color w:val="0000EE"/>
                  <w:w w:val="88"/>
                </w:rPr>
                <w:t>46</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9"/>
          </w:tcPr>
          <w:p>
            <w:pPr>
              <w:ind w:left="39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09"/>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20"/>
        </w:trPr>
        <w:tc>
          <w:tcPr>
            <w:tcW w:w="8340" w:type="dxa"/>
            <w:vAlign w:val="bottom"/>
          </w:tcPr>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2,107,253</w:t>
            </w:r>
          </w:p>
        </w:tc>
        <w:tc>
          <w:tcPr>
            <w:tcW w:w="120" w:type="dxa"/>
            <w:vAlign w:val="bottom"/>
          </w:tcPr>
          <w:p>
            <w:pPr>
              <w:spacing w:after="0"/>
              <w:rPr>
                <w:sz w:val="22"/>
                <w:szCs w:val="22"/>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2,080,089</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Investment securities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178,540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115,297</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Receivables, net</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188,476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187,887</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72,604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74,493</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58,620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48,012</w:t>
            </w: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2,605,493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2,505,778</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7,633,434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7,477,478</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8,390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2,060</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securities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73,374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136,256</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110,376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110,972</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215,493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225,888</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unconsolidated affiliates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727</w:t>
            </w:r>
          </w:p>
        </w:tc>
      </w:tr>
      <w:tr>
        <w:trPr>
          <w:trHeight w:val="270"/>
        </w:trPr>
        <w:tc>
          <w:tcPr>
            <w:tcW w:w="8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10,646,560</w:t>
            </w:r>
          </w:p>
        </w:tc>
        <w:tc>
          <w:tcPr>
            <w:tcW w:w="12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10,459,159</w:t>
            </w:r>
          </w:p>
        </w:tc>
      </w:tr>
      <w:tr>
        <w:trPr>
          <w:trHeight w:val="190"/>
        </w:trPr>
        <w:tc>
          <w:tcPr>
            <w:tcW w:w="8340" w:type="dxa"/>
            <w:vAlign w:val="bottom"/>
            <w:shd w:val="clear" w:color="auto" w:fill="CCEEFF"/>
          </w:tcPr>
          <w:p>
            <w:pPr>
              <w:ind w:left="4000"/>
              <w:spacing w:after="0" w:line="170"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60"/>
        </w:trPr>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111,114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210,372</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Current portion of land concession obligation</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15,993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16,000</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Customer deposits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429,346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436,409</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Gaming taxes payable</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90,968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98,559</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116,045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129,697</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55,496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98,129</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151,654</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121,005</w:t>
            </w:r>
          </w:p>
        </w:tc>
      </w:tr>
      <w:tr>
        <w:trPr>
          <w:trHeight w:val="240"/>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970,616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1,110,171</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9,408,555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9,149,665</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146,709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141,121</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39,745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36,357</w:t>
            </w:r>
          </w:p>
        </w:tc>
      </w:tr>
      <w:tr>
        <w:trPr>
          <w:trHeight w:val="244"/>
        </w:trPr>
        <w:tc>
          <w:tcPr>
            <w:tcW w:w="8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10,565,625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10,437,314</w:t>
            </w:r>
          </w:p>
        </w:tc>
      </w:tr>
      <w:tr>
        <w:trPr>
          <w:trHeight w:val="197"/>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1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60"/>
        </w:trPr>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8340" w:type="dxa"/>
            <w:vAlign w:val="bottom"/>
          </w:tcPr>
          <w:p>
            <w:pPr>
              <w:ind w:left="380"/>
              <w:spacing w:after="0" w:line="179" w:lineRule="exact"/>
              <w:rPr>
                <w:sz w:val="20"/>
                <w:szCs w:val="20"/>
                <w:color w:val="auto"/>
              </w:rPr>
            </w:pPr>
            <w:r>
              <w:rPr>
                <w:rFonts w:ascii="Times New Roman" w:cs="Times New Roman" w:eastAsia="Times New Roman" w:hAnsi="Times New Roman"/>
                <w:sz w:val="16"/>
                <w:szCs w:val="16"/>
                <w:color w:val="auto"/>
              </w:rPr>
              <w:t>Common stock, par value $0.01; 400,000,000 shares authorized; 114,928,737 and 114,610,441 shares issued; 101,770,439</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101,571,909 shares outstanding, respectively</w:t>
            </w:r>
          </w:p>
        </w:tc>
        <w:tc>
          <w:tcPr>
            <w:tcW w:w="24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1,146</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Treasury stock, at cost; 13,158,298 and 13,038,532 shares, respectively</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(1,158,971)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(1,152,680)</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991,872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983,131</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1,092</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79,697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55,332</w:t>
            </w: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Wynn Resorts, Limited stockholders' deficit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(84,326)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(111,979)</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165,261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133,824</w:t>
            </w: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80,935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21,845</w:t>
            </w:r>
          </w:p>
        </w:tc>
      </w:tr>
      <w:tr>
        <w:trPr>
          <w:trHeight w:val="230"/>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10,646,560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10,459,159</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732,730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826,099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135,592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132,055</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130,444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136,013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81,995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90,376</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revenues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1,080,761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1,184,543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(92,305)</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997,678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1,092,238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452,540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524,053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36,686</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79,420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76,406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40,294</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117,445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122,200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6,079</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16,091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77,971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82,866</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2,504</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839,380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907,179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158,298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185,059</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(77,983)</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swap fair value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in Redemption Note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1,133</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(195,764)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109,710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105,792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75,221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(44,601)</w:t>
            </w: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and diluted income (loss)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101,392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101,135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101,686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101,135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97"/>
        </w:trPr>
        <w:tc>
          <w:tcPr>
            <w:tcW w:w="10060" w:type="dxa"/>
            <w:vAlign w:val="bottom"/>
            <w:gridSpan w:val="4"/>
          </w:tcPr>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investment securities, before and after tax</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(30,463)</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Wynn Resorts, Limited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76,056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right="460"/>
        <w:spacing w:after="0" w:line="330" w:lineRule="auto"/>
        <w:rPr>
          <w:sz w:val="20"/>
          <w:szCs w:val="20"/>
          <w:color w:val="auto"/>
        </w:rPr>
      </w:pPr>
      <w:r>
        <w:rPr>
          <w:rFonts w:ascii="Times New Roman" w:cs="Times New Roman" w:eastAsia="Times New Roman" w:hAnsi="Times New Roman"/>
          <w:sz w:val="13"/>
          <w:szCs w:val="13"/>
          <w:b w:val="1"/>
          <w:bCs w:val="1"/>
          <w:color w:val="auto"/>
        </w:rPr>
        <w:t xml:space="preserve">Balances, January 1, 2016 </w:t>
      </w:r>
      <w:r>
        <w:rPr>
          <w:rFonts w:ascii="Times New Roman" w:cs="Times New Roman" w:eastAsia="Times New Roman" w:hAnsi="Times New Roman"/>
          <w:sz w:val="13"/>
          <w:szCs w:val="13"/>
          <w:color w:val="auto"/>
        </w:rPr>
        <w:t>Net income</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Currency translation adjustment</w:t>
      </w:r>
    </w:p>
    <w:p>
      <w:pPr>
        <w:spacing w:after="0" w:line="121" w:lineRule="exact"/>
        <w:rPr>
          <w:sz w:val="20"/>
          <w:szCs w:val="20"/>
          <w:color w:val="auto"/>
        </w:rPr>
      </w:pPr>
    </w:p>
    <w:p>
      <w:pPr>
        <w:ind w:left="40" w:right="140"/>
        <w:spacing w:after="0"/>
        <w:rPr>
          <w:sz w:val="20"/>
          <w:szCs w:val="20"/>
          <w:color w:val="auto"/>
        </w:rPr>
      </w:pPr>
      <w:r>
        <w:rPr>
          <w:rFonts w:ascii="Times New Roman" w:cs="Times New Roman" w:eastAsia="Times New Roman" w:hAnsi="Times New Roman"/>
          <w:sz w:val="13"/>
          <w:szCs w:val="13"/>
          <w:color w:val="auto"/>
        </w:rPr>
        <w:t>Net unrealized gain on investment securities</w:t>
      </w:r>
    </w:p>
    <w:p>
      <w:pPr>
        <w:spacing w:after="0" w:line="25" w:lineRule="exact"/>
        <w:rPr>
          <w:sz w:val="20"/>
          <w:szCs w:val="20"/>
          <w:color w:val="auto"/>
        </w:rPr>
      </w:pPr>
    </w:p>
    <w:p>
      <w:pPr>
        <w:ind w:left="40" w:right="20"/>
        <w:spacing w:after="0" w:line="280" w:lineRule="auto"/>
        <w:rPr>
          <w:sz w:val="20"/>
          <w:szCs w:val="20"/>
          <w:color w:val="auto"/>
        </w:rPr>
      </w:pPr>
      <w:r>
        <w:rPr>
          <w:rFonts w:ascii="Times New Roman" w:cs="Times New Roman" w:eastAsia="Times New Roman" w:hAnsi="Times New Roman"/>
          <w:sz w:val="12"/>
          <w:szCs w:val="12"/>
          <w:color w:val="auto"/>
        </w:rPr>
        <w:t>Shares repurchased by the Company and held as treasury shares</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Issuance of restricted stock</w:t>
      </w:r>
    </w:p>
    <w:p>
      <w:pPr>
        <w:spacing w:after="0" w:line="121" w:lineRule="exact"/>
        <w:rPr>
          <w:sz w:val="20"/>
          <w:szCs w:val="20"/>
          <w:color w:val="auto"/>
        </w:rPr>
      </w:pPr>
    </w:p>
    <w:p>
      <w:pPr>
        <w:ind w:left="40" w:right="20"/>
        <w:spacing w:after="0"/>
        <w:rPr>
          <w:sz w:val="20"/>
          <w:szCs w:val="20"/>
          <w:color w:val="auto"/>
        </w:rPr>
      </w:pPr>
      <w:r>
        <w:rPr>
          <w:rFonts w:ascii="Times New Roman" w:cs="Times New Roman" w:eastAsia="Times New Roman" w:hAnsi="Times New Roman"/>
          <w:sz w:val="13"/>
          <w:szCs w:val="13"/>
          <w:color w:val="auto"/>
        </w:rPr>
        <w:t>Shares of subsidiary repurchased for share award plan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Cash dividends declared</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Excess tax benefits from stock-based compensation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Balances, March 31, 2016</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28"/>
        </w:trPr>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w w:val="92"/>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60" w:type="dxa"/>
            <w:vAlign w:val="bottom"/>
          </w:tcPr>
          <w:p>
            <w:pPr>
              <w:spacing w:after="0"/>
              <w:rPr>
                <w:sz w:val="11"/>
                <w:szCs w:val="11"/>
                <w:color w:val="auto"/>
              </w:rPr>
            </w:pPr>
          </w:p>
        </w:tc>
        <w:tc>
          <w:tcPr>
            <w:tcW w:w="6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76"/>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6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equity</w:t>
            </w:r>
          </w:p>
        </w:tc>
      </w:tr>
      <w:tr>
        <w:trPr>
          <w:trHeight w:val="241"/>
        </w:trPr>
        <w:tc>
          <w:tcPr>
            <w:tcW w:w="9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101,571,909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1,146</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(1,152,680)</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983,131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55,332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(111,979)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133,824</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21,845</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75,221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75,221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30,571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105,792</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923</w:t>
            </w:r>
          </w:p>
        </w:tc>
      </w:tr>
      <w:tr>
        <w:trPr>
          <w:trHeight w:val="324"/>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(119,766)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(6,291)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(6,291)</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318,296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(50,856)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(50,849)</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w:t>
            </w:r>
          </w:p>
        </w:tc>
      </w:tr>
      <w:tr>
        <w:trPr>
          <w:trHeight w:val="28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1,178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10,652</w:t>
            </w:r>
          </w:p>
        </w:tc>
      </w:tr>
      <w:tr>
        <w:trPr>
          <w:trHeight w:val="237"/>
        </w:trPr>
        <w:tc>
          <w:tcPr>
            <w:tcW w:w="9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101,770,439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1,149</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(1,158,971)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991,872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1,927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79,697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(84,326)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165,261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80,935</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-1868805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-1525905</wp:posOffset>
            </wp:positionV>
            <wp:extent cx="724662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-1114425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-736600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-359410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1900" w:space="60"/>
            <w:col w:w="946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09"/>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105,792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(used in)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77,971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82,866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2,621</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10,696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deferred financing costs and other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6,515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116,194</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6,079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2,200</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 in income of unconsolidated affiliates, net of distributions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 in swap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4,609</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in Redemption Note fair value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Decrease in cash from changes 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Receivables,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(58,832)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Inventories and prepaid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Customer deposits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(44,265)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(128,108)</w:t>
            </w: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115,373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(519,644)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Return of investment in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investment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 or maturity of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88,154</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1,013</w:t>
            </w: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(272,721)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(521,597)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(346,812)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250,665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2,061,059</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(1,422,374)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(163,871)</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Shares of subsidiary repurchased for share award plan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(124,754)</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184,822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27,164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(540,256)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2,080,089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2,182,164</w:t>
            </w: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Balance, end of period</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2,107,253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1,641,908</w:t>
            </w:r>
          </w:p>
        </w:tc>
      </w:tr>
      <w:tr>
        <w:trPr>
          <w:trHeight w:val="73"/>
        </w:trPr>
        <w:tc>
          <w:tcPr>
            <w:tcW w:w="83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24"/>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Supplemental cash flow disclosures: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81,483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117,305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capitalized into construction</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 in accounts and construction payables related to property and equipment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(23,318)</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dividends payable on unvested restricted stock included in accrued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837</w:t>
            </w: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0" w:gutter="0" w:footer="0" w:header="0"/>
          <w:type w:val="continuous"/>
        </w:sectPr>
      </w:pPr>
    </w:p>
    <w:bookmarkStart w:id="7" w:name="page8"/>
    <w:bookmarkEnd w:id="7"/>
    <w:p>
      <w:pPr>
        <w:jc w:val="center"/>
        <w:ind w:right="-14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526" w:right="1440"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1 -</w:t>
        <w:tab/>
        <w:t>Organization and Basis of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72% of Wynn Macau, Limited ("WML") and operates the integrated Wynn Macau and Encore at Wynn Macau resort. In Las Vegas, Nevada, the Company owns 100% of and operates the integrated Wynn Las Vegas and Encore at Wynn Las Vegas resort.</w:t>
      </w:r>
    </w:p>
    <w:p>
      <w:pPr>
        <w:spacing w:after="0" w:line="1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Company's integrated Macau resort of Wynn Macau and Encore at Wynn Macau features two luxury hotel towers with a total of 1,008 guest rooms and suites, approximately 284,000 square feet of casino space, casual and fine dining in eight restaurants, approximately 31,000 square feet of lounge and meeting space, approximately 57,000 square feet of retail space, recreation and leisure facilities, including two health clubs, spas and one pool. The Company refers to this resort as its Macau Operations.</w:t>
      </w:r>
    </w:p>
    <w:p>
      <w:pPr>
        <w:spacing w:after="0" w:line="1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Company's integrated Las Vegas resort of Wynn Las Vegas and Encore at Wynn Las Vegas features two luxury hotel towers with a total of 4,748 guest rooms, suites and villas, approximately 186,000 square feet of casino space, 34 food and beverage outlets, an on-site 18-hole golf course, approximately 290,000 square feet of meeting and convention space, approximately 99,000 square feet of retail space, as well as two showrooms, three nightclubs and a beach club. The Company refers to this resort as its Las Vegas Operations.</w:t>
      </w:r>
    </w:p>
    <w:p>
      <w:pPr>
        <w:spacing w:after="0" w:line="180"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Company is currently constructing Wynn Palace, an integrated resort containing a 1,700-room hotel, a performance lake, and a wide range of amenities, including meeting, retail, food and beverage, and casino spaces, in the Cotai area of Macau. The Company expects to open Wynn Palace in the third quarter of 2016.</w:t>
      </w:r>
    </w:p>
    <w:p>
      <w:pPr>
        <w:spacing w:after="0" w:line="17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In November 2014, the Company was awarded a gaming license to develop and construct, Wynn Boston Harbor, an integrated resort in Everett, Massachusetts, adjacent to Boston. Wynn Boston Harbor will be located on a 33-acre site along the Mystic River and will contain a hotel, a waterfront boardwalk, meeting space, casino space, a spa, retail offerings and food and beverage outlets. The Company has begun site remediation, site preparation and pre-construction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except as disclosed in Note 2 under "Summary of Significant Accounting Policies: Prior Period Adjustments") necessary for a fair presentation of the results for the interim periods have been made. The results for the three months ended March 31, 2016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2015.</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right="360" w:firstLine="432"/>
        <w:spacing w:after="0" w:line="289"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of the Company and its majority-owned subsidiaries. In April 2016, the Company dissolved its 50%-owned joint venture operating the Ferrari and Maserati automobile dealership inside Wynn Las Vegas, which was closed in October 2015 and was accounted for under the equity method. All significant intercompany accounts and transactions have been eliminated.</w:t>
      </w:r>
    </w:p>
    <w:p>
      <w:pPr>
        <w:spacing w:after="0" w:line="158"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Certain amounts in the Condensed Consolidated Statements of Cash Flows for the previous year have been reclassified to be consistent with the current year presentation. The payment of deposits on property and equipment, previously presented in purchase of other assets in investing activities, is now presented in capital expenditures in investing activities. The amount of</w:t>
      </w: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deposits on property and equipment that have been reclassified for the three months ended March 31, 2015 was $23.9 million. The reclassification had no effect on the previously reported net cash used in investing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 approximates fair value. Cash equivalents of $807.1 million and $846.3 million at March 31, 2016 and December 31, 2015, respectively, were invested in bank time deposits, money market funds and commercial paper. In addition, the Company held bank deposits and cash on hand of approximately $1.30 billion and $1.23 billion as of March 31, 2016 and December 31, 2015,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At March 31, 2016 and December 31, 2015, the Company's non-current restricted cash consisted of cash held in trust in accordance with the Company's majority owned subsidiary's share award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27" w:lineRule="exact"/>
        <w:rPr>
          <w:sz w:val="20"/>
          <w:szCs w:val="20"/>
          <w:color w:val="auto"/>
        </w:rPr>
      </w:pPr>
    </w:p>
    <w:p>
      <w:pPr>
        <w:ind w:right="260" w:firstLine="405"/>
        <w:spacing w:after="0" w:line="255" w:lineRule="auto"/>
        <w:rPr>
          <w:sz w:val="20"/>
          <w:szCs w:val="20"/>
          <w:color w:val="auto"/>
        </w:rPr>
      </w:pPr>
      <w:r>
        <w:rPr>
          <w:rFonts w:ascii="Times New Roman" w:cs="Times New Roman" w:eastAsia="Times New Roman" w:hAnsi="Times New Roman"/>
          <w:sz w:val="18"/>
          <w:szCs w:val="18"/>
          <w:color w:val="auto"/>
        </w:rPr>
        <w:t>Investment securities consist of domestic and foreign short-term and long-term investments in corporate bonds and commercial paper reported at fair value, with unrealized gains and losses, net of tax, reported in other comprehensive income (loss). Short-term investments have maturities of greater than three months but equal to or less than one year and long-term investments are those with a maturity date greater than one year. The Company's investment policy limits the amount of exposure to any one issuer with the objective of minimizing the potential risk of principal loss. Management determines the appropriate classification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27" w:lineRule="exact"/>
        <w:rPr>
          <w:sz w:val="20"/>
          <w:szCs w:val="20"/>
          <w:color w:val="auto"/>
        </w:rPr>
      </w:pPr>
    </w:p>
    <w:p>
      <w:pPr>
        <w:jc w:val="both"/>
        <w:ind w:right="560"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2016 and December 31, 2015, approximately 85.1%, of the Company's markers were due from customers residing outside the United States, primarily in Asia. Business or economic conditions or other significant events in these countries could affect the collectability of such receivables.</w:t>
      </w:r>
    </w:p>
    <w:p>
      <w:pPr>
        <w:spacing w:after="0" w:line="180"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and outstanding gaming promoter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200" w:lineRule="exact"/>
        <w:rPr>
          <w:sz w:val="20"/>
          <w:szCs w:val="20"/>
          <w:color w:val="auto"/>
        </w:rPr>
      </w:pPr>
    </w:p>
    <w:p>
      <w:pPr>
        <w:spacing w:after="0" w:line="3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227" w:lineRule="exact"/>
        <w:rPr>
          <w:sz w:val="20"/>
          <w:szCs w:val="20"/>
          <w:color w:val="auto"/>
        </w:rPr>
      </w:pPr>
    </w:p>
    <w:p>
      <w:pPr>
        <w:ind w:right="280" w:firstLine="405"/>
        <w:spacing w:after="0" w:line="256" w:lineRule="auto"/>
        <w:rPr>
          <w:sz w:val="20"/>
          <w:szCs w:val="20"/>
          <w:color w:val="auto"/>
        </w:rPr>
      </w:pPr>
      <w:r>
        <w:rPr>
          <w:rFonts w:ascii="Times New Roman" w:cs="Times New Roman" w:eastAsia="Times New Roman" w:hAnsi="Times New Roman"/>
          <w:sz w:val="18"/>
          <w:szCs w:val="18"/>
          <w:color w:val="auto"/>
        </w:rPr>
        <w:t>Direct and incremental costs incurred and original issue discounts and premiums in connection with the issuance of long-term debt are deferred and amortized to interest expense using the effective interest method or, if the amounts approximate the effective interest method, on a straight-line basis. Deferred financing costs incurred in connection with the issuance of the Company's revolving credit facilities are presented in noncurrent assets on the Condensed Consolidated Balance Sheets. All other deferred financing costs are presented as a direct reduction of long-term debt on the Condensed Consolidated Balance Sheets. See the Recently Issued and Adopted Accounting Standards section below for details on the presentation change of deferred financing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Price Promissory Note</w:t>
      </w:r>
    </w:p>
    <w:p>
      <w:pPr>
        <w:spacing w:after="0" w:line="227"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The Company records the Redemption Price Promissory Note (the "Redemption Note") at fair value in accordance with applicable accounting guidance. As of March 31, 2016 and December 31, 2015, the fair value of the Redemption Note was $1.89 billion and $1.88 billion, respectively.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8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14 "Commitments and Contingencies"); the outcome of on-going investigations of Aruze by the U.S.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w:t>
      </w:r>
    </w:p>
    <w:p>
      <w:pPr>
        <w:spacing w:after="0" w:line="18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determining the appropriate discount rate to be used in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games promoters to customers are recorded as a reduction to casino revenues.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88"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Revenues are recognized net of certain sales incentives, which are required to be recorded as a reduction of revenue; consequently, the Company's casino revenues are reduced by discounts, commissions and points earned by customers from the Company's loyalty programs.</w:t>
      </w: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revenues. Such amounts are then deducted as promotional allowances. The estimated retail value of providing such promotional allowances are as follows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43,720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47,826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33,420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37,341</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7,138</w:t>
            </w:r>
          </w:p>
        </w:tc>
      </w:tr>
      <w:tr>
        <w:trPr>
          <w:trHeight w:val="237"/>
        </w:trPr>
        <w:tc>
          <w:tcPr>
            <w:tcW w:w="8340" w:type="dxa"/>
            <w:vAlign w:val="bottom"/>
          </w:tcPr>
          <w:p>
            <w:pPr>
              <w:spacing w:after="0"/>
              <w:rPr>
                <w:sz w:val="20"/>
                <w:szCs w:val="20"/>
                <w:color w:val="auto"/>
              </w:rPr>
            </w:pPr>
          </w:p>
        </w:tc>
        <w:tc>
          <w:tcPr>
            <w:tcW w:w="9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83,083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92,305</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cost of providing such promotional allowances, which is included primarily in casino expenses,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12,329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13,393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27,609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29,494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4,419</w:t>
            </w:r>
          </w:p>
        </w:tc>
      </w:tr>
      <w:tr>
        <w:trPr>
          <w:trHeight w:val="237"/>
        </w:trPr>
        <w:tc>
          <w:tcPr>
            <w:tcW w:w="8340" w:type="dxa"/>
            <w:vAlign w:val="bottom"/>
          </w:tcPr>
          <w:p>
            <w:pPr>
              <w:spacing w:after="0"/>
              <w:rPr>
                <w:sz w:val="20"/>
                <w:szCs w:val="20"/>
                <w:color w:val="auto"/>
              </w:rPr>
            </w:pPr>
          </w:p>
        </w:tc>
        <w:tc>
          <w:tcPr>
            <w:tcW w:w="9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43,670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47,306</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27" w:lineRule="exact"/>
        <w:rPr>
          <w:sz w:val="20"/>
          <w:szCs w:val="20"/>
          <w:color w:val="auto"/>
        </w:rPr>
      </w:pPr>
    </w:p>
    <w:p>
      <w:pPr>
        <w:ind w:right="500" w:firstLine="432"/>
        <w:spacing w:after="0" w:line="261"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an assessment on the Company's gross gaming revenues and are recorded as casino expenses in the accompanying Condensed Consolidated Statements of Operations. These taxes totaled approximately $278.7 million and $330.0 million for the three months ended March 31, 2016 and 2015,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such as cash equivalents, restricted cash, available-for-sale securities, interest rate swaps and the Redemption Note,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807,101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805,913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8,390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251,914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251,914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1,889,405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1,889,405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1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gridSpan w:val="6"/>
          </w:tcPr>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shd w:val="clear" w:color="auto" w:fill="CCEEFF"/>
          </w:tcPr>
          <w:p>
            <w:pPr>
              <w:spacing w:after="0"/>
              <w:rPr>
                <w:sz w:val="12"/>
                <w:szCs w:val="12"/>
                <w:color w:val="auto"/>
              </w:rPr>
            </w:pPr>
          </w:p>
        </w:tc>
        <w:tc>
          <w:tcPr>
            <w:tcW w:w="1560" w:type="dxa"/>
            <w:vAlign w:val="bottom"/>
            <w:gridSpan w:val="3"/>
            <w:vMerge w:val="restart"/>
            <w:shd w:val="clear" w:color="auto" w:fill="CCEEFF"/>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shd w:val="clear" w:color="auto" w:fill="CCEEFF"/>
          </w:tcPr>
          <w:p>
            <w:pPr>
              <w:spacing w:after="0"/>
              <w:rPr>
                <w:sz w:val="12"/>
                <w:szCs w:val="12"/>
                <w:color w:val="auto"/>
              </w:rPr>
            </w:pPr>
          </w:p>
        </w:tc>
        <w:tc>
          <w:tcPr>
            <w:tcW w:w="1560" w:type="dxa"/>
            <w:vAlign w:val="bottom"/>
            <w:gridSpan w:val="3"/>
            <w:vMerge w:val="continue"/>
            <w:shd w:val="clear" w:color="auto" w:fill="CCEEFF"/>
          </w:tcPr>
          <w:p>
            <w:pPr>
              <w:spacing w:after="0"/>
              <w:rPr>
                <w:sz w:val="12"/>
                <w:szCs w:val="12"/>
                <w:color w:val="auto"/>
              </w:rPr>
            </w:pPr>
          </w:p>
        </w:tc>
        <w:tc>
          <w:tcPr>
            <w:tcW w:w="1240" w:type="dxa"/>
            <w:vAlign w:val="bottom"/>
            <w:vMerge w:val="restart"/>
            <w:shd w:val="clear" w:color="auto" w:fill="CCEEFF"/>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shd w:val="clear" w:color="auto" w:fill="CCEEFF"/>
          </w:tcPr>
          <w:p>
            <w:pPr>
              <w:spacing w:after="0"/>
              <w:rPr>
                <w:sz w:val="12"/>
                <w:szCs w:val="12"/>
                <w:color w:val="auto"/>
              </w:rPr>
            </w:pPr>
          </w:p>
        </w:tc>
        <w:tc>
          <w:tcPr>
            <w:tcW w:w="1560" w:type="dxa"/>
            <w:vAlign w:val="bottom"/>
            <w:gridSpan w:val="3"/>
            <w:shd w:val="clear" w:color="auto" w:fill="CCEEFF"/>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shd w:val="clear" w:color="auto" w:fill="CCEEFF"/>
          </w:tcPr>
          <w:p>
            <w:pPr>
              <w:spacing w:after="0"/>
              <w:rPr>
                <w:sz w:val="12"/>
                <w:szCs w:val="12"/>
                <w:color w:val="auto"/>
              </w:rPr>
            </w:pPr>
          </w:p>
        </w:tc>
        <w:tc>
          <w:tcPr>
            <w:tcW w:w="1560" w:type="dxa"/>
            <w:vAlign w:val="bottom"/>
            <w:gridSpan w:val="3"/>
            <w:shd w:val="clear" w:color="auto" w:fill="CCEEFF"/>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40" w:type="dxa"/>
            <w:vAlign w:val="bottom"/>
            <w:shd w:val="clear" w:color="auto" w:fill="CCEEFF"/>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0"/>
        </w:trPr>
        <w:tc>
          <w:tcPr>
            <w:tcW w:w="5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40" w:type="dxa"/>
            <w:vAlign w:val="bottom"/>
            <w:shd w:val="clear" w:color="auto" w:fill="CCEEFF"/>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846,281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846,095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251,553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251,553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1,884,402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1,884,402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2016 and December 31, 2015 approximately 15% and 16%, respectively, of the Company's cash equivalents categorized as Level 2 were deposits held in foreign currencies.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Adopted Accounting Standards</w:t>
      </w:r>
    </w:p>
    <w:p>
      <w:pPr>
        <w:spacing w:after="0" w:line="22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March 2016, the Financial Accounting Standards Board ("FASB") issued an accounting standards update, which involves several aspects of the accounting for share-based payment transactions, including the income tax consequences, classification of awards as either equity or liabilities, and classification on the statement of cash flows. Under the new guidance, income tax benefits and deficiencies are to be recognized as income tax expense or benefit in the income statement and the tax effects of exercised or vested awards should be treated as discrete items in the reporting period in which they occur. An entity should also recognize excess tax benefits regardless of whether the benefit reduces taxes payable in the current period. Excess tax benefits should be classified along with other income tax cash flows as an operating activity. In regards to forfeitures, the entity may make an entity-wide accounting policy election to either estimate the number of awards that are expected to vest or account for forfeitures when they occur. The effective date for this guidance is for financial statements for fiscal years beginning after December 15, 2016, and interim periods within those fiscal periods and early application is permitted. The Company is currently assessing the impact the adoption of this guidance will have on its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an accounting standards update, which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The new standard is effective for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8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an accounting standards update requiring all equity investments to be measured at fair value with changes in fair value recognized through net income (other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The effective date for this guidance is for financial statements issued for fiscal years beginning after December 15, 2017. Early application is permitted as of the beginning of the fiscal year of adoption. The Company is currently assessing the impact the adoption of this standard will have on its consolidated financial statements.</w:t>
      </w:r>
    </w:p>
    <w:p>
      <w:pPr>
        <w:spacing w:after="0" w:line="185"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 July 2015, the FASB issued an accounting standards update which changes the measurement principle for inventories valued under the first-in, first-out or weighted-average methods from the lower of cost or market to the lower of cost and net realizable value. Net realizable value is defined by FASB as estimated selling prices in the ordinary course of business, less reasonably predictable costs of completion, disposal and transportation. The effective date for this guidance is for financial statements for fiscal years beginning after December 15, 2016, and interim periods within those fiscal years. The Company does not anticipate that the adoption of this standard will have a material effect on the Company's financial condition, results of operations, or cash flows.</w:t>
      </w:r>
    </w:p>
    <w:p>
      <w:pPr>
        <w:spacing w:after="0" w:line="18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 April 2015, the FASB issued an accounting standards update that requires deferred financing costs related to a recognized debt liability be presented on the balance sheet as a direct reduction from the carrying amount of that debt liability, consistent with debt discounts. The recognition and measurement guidance for deferred financing costs are not affected by the amendments in this update. In August 2015, the FASB issued an accounting standards update which clarifies that the guidance issued in April 2015 does not apply to line-of-credit arrangements. According to the additional guidance, deferred financing costs related to line-of-credit arrangements will continue to be presented as an asset and subsequently amortized ratably over the term of the arrangement. The effective date for this guidance is for financial statements for fiscal years beginning after December 15, 2015, and interim periods within those fiscal years. The Company adopted the guidance on January 1, 2016, with retrospective application in the accompanying Condensed Consolidated Balance Sheet at December 31, 2015. This change in accounting principle resulted in net deferred financing costs of $63.1 million incurred in connection with the issuance of the Company's long-term debt (excluding revolving credit facilities) being reclassified from noncurrent assets to a direct reduction of the long-term debt balance. The presentation of the $41.3 million of net deferred financing costs incurred in connection with the issuance of the Company's revolving credit facilities as of December 31, 2015, are not affected by the adoption of this new accounting guidance and are included in other assets on the Condensed Consolidated Balance Sheet.</w:t>
      </w:r>
    </w:p>
    <w:p>
      <w:pPr>
        <w:spacing w:after="0" w:line="191"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which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standard will have on its consolidated financial statements.</w:t>
      </w:r>
    </w:p>
    <w:p>
      <w:pPr>
        <w:spacing w:after="0" w:line="3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Period Adjustments</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2016, the Company identified $21.9 million and $3.7 million of additional interest that should have been capitalized instead of being expensed during the years ended December 31, 2015 and 2014, respectively. Considering both quantitative and qualitative factors, the Company has determined the amounts were immaterial to any previously issued financial statements and would be immaterial to the expected full year results for 2016. Accordingly, the Company corrected these immaterial amounts during the three months ended March 31, 2016, resulting in a decrease to interest expense of $25.6 million and increases to net income attributable to Wynn Resorts, Limited of $18.5 million and basic and diluted net income per common share of $0.18. Had these amounts been corrected in the appropriate periods, it would have resulted in a decrease to interest expense of $5.1 million and increases to net income attributable to Wynn Resorts, Limited of $3.7 million and basic and diluted net income per common share of $0.04, for the three months ended March 31, 2015.</w:t>
      </w:r>
    </w:p>
    <w:p>
      <w:pPr>
        <w:spacing w:after="0" w:line="18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3 -</w:t>
        <w:tab/>
        <w:t>Earnings Per Share</w:t>
      </w:r>
    </w:p>
    <w:p>
      <w:pPr>
        <w:spacing w:after="0" w:line="229" w:lineRule="exact"/>
        <w:rPr>
          <w:sz w:val="20"/>
          <w:szCs w:val="20"/>
          <w:color w:val="auto"/>
        </w:rPr>
      </w:pPr>
    </w:p>
    <w:p>
      <w:pPr>
        <w:ind w:right="60" w:firstLine="432"/>
        <w:spacing w:after="0" w:line="281" w:lineRule="auto"/>
        <w:rPr>
          <w:sz w:val="20"/>
          <w:szCs w:val="20"/>
          <w:color w:val="auto"/>
        </w:rPr>
      </w:pPr>
      <w:r>
        <w:rPr>
          <w:rFonts w:ascii="Times New Roman" w:cs="Times New Roman" w:eastAsia="Times New Roman" w:hAnsi="Times New Roman"/>
          <w:sz w:val="17"/>
          <w:szCs w:val="17"/>
          <w:color w:val="auto"/>
        </w:rPr>
        <w:t>Basic earnings per share ("EPS") is computed by dividing net income attributable to Wynn Resorts, Limited by the weighted average number of common shares outstanding during the period. Diluted EPS is computed by dividing net income attributable to Wynn Resorts, Limited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165"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75,221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101,135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Potential dilutive effect of stock options and restricted stock</w:t>
            </w: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101,686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101,135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Wynn Resorts, Limited per common share,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Wynn Resorts, Limited per common share,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Anti-dilutive stock options and restricted stock excluded from the calculation of diluted earnings per share</w:t>
            </w: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the Company recorded a net loss attributable to Wynn Resorts, Limited. Accordingly, the potential dilutive effect of stock options and restricted stock is anti-dilutive. As a result, basic EPS is equal to diluted EPS for this period.</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4 -</w:t>
      </w:r>
      <w:r>
        <w:rPr>
          <w:sz w:val="20"/>
          <w:szCs w:val="20"/>
          <w:color w:val="auto"/>
        </w:rPr>
        <w:tab/>
      </w:r>
      <w:r>
        <w:rPr>
          <w:rFonts w:ascii="Times New Roman" w:cs="Times New Roman" w:eastAsia="Times New Roman" w:hAnsi="Times New Roman"/>
          <w:sz w:val="17"/>
          <w:szCs w:val="17"/>
          <w:b w:val="1"/>
          <w:bCs w:val="1"/>
          <w:color w:val="auto"/>
        </w:rPr>
        <w:t>Accumulated Other Comprehensive Income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changes by component, net of tax and noncontrolling interest, in accumulated other comprehensive income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2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 on investment</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5 -</w:t>
        <w:tab/>
        <w:t>Investment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Investment securities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8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and foreign corporate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241,290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240,958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243,857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242,614</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10,952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10,956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252,242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251,914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252,804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251,553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40" w:firstLine="432"/>
        <w:spacing w:after="0" w:line="313" w:lineRule="auto"/>
        <w:rPr>
          <w:sz w:val="20"/>
          <w:szCs w:val="20"/>
          <w:color w:val="auto"/>
        </w:rPr>
      </w:pPr>
      <w:r>
        <w:rPr>
          <w:rFonts w:ascii="Times New Roman" w:cs="Times New Roman" w:eastAsia="Times New Roman" w:hAnsi="Times New Roman"/>
          <w:sz w:val="18"/>
          <w:szCs w:val="18"/>
          <w:color w:val="auto"/>
        </w:rPr>
        <w:t>For investments with unrealized losses as of March 31, 2016 and December 31, 2015, the Company has determined that it does not have the intent to sell any of these investments and it is not likely that the Company will be required to sell these investments prior to the recovery of the amortized cost. Accordingly, the Company has determined that no other-than-temporary impairments exist at the reporting dates.</w:t>
      </w:r>
    </w:p>
    <w:p>
      <w:pPr>
        <w:spacing w:after="0" w:line="14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values of these investment securities at March 31, 2016, by contractual maturity,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Borders>
              <w:bottom w:val="single" w:sz="8" w:color="CCEEFF"/>
            </w:tcBorders>
          </w:tcPr>
          <w:p>
            <w:pPr>
              <w:spacing w:after="0"/>
              <w:rPr>
                <w:sz w:val="16"/>
                <w:szCs w:val="16"/>
                <w:color w:val="auto"/>
              </w:rPr>
            </w:pPr>
          </w:p>
        </w:tc>
        <w:tc>
          <w:tcPr>
            <w:tcW w:w="5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5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5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178,540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5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63,062</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two years through three years</w:t>
            </w:r>
          </w:p>
        </w:tc>
        <w:tc>
          <w:tcPr>
            <w:tcW w:w="5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10,312</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shd w:val="clear" w:color="auto" w:fill="CCEEFF"/>
          </w:tcPr>
          <w:p>
            <w:pPr>
              <w:spacing w:after="0"/>
              <w:rPr>
                <w:sz w:val="22"/>
                <w:szCs w:val="22"/>
                <w:color w:val="auto"/>
              </w:rPr>
            </w:pPr>
          </w:p>
        </w:tc>
        <w:tc>
          <w:tcPr>
            <w:tcW w:w="5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251,914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351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28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6 -</w:t>
        <w:tab/>
        <w:t>Receivables,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189,467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190,294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20,661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 leases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36,145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43,989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244,566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254,944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(67,057)</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188,476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187,887</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806,431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804,512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3,986,200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3,975,419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1,827,946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1,809,938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interests in land</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316,681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Airplanes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194,412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3,409,355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3,217,117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10,540,886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10,318,079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(2,840,601)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7,633,434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7,477,478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Construction in progress consists primarily of costs capitalized, including interest, for the construction of Wynn Palace and Wynn Boston Harbor.</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8 -</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3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Macau Credit Facilities: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Term Loan Facility (as amended September 2015), due September 2021; interest at LIBOR or HIBOR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1.50%—2.25% (2.34% and 2.08% at March 31, 2016 and December 31, 2015), net of debt issuance costs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original issue discount of $33,343 at March 31, 2016 and $35,112 at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2,273,518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2,272,200</w:t>
            </w:r>
          </w:p>
        </w:tc>
        <w:tc>
          <w:tcPr>
            <w:tcW w:w="0" w:type="dxa"/>
            <w:vAlign w:val="bottom"/>
          </w:tcPr>
          <w:p>
            <w:pPr>
              <w:spacing w:after="0"/>
              <w:rPr>
                <w:sz w:val="1"/>
                <w:szCs w:val="1"/>
                <w:color w:val="auto"/>
              </w:rPr>
            </w:pP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Revolving Credit Facility (as amended September 2015), due September 2020; interest at LIBOR or</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HIBOR plus 1.50%—2.25% (2.30% and 2.07% at March 31, 2016 and December 31, 2015)</w:t>
            </w:r>
          </w:p>
        </w:tc>
        <w:tc>
          <w:tcPr>
            <w:tcW w:w="2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581,466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431,172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1/4% Senior Notes, due October 15, 2021, net of debt issuance costs and original issue premium of $7,604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2016 and $7,896 at December 31, 2015</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1,342,396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1,342,104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Wynn America Credit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Term Loan Facility, due November 2020; interest at base rate plus 0.75% or LIBOR plus 1.75% (2.19%</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1.99% at March 31, 2016 and December 31, 2015), net of debt issuance costs of $14,909 at March 31, 2016</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$15,712 at December 31, 2015</w:t>
            </w:r>
          </w:p>
        </w:tc>
        <w:tc>
          <w:tcPr>
            <w:tcW w:w="2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155,424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54,288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3/8% First Mortgage Notes, due March 15, 2022, net of debt issuance costs of $7,526 at March 31, 2016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$7,791 at December 31, 2015</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892,474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892,209</w:t>
            </w:r>
          </w:p>
        </w:tc>
        <w:tc>
          <w:tcPr>
            <w:tcW w:w="0" w:type="dxa"/>
            <w:vAlign w:val="bottom"/>
          </w:tcPr>
          <w:p>
            <w:pPr>
              <w:spacing w:after="0"/>
              <w:rPr>
                <w:sz w:val="1"/>
                <w:szCs w:val="1"/>
                <w:color w:val="auto"/>
              </w:rPr>
            </w:pP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 1/4% Senior Notes, due May 30, 2023, net of debt issuance costs of $3,094 at March 31, 2016 and $3,183 at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2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496,906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496,817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1/2% Senior Notes, due March 1, 2025, net of debt issuance costs of $23,034 at March 31, 2016 and $23,527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1,776,966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1,776,473</w:t>
            </w:r>
          </w:p>
        </w:tc>
        <w:tc>
          <w:tcPr>
            <w:tcW w:w="0" w:type="dxa"/>
            <w:vAlign w:val="bottom"/>
          </w:tcPr>
          <w:p>
            <w:pPr>
              <w:spacing w:after="0"/>
              <w:rPr>
                <w:sz w:val="1"/>
                <w:szCs w:val="1"/>
                <w:color w:val="auto"/>
              </w:rPr>
            </w:pP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Price Promissory Note with former stockholder and related party, due February 18, 2022; interest at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 net of fair value adjustment of $47,039 at March 31, 2016 and $52,041 at December 31, 2015</w:t>
            </w:r>
          </w:p>
        </w:tc>
        <w:tc>
          <w:tcPr>
            <w:tcW w:w="2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1,889,405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1,884,402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9,408,555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9,149,665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9,408,555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9,149,665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 Credit Facilities</w:t>
      </w:r>
    </w:p>
    <w:p>
      <w:pPr>
        <w:spacing w:after="0" w:line="22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Company's credit facilities include a $2.27 billion equivalent fully funded senior secured term loan facility and a $750 million equivalent senior secured revolving credit facility (the "Wynn Macau Senior Revolving Credit Facility"). As of March 31, 2016, the Company had $168.5 million of available borrowing capacity under the Wynn Macau Senior Revolving Credit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America Credit Facilities</w:t>
      </w:r>
    </w:p>
    <w:p>
      <w:pPr>
        <w:spacing w:after="0" w:line="227"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Company's credit facilities include an $875 million senior secured term loan facility ("Wynn America Senior Term Loan Facility") and a $375 million senior secured revolving credit facility (the "Wynn America Senior Revolving Credit Facility" and together with the Wynn America Senior Term Loan Facility, the "Wynn America Credit Facilities"). As of March 31, 2016, the Company had $1.07 billion of available borrowing capacity under the Wynn America Credit Facilities, net of $8.2 million in outstanding letters of credit. The available borrowing capacity consists of $704.7 million under the Wynn America Senior Term Loan Facility with an available borrowing period up to June 30, 2016 and the full amount of $375 million available under the Wynn America Senior Revolving Credit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Mortgage Notes due 2020</w:t>
      </w:r>
    </w:p>
    <w:p>
      <w:pPr>
        <w:spacing w:after="0" w:line="187" w:lineRule="exact"/>
        <w:rPr>
          <w:sz w:val="20"/>
          <w:szCs w:val="20"/>
          <w:color w:val="auto"/>
        </w:rPr>
      </w:pPr>
    </w:p>
    <w:p>
      <w:pPr>
        <w:ind w:right="500" w:firstLine="392"/>
        <w:spacing w:after="0" w:line="282" w:lineRule="auto"/>
        <w:rPr>
          <w:sz w:val="20"/>
          <w:szCs w:val="20"/>
          <w:color w:val="auto"/>
        </w:rPr>
      </w:pPr>
      <w:r>
        <w:rPr>
          <w:rFonts w:ascii="Times New Roman" w:cs="Times New Roman" w:eastAsia="Times New Roman" w:hAnsi="Times New Roman"/>
          <w:sz w:val="18"/>
          <w:szCs w:val="18"/>
          <w:color w:val="auto"/>
        </w:rPr>
        <w:t>On February 10, 2015, Wynn Las Vegas, LLC and Wynn Las Vegas Capital Corp., an indirect wholly owned subsidiary of Wynn Resorts, Limited (together, the "Issuers") commenced a cash tender offer for any and all of the outstanding aggregate</w:t>
      </w: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principal amounts of the 7 7/8% First Mortgage Notes due May 1, 2020 and the 7 3/4% First Mortgage Notes due August 15, 2020 (the "2020 Notes"). The premium portion of the aggregate total consideration was $98.9 million and was recorded as a loss on extinguishment of debt in the accompanying Condensed Consolidated Statements of Operations. In connection with the cash tender, the Company expensed $17.2 million of unamortized deferred financing costs and original issue discount related to the 2020 Notes and incurred other fees of $0.1 million that are included in loss on extinguishment of debt in the accompanying Condensed Consolidated Statements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2016, management believes the Company was in compliance with all debt covenants.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27"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long-term debt, excluding the Redemption Note, as of March 31, 2016 and December 31, 2015 was approximately $7.18 billion and $6.86 billion, respectively, compared to its carrying value of $7.52 billion and $7.27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Interest Rate Swaps</w:t>
      </w:r>
    </w:p>
    <w:p>
      <w:pPr>
        <w:spacing w:after="0" w:line="229"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The Company seeks to manage its market risk, including interest rate risk associated with variable rate borrowings, through balancing fixed-rate and variable-rate borrowings with the use of derivative financial instruments. The Company currently has three interest rate swap agreements which convert a portion of its variable-rate borrowings under the Wynn Macau Senior Term Loan Facility to a fixed rate. Under the agreements, the Company pays a fixed interest rate on notional amounts corresponding to borrowings in exchange for receipts on the same amount at a variable interest rate based on the applicable LIBOR or HIBOR at the time of payment. The fair value of the interest rate swaps are recognized as assets or liabilities at each balance sheet date, with changes in fair value affecting net income as these agreements do not qualify for hedge accounting. Accordingly, changes in the fair value of the interest rate swaps are presented in the accompanying Consolidated Statements of Operations.</w:t>
      </w:r>
    </w:p>
    <w:p>
      <w:pPr>
        <w:spacing w:after="0" w:line="18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Company utilized Level 2 inputs as described in Note 2 "Summary of Significant Accounting Policies" to determine fair value.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w:t>
      </w:r>
    </w:p>
    <w:p>
      <w:pPr>
        <w:spacing w:after="0" w:line="188"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As of March 31, 2016, interest rate swaps of $1.2 million were included in other long-term liabilities in the accompanying Consolidated Balance Sheet. As of December 31, 2015, interest rate swaps of $0.7 million were included in other assets and $0.1 million were included in other long-term liabilities in the accompanying Consolidated Balance Sheet. These interest rate swaps mature in July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for which the officers and directors reimburse the Company. Mr. Wynn also reimburses the Company for personal usage of aircraft (subject to a $250,000 credit per calendar year) pursuant to a time sharing agreement. Mr. Wynn and other officers and directors have deposits with the Company to prepay any such items, which are replenished on an ongoing basis as needed. Mr. Wynn and the other officers and directors had a net deposit balance with the Company of $0.5 million and $1.0 million as of March 31, 2016 and December 31, 2015, respectively.</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Property Charges and Other</w:t>
      </w:r>
    </w:p>
    <w:p>
      <w:pPr>
        <w:spacing w:after="0" w:line="229"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Property charges and other for the three months ended March 31, 2016 and 2015 of $1.5 million and $2.5 million, respectively, consisted primarily of miscellaneous renovations and abandonments at the Company's resorts.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Noncontrolling Interest</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On March 31, 2015, WML paid a dividend of HK$1.05 per share for a total of $702.6 million. The Company's share of this dividend was $507.1 million with a reduction of $195.5 million to noncontrolling interest in the accompanying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compensation cost relating both to stock options and nonvested stock is allocated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7,730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Pre-opening costs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10,628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10,696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costs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10,652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10,762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Cotai Development and Land Concession Contract</w:t>
      </w:r>
    </w:p>
    <w:p>
      <w:pPr>
        <w:spacing w:after="0" w:line="227"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The Company is currently constructing Wynn Palace, an integrated resort containing a 1,700-room hotel, a performance lake, and a wide range of amenities, including meeting, retail, food and beverage, and casino spaces, in the Cotai area of Macau.</w:t>
      </w:r>
    </w:p>
    <w:p>
      <w:pPr>
        <w:spacing w:after="0" w:line="162"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In September 2011, Wynn Resorts (Macau) S.A. ("Wynn Macau SA"), an indirect subsidiary of WML, and Palo Real Estate Company Limited ("Palo"), a subsidiary of Wynn Macau SA, formally accepted the terms and conditions of a land concession contract from the Macau government for approximately 51 acres of land in the Cotai area of Macau. On May 2, 2012, the land concession contract was gazetted by the government of Macau evidencing the final step in the granting of the land concession. 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March 31, 2016 and December 31, 2015, the remaining $16.0 million obligation was recorded as a current liability. The Company also is required to make annual lease payments of $0.8 million during the resort construction period and annual payments of approximately $1.1 million once the development is completed.</w:t>
      </w:r>
    </w:p>
    <w:p>
      <w:pPr>
        <w:spacing w:after="0" w:line="189"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On July 29, 2013, Wynn Macau SA and Palo, executed a guaranteed maximum price construction ("GMP") contract with Leighton Contractors (Asia) Limited, acting as the general contractor. Under the GMP contract, the general contractor is responsible for both the construction and design of the Wynn Palace project. The general contractor is obligated to substantially complete the project in the first half of 2016 for a guaranteed maximum price of HK$20.6 billion (approximately $2.7 billion). The performance of the general contractor is backed by a full completion guarantee given by CIMIC Group Limited (formerly Leighton Holdings Limited), the parent company of the general contractor, as well as a performance bond for 5% of the guaranteed maximum price. We have assessed certain liquidated damages for the general contractor’s failure to complete certain interim milestones in accordance with the time prescribed in the GMP contract. The general contractor has requested</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reversal of liquidated damages, additional compensation and extensions of time. We view our assessment of liquidated damages as fully supported by the terms of the GMP contract and we view the general contractor’s requests as unfounded and intend to adhere to the terms of the GMP contract as agreed with the general contractor. The Company expects to open the property in the third quarter of 2016.</w:t>
      </w:r>
    </w:p>
    <w:p>
      <w:pPr>
        <w:spacing w:after="0" w:line="176"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2016, the Company has incurred approximately $3.7 billion of the approximately $4.2 billion total project budget costs. The total project budget includes all construction costs, capitalized interest, pre-opening expenses, land costs and financing fees.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and Affiliates</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88"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Aruze's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WML. On February 18, 2012, Mr. Okada was removed from the Board of Directors of Wynn Las Vegas Capital Corp., an indirect wholly owned subsidiary of Wynn Resorts. On February 24, 2012, Mr. Okada was removed from the Board of Directors of WML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89" w:lineRule="exact"/>
        <w:rPr>
          <w:sz w:val="20"/>
          <w:szCs w:val="20"/>
          <w:color w:val="auto"/>
        </w:rPr>
      </w:pPr>
    </w:p>
    <w:p>
      <w:pPr>
        <w:ind w:right="160" w:firstLine="432"/>
        <w:spacing w:after="0" w:line="254"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ind w:right="60"/>
        <w:spacing w:after="0" w:line="252" w:lineRule="auto"/>
        <w:rPr>
          <w:sz w:val="20"/>
          <w:szCs w:val="20"/>
          <w:color w:val="auto"/>
        </w:rPr>
      </w:pPr>
      <w:r>
        <w:rPr>
          <w:rFonts w:ascii="Times New Roman" w:cs="Times New Roman" w:eastAsia="Times New Roman" w:hAnsi="Times New Roman"/>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227" w:lineRule="exact"/>
        <w:rPr>
          <w:sz w:val="20"/>
          <w:szCs w:val="20"/>
          <w:color w:val="auto"/>
        </w:rPr>
      </w:pPr>
    </w:p>
    <w:p>
      <w:pPr>
        <w:ind w:right="40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80"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9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the Company’s directors. In addition to continuing to seek 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and will vigorously defend against the claims asserted against them. On May 5, 2016, the court granted Wynn Resorts' and Wynn Resorts' General Counsel's motions to dismiss and denied Mr. Wynn's motion to dismiss. Mr. Wynn is continuing to oppose Elaine Wynn's cross claim. The motion to sever is scheduled to be heard by the court on May 26, 2016.</w:t>
      </w:r>
    </w:p>
    <w:p>
      <w:pPr>
        <w:spacing w:after="0" w:line="189"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The indenture for Wynn Las Vegas, LLC's 4 1/4% Senior Notes due 2023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debt documents. Under the 2023 Indenture and the 2025 Indenture, if (1) a change of control</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occurs and (2) at any time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180"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 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the Company's Complaint. On November 13, 2014, the court denied the motion and issued an order setting the trial and trial-related dates. On April 14, 2016, the court entered a new stipulation between the parties for a discovery schedule closing on November 1, 2016. The trial is scheduled to begin on February 6, 2017.</w:t>
      </w:r>
    </w:p>
    <w:p>
      <w:pPr>
        <w:spacing w:after="0" w:line="189"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each of February 13, 2015 and February 12, 2016, the Company issued a check for the interest payment due at those times to the clerk of the court for deposit into the clerk's trust account.</w:t>
      </w:r>
    </w:p>
    <w:p>
      <w:pPr>
        <w:spacing w:after="0" w:line="18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97"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lawsuit is currently in the discovery phase of litigation. The Company will continue to vigorously pursue its claims against the Okada Parties, and the Company and the Wynn Parties will continue to vigorously defend against the counterclaims asserted against them. Management has determined that based on proceedings to date, it is currently unable to determine the</w:t>
      </w: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probability of the outcome of this matter or the range of reasonably possible loss, if any. An adverse judgment or settlement involving payment of a material amount could cause a material adverse effect on the Company's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Commenced by Kazuo Okada</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Japan Action:</w:t>
      </w:r>
    </w:p>
    <w:p>
      <w:pPr>
        <w:spacing w:after="0" w:line="2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The Supreme Court of Japan dismissed the appeal as to all of the individuals (including the Company directors) in February 2016 and as to Wynn Resorts in March 2016, thus upholding the motion for dismissal of the Okada Japan Parties' defamation action against the Wynn Parties.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Indemnification Action:</w:t>
      </w:r>
    </w:p>
    <w:p>
      <w:pPr>
        <w:spacing w:after="0" w:line="225" w:lineRule="exact"/>
        <w:rPr>
          <w:sz w:val="20"/>
          <w:szCs w:val="20"/>
          <w:color w:val="auto"/>
        </w:rPr>
      </w:pPr>
    </w:p>
    <w:p>
      <w:pPr>
        <w:ind w:right="80" w:firstLine="432"/>
        <w:spacing w:after="0" w:line="268" w:lineRule="auto"/>
        <w:rPr>
          <w:sz w:val="20"/>
          <w:szCs w:val="20"/>
          <w:color w:val="auto"/>
        </w:rPr>
      </w:pPr>
      <w:r>
        <w:rPr>
          <w:rFonts w:ascii="Times New Roman" w:cs="Times New Roman" w:eastAsia="Times New Roman" w:hAnsi="Times New Roman"/>
          <w:sz w:val="17"/>
          <w:szCs w:val="17"/>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stayed the claims asserted by the Company against Mr. Okada pending the resolution of the Redemption Action.</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Macau Action:</w:t>
      </w:r>
    </w:p>
    <w:p>
      <w:pPr>
        <w:spacing w:after="0" w:line="22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July 3, 2015, WML announced that the Okada Parties filed a complaint in the Court of First Instance of Macau ("Macau Court") against Wynn Macau SA and certain individuals who are or were directors of Wynn Macau SA and or WML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Resorts is building Wynn Palace was unlawful and that the previously disclosed donation by Wynn Resorts to the University of Macau Development Foundation was unlawful. The plaintiffs seek dissolution of Wynn Macau SA and compensatory damages. The Okada Parties recently released one of the defendants from the lawsuit. The Macau Court has served the complaint on all of the remaining defendants and the Wynn Macau Parties are in the process of preparing a response.</w:t>
      </w:r>
    </w:p>
    <w:p>
      <w:pPr>
        <w:spacing w:after="0" w:line="185"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believes these actions commenced by the Okada Parties discussed above are without merit and will vigorously defend the Wynn Macau Parties against them. Management has determined that based on proceedings to date, it is currently unable to determine the probability of the outcome of these actions or the range of reasonably possible loss, if any.</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Investigations:</w:t>
      </w:r>
    </w:p>
    <w:p>
      <w:pPr>
        <w:spacing w:after="0" w:line="225"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Development Foundation. The Company has not received any target letter or subpoena in connection with such an investigation. The Company intends to cooperate fully with the government in response to any inquiry related to the donation to the University of Macau Development Foundation.</w:t>
      </w:r>
    </w:p>
    <w:p>
      <w:pPr>
        <w:spacing w:after="0" w:line="18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Development Foundation.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auto"/>
        </w:rPr>
        <w:t>Derivative Claims:</w:t>
      </w:r>
    </w:p>
    <w:p>
      <w:pPr>
        <w:spacing w:after="0" w:line="225"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Federal Plaintiffs filed a consolidated complaint on August 6, 2012, asserting claims for: (1) breach of fiduciary duty; (2) waste of corporate assets;</w:t>
      </w:r>
    </w:p>
    <w:p>
      <w:pPr>
        <w:spacing w:after="0" w:line="27" w:lineRule="exact"/>
        <w:rPr>
          <w:sz w:val="20"/>
          <w:szCs w:val="20"/>
          <w:color w:val="auto"/>
        </w:rPr>
      </w:pPr>
    </w:p>
    <w:p>
      <w:pPr>
        <w:ind w:right="20" w:firstLine="8"/>
        <w:spacing w:after="0" w:line="251"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relief; and (4) unjust enrichment. The claims were against the Company and all 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Development Foundation; and (c) redeeming Aruze's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Oral argument is scheduled for May 2016.</w:t>
      </w:r>
    </w:p>
    <w:p>
      <w:pPr>
        <w:spacing w:after="0" w:line="193"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color w:val="auto"/>
        </w:rPr>
        <w:t>The two state court actions brought by the following plaintiffs also have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w:t>
      </w:r>
    </w:p>
    <w:p>
      <w:pPr>
        <w:spacing w:after="0" w:line="2" w:lineRule="exact"/>
        <w:rPr>
          <w:sz w:val="20"/>
          <w:szCs w:val="20"/>
          <w:color w:val="auto"/>
        </w:rPr>
      </w:pPr>
    </w:p>
    <w:p>
      <w:pPr>
        <w:ind w:right="20" w:firstLine="8"/>
        <w:spacing w:after="0" w:line="25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85"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Gaming License Related Actions</w:t>
      </w:r>
    </w:p>
    <w:p>
      <w:pPr>
        <w:spacing w:after="0" w:line="227" w:lineRule="exact"/>
        <w:rPr>
          <w:sz w:val="20"/>
          <w:szCs w:val="20"/>
          <w:color w:val="auto"/>
        </w:rPr>
      </w:pPr>
    </w:p>
    <w:p>
      <w:pPr>
        <w:jc w:val="both"/>
        <w:ind w:right="100" w:firstLine="405"/>
        <w:spacing w:after="0" w:line="313" w:lineRule="auto"/>
        <w:rPr>
          <w:sz w:val="20"/>
          <w:szCs w:val="20"/>
          <w:color w:val="auto"/>
        </w:rPr>
      </w:pPr>
      <w:r>
        <w:rPr>
          <w:rFonts w:ascii="Times New Roman" w:cs="Times New Roman" w:eastAsia="Times New Roman" w:hAnsi="Times New Roman"/>
          <w:sz w:val="17"/>
          <w:szCs w:val="17"/>
          <w:color w:val="auto"/>
        </w:rPr>
        <w:t>On September 17, 2014, the Massachusetts Gaming Commission ("MGC") designated Wynn MA, LLC ("Wynn MA"), an indirect wholly owned subsidiary of the Company, the award winner of the Greater Boston (Region A) gaming license. On November 7, 2014, the gaming license became effective.</w:t>
      </w:r>
    </w:p>
    <w:p>
      <w:pPr>
        <w:spacing w:after="0" w:line="138"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Revere Action: 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 On July 1, 2015, the MGC filed motions to dismiss Mohegan's and the City of Revere's complaints. Oral argument on these motions was heard on September 22, 2015.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have sought immediate appellate review of the dismissal of their claims and the MGC has requested immediate appellate review of the court's denial of the MGC's motion to dismiss Mohegan's certiorari claim. All three petitions for interlocutory review were denied. The MGC filed a Notice of Appeal on January 29, 2016. The Notice of Appeal is currently pending before the Massachusetts Appeals Court.</w:t>
      </w:r>
    </w:p>
    <w:p>
      <w:pPr>
        <w:spacing w:after="0" w:line="19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Somerville Action: On December 4, 2014, the City of Somerville filed a complaint similar to the one in the Revere Action against the MGC and each of the five gaming commissioners in Suffolk Superior Court. The City of Somerville filed a motion to stay its case pending the results of the Massachusetts Department of Environmental Protection's review of Wynn MA's proposed project and the required mitigation actions. The motion to stay was not opposed by the MGC and on July 9, 2015, the court granted the City of Somerville's motion to stay. The stay remains in effect.</w:t>
      </w:r>
    </w:p>
    <w:p>
      <w:pPr>
        <w:spacing w:after="0" w:line="18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Boston Action: On January 5, 2015, the City of Boston filed a complaint against the MGC and each of the five gaming commissioners in Suffolk Superior Court for certiorari and declaratory relief in connection with the MGC's award of the license to Wynn MA. The complaint seeks to contest the MGC's decision that Boston is a surrounding community, rather than a host community to Wynn Boston Harbor. On May 20, 2015, the City of Boston filed an amended complaint requesting the court to nullify and vacate all decisions made by the MGC leading to and resulting in MGC's license award to Wynn MA; to declare invalid the MGC's regulations regarding the arbitration of surrounding community agreements; and to issue a declaration disqualifying all gaming commissioners from further participating in the gaming licensing process for Region A. The MGC filed a motion to dismiss Boston's amended complaint. Oral argument was heard on September 22, 2015. On December 3, 2015, the court granted the MGC's motion and dismissed the City of Boston's amended complaint. In January 2016, all actions among the City of Boston, Wynn MA and the MGC were resolved through a settlement set forth in a Surrounding Community Agreement.</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Wynn MA is not named in the above complaints. The MGC has retained private legal representation at its own nontaxpayer-funded expense.</w:t>
      </w:r>
    </w:p>
    <w:p>
      <w:pPr>
        <w:spacing w:after="0" w:line="225"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On August 28, 2015, the Secretary of Energy and Environmental Affairs issued a certificate determining that Wynn MA's Second Supplemental Final Environmental Impact Report ("Report") submitted with respect to the project "adequately and properly complies" with the Massachusetts environmental and implementing regulations. On September 29, 2015, following the issuance of this certificate, the City of Boston filed a complaint against Wynn MA in Suffolk Superior Court seeking declaratory judgment that the certificate issued to Wynn MA is invalid due to an alleged failure to comply with certain provisions of the state environmental regulations and seeking to restrain Wynn MA from causing damage to the environment. In addition, on September 29, 2015, the City of Somerville filed a complaint against Wynn MA and the MGC in Suffolk Superior Court alleging that Wynn MA's Report failed to comply with certain provisions of the state environmental regulations and seeking declaratory relief with respect to the effect of the issuance of Wynn MA's gaming license. All City of Boston claims have been resolved by settlement between Wynn MA and the City of Boston. Wynn MA has until June 30, 2016 to respond to the City of Somerville's complaint.</w:t>
      </w:r>
    </w:p>
    <w:p>
      <w:pPr>
        <w:spacing w:after="0" w:line="189" w:lineRule="exact"/>
        <w:rPr>
          <w:sz w:val="20"/>
          <w:szCs w:val="20"/>
          <w:color w:val="auto"/>
        </w:rPr>
      </w:pPr>
    </w:p>
    <w:p>
      <w:pPr>
        <w:ind w:right="80" w:firstLine="432"/>
        <w:spacing w:after="0" w:line="274" w:lineRule="auto"/>
        <w:rPr>
          <w:sz w:val="20"/>
          <w:szCs w:val="20"/>
          <w:color w:val="auto"/>
        </w:rPr>
      </w:pPr>
      <w:r>
        <w:rPr>
          <w:rFonts w:ascii="Times New Roman" w:cs="Times New Roman" w:eastAsia="Times New Roman" w:hAnsi="Times New Roman"/>
          <w:sz w:val="17"/>
          <w:szCs w:val="17"/>
          <w:color w:val="auto"/>
        </w:rPr>
        <w:t>On February 11, 2016, City of Somerville filed an appeal challenging the draft waterways license ("Chapter 91 License") issued by the Massachusetts Department of Environmental Protection ("MassDEP") on January 22, 2016. The Chapter 91 License authorized Wynn MA's proposed remediation and redevelopment of the project site. The City of Somerville challenges the Chapter 91 License contending that it fails to conform to the Waterways Regulations and that certain prerequisites to its issuance are "...flawed and based on legally untenable grounds and are the subject of pending appeals." The appeal is pending before MassDEP's Office of Appeals and Dispute Resolution and an administrative hearing has been set for June 2, 2016. Until the resolution of this appeal, Wynn MA cannot commence construction activities within the portion of the project site that is within Chapter 91 License jurisdiction.</w:t>
      </w:r>
    </w:p>
    <w:p>
      <w:pPr>
        <w:spacing w:after="0" w:line="17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Company will vigorously defend Wynn MA against the claims. Management has determined that based on proceedings to date, it is currently unable to determine the probability of the outcome of this action or the range of reasonably possible loss,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2016 and 2015, the Company recorded tax expense of $3.9 million and $3.2 million, respectively. The Company's income tax expense for the three months ended March 31, 2016 and 2015 is primarily related to an increase in the domestic valuation allowance for U.S. foreign tax credits ("FTCs").</w:t>
      </w:r>
    </w:p>
    <w:p>
      <w:pPr>
        <w:spacing w:after="0" w:line="17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Since June 30, 2010, the Company no longer considers its portion of the tax earnings and profits of WML to be permanently invested. The Company recorded deferred U.S. income taxes of $2.9 million with respect to amounts not considered permanently invested. The Company has not provided deferred U.S. income taxes or foreign withholding taxes on temporary differences as U.S. FTCs should be sufficient to eliminate any U.S. federal income tax in the event of repatriation. The Company recognized minimal income tax benefits related to excess tax deductions associated with stock compensation costs for the three months ended March 31, 2016 and $0.3 million for the same period of 2015.</w:t>
      </w:r>
    </w:p>
    <w:p>
      <w:pPr>
        <w:spacing w:after="0" w:line="184"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8"/>
          <w:szCs w:val="18"/>
          <w:color w:val="auto"/>
        </w:rPr>
        <w:t>In assessing the need for a valuation allowance, the Company relies solely on the reversal of net taxable temporary differences. The valuation allowance for foreign tax credits was determined by scheduling the existing U.S. taxable temporary differences that are expected to reverse and result in foreign source income during the 10-year foreign tax credit carryover period.</w:t>
      </w:r>
    </w:p>
    <w:p>
      <w:pPr>
        <w:spacing w:after="0" w:line="17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Wynn Macau SA has received a 5-year exemption from Macau's Complementary Tax on casino gaming profits through December 31, 2020. During the three months ended March 31, 2016 and 2015, the Company was exempt from the payment of $11.3 million and $13.8 million, respectively, in such taxes. The Company's non-gaming profits remain subject to the Macau Complementary Tax and casino winnings remain subject to the Macau Special Gaming tax and other levies together totaling 39% in accordance with its concession agreement.</w:t>
      </w:r>
    </w:p>
    <w:p>
      <w:pPr>
        <w:spacing w:after="0" w:line="18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 2011, Wynn Macau SA entered into an agreement with the Macau Special Administrative Region that provides for an annual payment of 15.5 million Macau patacas (approximately $1.9 million) to the Macau Special Administrative Region as complementary tax due by shareholders on dividend distributions. This agreement on dividends was effective through</w:t>
      </w: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December 31, 2015. In June 2015, Wynn Macau SA applied for an extension of the agreement for an additional five years effective through December 31, 2020.</w:t>
      </w:r>
    </w:p>
    <w:p>
      <w:pPr>
        <w:spacing w:after="0" w:line="162"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Company has participated in the Internal Revenue Service ("IRS") Compliance Assurance Program ("CAP") for the 2013 through 2015 tax years and will continue to participate in the IRS CAP for the 2016 tax year. In February 2016, the IRS completed an examination of the 2014 U.S. tax return and had no changes.</w:t>
      </w:r>
    </w:p>
    <w:p>
      <w:pPr>
        <w:spacing w:after="0" w:line="176" w:lineRule="exact"/>
        <w:rPr>
          <w:sz w:val="20"/>
          <w:szCs w:val="20"/>
          <w:color w:val="auto"/>
        </w:rPr>
      </w:pPr>
    </w:p>
    <w:p>
      <w:pPr>
        <w:jc w:val="both"/>
        <w:ind w:right="140" w:firstLine="230"/>
        <w:spacing w:after="0" w:line="266" w:lineRule="auto"/>
        <w:rPr>
          <w:sz w:val="20"/>
          <w:szCs w:val="20"/>
          <w:color w:val="auto"/>
        </w:rPr>
      </w:pPr>
      <w:r>
        <w:rPr>
          <w:rFonts w:ascii="Times New Roman" w:cs="Times New Roman" w:eastAsia="Times New Roman" w:hAnsi="Times New Roman"/>
          <w:sz w:val="18"/>
          <w:szCs w:val="18"/>
          <w:color w:val="auto"/>
        </w:rPr>
        <w:t>In April 2016, the Financial Services Bureau commenced an examination of the 2011 and 2012 Macau income tax returns of Palo. Since the examination is in its initial stages, the Company is unable to determine if it will conclude within the next 12 months. The Company believes that its liability for uncertain tax positions is adequate with respect to these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reviews the results of operations for each of its operating segments. Wynn Macau and Encore at Wynn Macau are managed as a single integrated resort and have been aggregated as one reportable segment ("Macau Operations"). Wynn Las Vegas and Encore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 The Company also reviews construction and development activities for each of its projects under development, in addition to its reportable segments.</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projects under development are Wynn Palace and Wynn Boston Harbor. In the following tables, the assets of Wynn Boston Harbor are included in Corporate and Other. Other Macau primarily represents cash and cash equivalents held at the Company's Macau holding company. The following tables present the Company's segment information (in thousands):</w:t>
      </w: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608,243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705,357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389,435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386,881</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997,678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1,092,238</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Adjusted Property EBITDA (1)</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191,245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212,342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109,024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110,677</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300,269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323,019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16,091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82,866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25,642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10,660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operating costs and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141,971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137,960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158,298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185,059</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swap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Redemption Note fair value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1,133</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non-operating income and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(195,764)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105,792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hanging="652"/>
        <w:spacing w:after="0" w:line="25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net income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measures of net income, Adjusted Property EBITDA does not include depreciation or interest expense</w:t>
      </w:r>
    </w:p>
    <w:p>
      <w:pPr>
        <w:sectPr>
          <w:pgSz w:w="11900" w:h="16838" w:orient="portrait"/>
          <w:cols w:equalWidth="0" w:num="1">
            <w:col w:w="11420"/>
          </w:cols>
          <w:pgMar w:left="240" w:top="118" w:right="239" w:bottom="1440" w:gutter="0" w:footer="0" w:header="0"/>
        </w:sectPr>
      </w:pP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type w:val="continuous"/>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23" w:lineRule="exact"/>
        <w:rPr>
          <w:sz w:val="20"/>
          <w:szCs w:val="20"/>
          <w:color w:val="auto"/>
        </w:rPr>
      </w:pPr>
    </w:p>
    <w:p>
      <w:pPr>
        <w:jc w:val="both"/>
        <w:ind w:left="660"/>
        <w:spacing w:after="0" w:line="308" w:lineRule="auto"/>
        <w:rPr>
          <w:sz w:val="20"/>
          <w:szCs w:val="20"/>
          <w:color w:val="auto"/>
        </w:rPr>
      </w:pPr>
      <w:r>
        <w:rPr>
          <w:rFonts w:ascii="Times New Roman" w:cs="Times New Roman" w:eastAsia="Times New Roman" w:hAnsi="Times New Roman"/>
          <w:sz w:val="18"/>
          <w:szCs w:val="18"/>
          <w:color w:val="auto"/>
        </w:rPr>
        <w:t>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Macau</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1,320,347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1,331,312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3,648,501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3,439,041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Macau</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568,397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570,959</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Macau</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5,537,245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5,341,312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3,119,811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3,145,713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1,989,504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1,972,134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10,646,560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10,459,159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9"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On April 14, 2016, the Company's Board of Directors authorized the Company to repurchase a total of up to $1 billion of the Company's outstanding shares, increasing the previous available repurchase authorization by approximately $420 million. The repurchase program may include repurchases from time to time through open market purchases or negotiated transactions, depending upon market conditions.</w:t>
      </w:r>
    </w:p>
    <w:p>
      <w:pPr>
        <w:spacing w:after="0" w:line="176"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On April 27, 2016, WML paid a dividend of HK$0.60 per share for a total of $401.9 million. The Company's share of this dividend was $290.1 million with a reduction of $111.8 million to noncontrolling interest in the accompanying Consolidated Balance Sheet.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May 5, 2016, the Company announced a cash dividend of $0.50 per share, payable on May 26, 2016 to stockholders of record as of May 17,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2015.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(integrated resorts). In the Macau Special Administrative Region of the People's Republic of China ("Macau"), we own 72% of Wynn Macau, Limited and operate Wynn Macau and Encore at Wynn Macau, which we refer to as Wynn Macau | Encore or as our Macau Operations. In Las Vegas, Nevada, we own 100% of and operate Wynn Las Vegas and Encore at Wynn Las Vegas, which we refer to as Wynn Las Vegas | Encore or our Las Vegas Operations. We are developing Wynn Palace, an integrated casino resort in the Cotai area of Macau, as well as Wynn Boston Harbor, an integrated casino resort in Everett, Massachusetts.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We operate Wynn Macau | Encore under a 20-year casino concession agreement granted by the Macau government in June 2002. We lease from the Macau government approximately 16 acres of land in downtown Macau's inner harbor where Wynn Macau | Encore is located.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Wynn Macau | Encore features the following as of April 15, 2016:</w:t>
      </w:r>
    </w:p>
    <w:p>
      <w:pPr>
        <w:spacing w:after="0" w:line="279" w:lineRule="exact"/>
        <w:rPr>
          <w:sz w:val="20"/>
          <w:szCs w:val="20"/>
          <w:color w:val="auto"/>
        </w:rPr>
      </w:pPr>
    </w:p>
    <w:p>
      <w:pPr>
        <w:ind w:left="1300" w:right="18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284,000 square feet of casino space offering 24-hour gaming and a full range of games with 488 table games and 774 slot machines, private gaming salons, sky casinos and a poker pit;</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1,008 guest rooms and suites;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Casual and fine dining in eight restaurants;</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57,000 square feet of high-end, brand-name retail shopping, including stores and boutiques by Bvlgari, Cartier, Chanel, Dior, Dunhill, Ermenegildo Zegna, Ferrari, Giorgio Armani, Graff, Gucci, Hermes, Hugo Boss, Jaegar-LeCoultre, Loro Piana, Louis Vuitton, Miu Miu, Piaget, Prada, Richard Mille, Roger Dubuis, Rolex, Tiffany, Vacheron Constantin, Van Cleef &amp; Arpels, Versace, Vertu, and others;</w:t>
      </w:r>
    </w:p>
    <w:p>
      <w:pPr>
        <w:spacing w:after="0" w:line="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31,000 square feet of space for lounges and meeting facilities;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two health clubs, spas, a salon and a pool;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rotunda show featuring a Chinese zodiac-inspired ceiling along with gold "prosperity tree" and "dragon of fortune" attractions.</w:t>
      </w:r>
    </w:p>
    <w:p>
      <w:pPr>
        <w:spacing w:after="0" w:line="279"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Macau Operations and our commitment to creating a unique customer experience, we have made and expect to continue to make enhancements and refinements to this resort.</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five acres adjacent to the golf course on which an office building is located.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Wynn Las Vegas | Encore features the following as of April 15, 2016:</w:t>
      </w:r>
    </w:p>
    <w:p>
      <w:pPr>
        <w:spacing w:after="0" w:line="387" w:lineRule="exact"/>
        <w:rPr>
          <w:sz w:val="20"/>
          <w:szCs w:val="20"/>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186,000 square feet of casino space, offering 24-hour gaming and a full range of games with 238 table games and 1,887 slot machines, private gaming salons, a sky casino, a poker room, and a race and sports book;</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4,748 guest rooms, suites and villas;</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118" w:right="27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0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food and beverage outlets featuring signature chefs;</w:t>
      </w:r>
    </w:p>
    <w:p>
      <w:pPr>
        <w:spacing w:after="0" w:line="117"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Moncler, Nicholas Kirkwood, Piaget, Prada, Rolex, Vertu and others;</w:t>
      </w:r>
    </w:p>
    <w:p>
      <w:pPr>
        <w:spacing w:after="0" w:line="6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290,000 square feet of meeting and convention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nightclubs and a beach club;</w:t>
      </w:r>
    </w:p>
    <w:p>
      <w:pPr>
        <w:spacing w:after="0" w:line="117"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specially designed theater presenting "Le Rêve-The Dream," a water-based theatrical production and a theater presenting "Steve Wynn's ShowStoppers," a Broadway-style entertainment production; and</w:t>
      </w:r>
    </w:p>
    <w:p>
      <w:pPr>
        <w:spacing w:after="0" w:line="53"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swimming pools, private cabanas, two full service spas and salons, and a wedding chapel.</w:t>
      </w:r>
    </w:p>
    <w:p>
      <w:pPr>
        <w:spacing w:after="0" w:line="216"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6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In October 2015, we closed the Ferrari and Maserati automobile dealership inside Wynn Las Vegas. We plan to transform the dealership and adjacent space into more than 75,000 square feet of additional high-end retail space.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27"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We are currently constructing Wynn Palace, an integrated resort containing a 1,700-room hotel, a performance lake, and a wide range of amenities, including meeting, retail, food and beverage, and casino spaces, in the Cotai area of Macau. We have a $2.7 billion guaranteed maximum price ("GMP") contract for the project's construction costs. The total project budget, including construction costs, capitalized interest, pre-opening expenses, land costs and financing fees, is approximately $4.2 billion. As of March 31, 2016, we have invested approximately $3.7 billion in the project. We expect to open Wynn Palace on Cotai in the third quarter of 2016.</w:t>
      </w:r>
    </w:p>
    <w:p>
      <w:pPr>
        <w:spacing w:after="0" w:line="184" w:lineRule="exact"/>
        <w:rPr>
          <w:sz w:val="20"/>
          <w:szCs w:val="20"/>
          <w:color w:val="auto"/>
        </w:rPr>
      </w:pPr>
    </w:p>
    <w:p>
      <w:pPr>
        <w:ind w:right="520" w:firstLine="405"/>
        <w:spacing w:after="0" w:line="258" w:lineRule="auto"/>
        <w:rPr>
          <w:sz w:val="20"/>
          <w:szCs w:val="20"/>
          <w:color w:val="auto"/>
        </w:rPr>
      </w:pPr>
      <w:r>
        <w:rPr>
          <w:rFonts w:ascii="Times New Roman" w:cs="Times New Roman" w:eastAsia="Times New Roman" w:hAnsi="Times New Roman"/>
          <w:sz w:val="18"/>
          <w:szCs w:val="18"/>
          <w:color w:val="auto"/>
        </w:rPr>
        <w:t>In November 2014, the Company was awarded a gaming license to develop and construct Wynn Boston Harbor, an integrated resort in Everett, Massachusetts, adjacent to Boston. Wynn Boston Harbor will be located on a 33-acre site along the Mystic River and will contain a hotel, a waterfront boardwalk, meeting space, casino space, a spa, retail offerings and food and beverage outlets. The total project budget, including construction costs, capitalized interest, pre-opening expenses and land costs, is estimated to be between $1.9 billion and $2.1 billion. We have begun site remediation, site preparation and pre-construction activities.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are presented. Below are definitions of these key operating measures discussed:</w:t>
      </w:r>
    </w:p>
    <w:p>
      <w:pPr>
        <w:spacing w:after="0" w:line="207" w:lineRule="exact"/>
        <w:rPr>
          <w:sz w:val="20"/>
          <w:szCs w:val="20"/>
          <w:color w:val="auto"/>
        </w:rPr>
      </w:pPr>
    </w:p>
    <w:p>
      <w:pPr>
        <w:ind w:left="1300" w:right="18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Macau Operations is the amount of cash that is deposited in a gaming table's drop box plus cash chips purchased at the casino cage.</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identifiable chips that are used to track turnover for purposes of calculating incentives.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win is the amount of handle (representing the total amount wagered) that is retained by us and is recorded as casino revenues.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the retail value of promotional allowances (less service charges, if any), by total rooms occupied including complimentary rooms.</w:t>
      </w:r>
    </w:p>
    <w:p>
      <w:pPr>
        <w:ind w:left="1300" w:right="76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the retail value of promotional allowances (less service charges, if any), by total rooms available.</w:t>
      </w:r>
    </w:p>
    <w:p>
      <w:pPr>
        <w:spacing w:after="0" w:line="3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118" w:right="27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440" w:right="1400" w:firstLine="216"/>
        <w:spacing w:after="0" w:line="501" w:lineRule="auto"/>
        <w:tabs>
          <w:tab w:leader="none" w:pos="13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 Below is a discussion of the methodologies used to calculate win percentage at our resorts.</w:t>
      </w: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It is customary in Macau to measure VIP casino play using this rolling chip method. We expect our win as a percentage of turnover in this segment to be within the range of 2.7% to 3.0%.</w:t>
      </w:r>
    </w:p>
    <w:p>
      <w:pPr>
        <w:spacing w:after="0" w:line="184"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In our mass market casino in Macau, customers may purchase cash chips at either the gaming tables or at the casino cage. Commencing in the second quarter of 2015, the sum of these purchases is the base of measurement used for calculating win percentage in our mass market casino in accordance with standard Macau industry practice. All prior period amounts have been adjusted to conform to this new measurement.</w:t>
      </w:r>
    </w:p>
    <w:p>
      <w:pPr>
        <w:spacing w:after="0" w:line="17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measurements in our VIP casino and the mass market casino are not comparable as the mass market casino tracks the initial purchase of chips at the table while the measurement method in our VIP casino tracks the sum of all losing wagers. Accordingly, the base measurement in the VIP casino is much larger than the base measurement in the mass market casino. As a result, the expected win percentage with the same amount of gaming win is smaller in the VIP casino when compared to the mass market casino.</w:t>
      </w:r>
    </w:p>
    <w:p>
      <w:pPr>
        <w:spacing w:after="0" w:line="18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Summary first quarter 2016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2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46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2840" w:type="dxa"/>
            <w:vAlign w:val="bottom"/>
            <w:tcBorders>
              <w:bottom w:val="single" w:sz="8" w:color="auto"/>
            </w:tcBorders>
            <w:vMerge w:val="continue"/>
          </w:tcPr>
          <w:p>
            <w:pPr>
              <w:spacing w:after="0"/>
              <w:rPr>
                <w:sz w:val="11"/>
                <w:szCs w:val="11"/>
                <w:color w:val="auto"/>
              </w:rPr>
            </w:pPr>
          </w:p>
        </w:tc>
        <w:tc>
          <w:tcPr>
            <w:tcW w:w="4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jc w:val="right"/>
              <w:ind w:right="476"/>
              <w:spacing w:after="0" w:line="127"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4"/>
              <w:spacing w:after="0" w:line="127"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1"/>
                <w:szCs w:val="11"/>
                <w:color w:val="auto"/>
              </w:rPr>
            </w:pPr>
          </w:p>
        </w:tc>
        <w:tc>
          <w:tcPr>
            <w:tcW w:w="900" w:type="dxa"/>
            <w:vAlign w:val="bottom"/>
          </w:tcPr>
          <w:p>
            <w:pPr>
              <w:ind w:left="2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46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997,678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1,092,238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75,221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(44,601)</w:t>
            </w:r>
          </w:p>
        </w:tc>
        <w:tc>
          <w:tcPr>
            <w:tcW w:w="120" w:type="dxa"/>
            <w:vAlign w:val="bottom"/>
          </w:tcPr>
          <w:p>
            <w:pPr>
              <w:spacing w:after="0"/>
              <w:rPr>
                <w:sz w:val="21"/>
                <w:szCs w:val="21"/>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Adjusted Property EBITDA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300,269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323,019</w:t>
            </w:r>
          </w:p>
        </w:tc>
        <w:tc>
          <w:tcPr>
            <w:tcW w:w="120" w:type="dxa"/>
            <w:vAlign w:val="bottom"/>
          </w:tcPr>
          <w:p>
            <w:pPr>
              <w:spacing w:after="0"/>
              <w:rPr>
                <w:sz w:val="21"/>
                <w:szCs w:val="21"/>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2016, our net income attributable to Wynn Resorts, Limited was $75.2 million, resulting in diluted net income per share of $0.74. During the three months ended March 31, 2015 we experienced a net loss attributable to Wynn Resorts, Limited of $44.6 million, primarily due to $116.2 million in losses from the extinguishment of debt related to the purchase of the 7 7/8% First Mortgage Notes due May 1, 2020 (the "7 7/8% 2020 Notes") and the 7 3/4% First Mortgage Notes due August 15, 2020 (the "7 3/4% 2020 Notes" and together with the 7 7/8% 2020 Notes, the "2020 Notes") pursuant to a cash tender offer.</w:t>
      </w:r>
    </w:p>
    <w:p>
      <w:pPr>
        <w:spacing w:after="0" w:line="18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Adjusted Property EBITDA decreased year-over-year by 7.0%, from $323.0 million for the three months ended March 31, 2015 to $300.3 million for the same period of 2016. Our results reflect continued weak performance from our Macau Operations, with year-over-year decreases in VIP turnover and mass market table drop of 21.4% and 5.6%, respectively. The VIP turnover reduction is a result of the current economic and political conditions in Macau and China as well as the effect of regional economic factors on gaming promoters and our premium customers. We continue to experience a significant slowdown in activity from our premium customers with a reduction in overall visitation to our Macau Operations.</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March 31, 2016 compared to the three months ended March 31, 2015.</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revenues from our Macau and Las Vegas Operations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608,243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705,357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389,435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386,881</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997,678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1,092,238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Net revenues decreased 8.7%, or $94.6 million, to $997.7 million for the three months ended March 31, 2016, from $1.09 billion for the same period in 2015. The continued decline is primarily due to a $92.6 million decrease in casino revenues from our Macau Operations.</w:t>
      </w:r>
    </w:p>
    <w:p>
      <w:pPr>
        <w:spacing w:after="0" w:line="162"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732,730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826,099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264,948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266,139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997,678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1,092,238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Casino revenues were 73.4% of total net revenues for the three months ended March 31, 2016, compared to 75.6% for the same period of 2015, while non-casino revenues were 26.6% of total net revenues, compared to 24.4% for the same period of 2015, reflecting the relative stability in non-casino revenues notwithstanding the declines in casino revenues.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Casino revenues decreased 11.3%, or $93.4 million, to $732.7 million for the three months ended March 31, 2016, from $826.1 million in the same period of 2015. The decline is primarily due to our Macau Operations, which experienced a year-over-year decrease in casino revenues of 13.9% from $664.3 million to $571.8 million. Our VIP gaming operations drove the Macau Operations casino revenues reduction, with $13.47 billion in VIP turnover for the three months ended March 31, 2016, compared to $17.13 billion for the same period of 2015. In addition, our mass market gaming operations contributed to the decline in casino revenues from our Macau Operations with a 5.6% decrease in table drop combined with a reduction in table games win percentage of 1.3 percentage points.</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for our Macau and Las Vegas Operations (dollars in thousands, except for win per unit per day).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60" w:type="dxa"/>
            <w:vAlign w:val="bottom"/>
          </w:tcPr>
          <w:p>
            <w:pPr>
              <w:jc w:val="right"/>
              <w:ind w:right="411"/>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571,770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664,320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13,469,939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17,127,666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(3,657,727)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378,652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480,364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21,967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21,147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1,210,100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1,281,414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247,500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279,560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1,096,337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1,039,615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56,722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50,440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47,777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160,960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161,779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475,162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573,612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125,046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135,679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717,460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762,184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49,584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48,417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Non-casino revenues were $264.9 million for the three months ended March 31, 2016, compared to $266.1 million for the same period of 2015.</w:t>
      </w:r>
    </w:p>
    <w:p>
      <w:pPr>
        <w:spacing w:after="0" w:line="225"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Room revenues increased 2.7%, or $3.5 million, to $135.6 million for the three months ended March 31, 2016, from $132.1 million for the same period of 2015. Our Las Vegas Operations experienced an increase of $5.5 million driven by an ADR increase of 5.3%, offset by a decrease of $2.0 million from our Macau Operations.</w:t>
      </w: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for our Macau and Las Vegas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8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Percent Change (a)</w:t>
            </w:r>
          </w:p>
        </w:tc>
      </w:tr>
      <w:tr>
        <w:trPr>
          <w:trHeight w:val="249"/>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30,453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32,415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105,139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99,640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  Except occupancy, which is presented as a percentage point change.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193"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Food and beverage revenues decreased 4.1%, or $5.6 million, to $130.4 million for the three months ended March 31, 2016, from $136.0 million for the same period of 2015. We experienced decreases from our Las Vegas Operations and Macau Operations of $3.5 million and $2.1 million, respectively. Our Las Vegas Operations decreased primarily due to one of our nightclubs being closed for re-branding during the three months ended March 31, 2016, while the decrease from our Macau Operations was mainly from a decline in revenues at our restaurants.</w:t>
      </w:r>
    </w:p>
    <w:p>
      <w:pPr>
        <w:spacing w:after="0" w:line="180"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revenues decreased 9.3%, or $8.4 million, to $82.0 million for the three months ended March 31, 2016, from $90.4 million for the same period of 2015. The decrease is primarily due to a decline in revenue from retail shops at our Macau Operations.</w:t>
      </w:r>
    </w:p>
    <w:p>
      <w:pPr>
        <w:spacing w:after="0" w:line="162"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Promotional allowances decreased 10.0%, or $9.2 million, to $83.1 million for the three months ended March 31, 2016, from $92.3 million for the same period of 2015. As a percentage of total casino revenues, promotional allowances were 11.3% for the three months ended March 31, 2016, compared to 11.2% for the same period of 2015.</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Operating costs and expenses decreased 7.5%, or $67.8 million, to $839.4 million for the three months ended March 31, 2016, from $907.2 million for the same period of 2015, mainly from a decrease in casino expenses.</w:t>
      </w:r>
    </w:p>
    <w:p>
      <w:pPr>
        <w:spacing w:after="0" w:line="162"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Casino expenses decreased 13.6%, or $71.5 million, to $452.5 million for the three months ended March 31, 2016, from $524.1 million for the same period of 2015, primarily due to lower gaming taxes from the 39.0% gross win tax incurred at our Macau Operations. The decline in gaming taxes was commensurate with the 13.9% decrease in casino revenues at our Macau Operations.</w:t>
      </w:r>
    </w:p>
    <w:p>
      <w:pPr>
        <w:spacing w:after="0" w:line="176"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Room expenses increased 2.8%, or $1.0 million, to $37.7 million for the three months ended March 31, 2016, from $36.7 million for the same period of 2015, primarily due to an increase in payroll related expenses from our Las Vegas Operations.</w:t>
      </w:r>
    </w:p>
    <w:p>
      <w:pPr>
        <w:spacing w:after="0" w:line="162"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3.9%, or $3.0 million, to $79.4 million for the three months ended March 31, 2016, from $76.4 million for the same period of 2015. The increase was primarily due to an increase in payroll related expenses from our Las Vegas Operations.</w:t>
      </w:r>
    </w:p>
    <w:p>
      <w:pPr>
        <w:spacing w:after="0" w:line="162"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decreased 5.0%, or $2.0 million, to $38.3 million for the three months ended March 31, 2016, from $40.3 million for the same period of 2015. The decrease was commensurate with the decrease in entertainment, retail and other revenues for the period.</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3.9%, or $4.8 million, to $117.4 million for the three months ended March 31, 2016, from $122.2 million in the same period of 2015. The decrease was due to a decrease of $7.4 million in corporate related expenses, offset by increases from our Las Vegas Operations and Macau Operations of $1.8 million and $0.8 million, respectively.</w:t>
      </w:r>
    </w:p>
    <w:p>
      <w:pPr>
        <w:spacing w:after="0" w:line="176" w:lineRule="exact"/>
        <w:rPr>
          <w:sz w:val="20"/>
          <w:szCs w:val="20"/>
          <w:color w:val="auto"/>
        </w:rPr>
      </w:pPr>
    </w:p>
    <w:p>
      <w:pPr>
        <w:jc w:val="both"/>
        <w:ind w:right="32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decreased $5.4 million to $0.7 million for the three months ended March 31, 2016, compared to $6.1 million for the same period of 2015. The change in the provision was primarily due to the collection of an account in Macau that resulted in a $6.7 million reversal of the previously recorded allowance for doubtful accounts.</w:t>
      </w:r>
    </w:p>
    <w:p>
      <w:pPr>
        <w:spacing w:after="0" w:line="17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Pre-opening costs were $33.8 million for the three months ended March 31, 2016, compared to $16.1 million for the same period of 2015 and were associated with the design and planning for our development projects. During the three months ended March 31, 2016, we incurred pre-opening costs of $26.3 million related to Wynn Palace, $6.8 million related to Wynn Boston Harbor and $0.7 million at Wynn Las Vegas. During the three months ended March 31, 2015, we incurred pre-opening costs of $9.5 million and $6.6 million related to Wynn Palace and Wynn Boston Harbor, respectively.</w:t>
      </w:r>
    </w:p>
    <w:p>
      <w:pPr>
        <w:spacing w:after="0" w:line="180"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Depreciation and amortization decreased 5.9%, or $4.9 million, to $78.0 million for the three months ended March 31, 2016, from $82.9 million for the same period of 2015. The decrease is primarily due to a change in estimated useful lives of buildings and improvements for Wynn Macau, which was effective September 1, 2015, to more accurately reflect the estimated periods during which these assets are expected to remain in service.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 net of amounts capitalized</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6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cost, including amortization of deferred financing costs and original issue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and premium</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93,171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88,843</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Capitalized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(48,400)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(10,860)</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44,772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77,983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311"/>
        </w:trPr>
        <w:tc>
          <w:tcPr>
            <w:tcW w:w="6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9,402,706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7,525,217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Interest expense decreased 42.6%, or $33.2 million, to $44.8 million for the three months ended March 31, 2016, from $78.0 million for the same period of 2015, primarily due to an increase in capitalized interest of $37.5 million. During the first quarter of 2016, we corrected immaterial amounts of additional interest of $25.6 million that should have been capitalized instead of being expensed during the years ended December 31, 2015 and 2014. Had these amounts been corrected in the appropriate periods, the capitalized interest for the three months ended March 31, 2015, would have been $5.1 million higher. For further information, see Item 1—"Notes to Condensed Consolidated Financial Statements," Note 2 "Summary of Significant Accounting Policies." Interest cost increased $4.3 million to $93.2 million for the three months ended March 31, 2016, due to an increase in our weighted average total debt balance, offset by a decrease in our weighted average interest rate.</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2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we recognized a loss of $5.0 million from the change in fair value of the Redemption Note as a result of changes in certain variables to calculate the estimated fair value. No change was recognized in the same period of 2015. For further information on the fair value of the Redemption Note, see Item 1—"Notes to Condensed Consolidated Financial Statements," Note 2 "Summary of Significant Accounting Policies."</w:t>
      </w:r>
    </w:p>
    <w:p>
      <w:pPr>
        <w:spacing w:after="0" w:line="136" w:lineRule="exact"/>
        <w:rPr>
          <w:sz w:val="20"/>
          <w:szCs w:val="20"/>
          <w:color w:val="auto"/>
        </w:rPr>
      </w:pPr>
    </w:p>
    <w:p>
      <w:pPr>
        <w:ind w:right="80" w:firstLine="405"/>
        <w:spacing w:after="0" w:line="289" w:lineRule="auto"/>
        <w:rPr>
          <w:sz w:val="20"/>
          <w:szCs w:val="20"/>
          <w:color w:val="auto"/>
        </w:rPr>
      </w:pPr>
      <w:r>
        <w:rPr>
          <w:rFonts w:ascii="Times New Roman" w:cs="Times New Roman" w:eastAsia="Times New Roman" w:hAnsi="Times New Roman"/>
          <w:sz w:val="17"/>
          <w:szCs w:val="17"/>
          <w:color w:val="auto"/>
        </w:rPr>
        <w:t>We incurred a loss of $116.2 million on the extinguishment of debt for the three months ended March 31, 2015, in connection with the cash tender offer of the 2020 Notes. We expensed $98.9 million for the consideration to holders who tendered, $17.2 million of unamortized deferred financing costs and original issue discount, and $0.1 million in other fees incurred. We incurred no loss on extinguishment of debt for the three months ended March 31, 2016.</w:t>
      </w: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firstLine="432"/>
        <w:spacing w:after="0" w:line="313" w:lineRule="auto"/>
        <w:rPr>
          <w:sz w:val="20"/>
          <w:szCs w:val="20"/>
          <w:color w:val="auto"/>
        </w:rPr>
      </w:pPr>
      <w:r>
        <w:rPr>
          <w:rFonts w:ascii="Times New Roman" w:cs="Times New Roman" w:eastAsia="Times New Roman" w:hAnsi="Times New Roman"/>
          <w:sz w:val="17"/>
          <w:szCs w:val="17"/>
          <w:color w:val="auto"/>
        </w:rPr>
        <w:t>We incurred losses of $1.8 million and $4.6 million for the three months ended March 31, 2016 and 2015, respectively, from the change in the fair value of our interest rate swaps. For further information on our interest rate swaps, see Item 3 — "Quantitative and Qualitative Disclosures about Market Risk."</w:t>
      </w:r>
    </w:p>
    <w:p>
      <w:pPr>
        <w:spacing w:after="0" w:line="138"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Interest income was $3.5 million for the three months ended March 31, 2016, compared to $1.7 million for the three months ended March 31, 2015. During 2016 and 2015, our short-term investment strategy has been to preserve capital while retaining sufficient liquidity. The majority of our investment securities were in time deposits, fixed deposits and money market accounts with a maturity of three months or less.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500"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2016 and 2015, we recorded a tax expense of $3.9 million and $3.2 million, respectively. Our income tax expense in the three months ended March 31, 2016 and 2015 is primarily related to an increase in the domestic valuation allowance for U.S. foreign tax credits ("FTCs") that are expected to provide a U.S. tax benefit in future years.</w:t>
      </w:r>
    </w:p>
    <w:p>
      <w:pPr>
        <w:spacing w:after="0" w:line="12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Since June 30, 2010, we have no longer considered our portion of the tax earnings and profits of Wynn Macau, Limited to be permanently invested. We recorded deferred U.S. income taxes of $2.9 million with respect to amounts not considered permanently invested. We have not provided deferred U.S. income taxes or foreign withholding taxes on temporary differences as U.S. foreign tax credits should be sufficient to eliminate any U.S. federal income tax in the event of repatriation. We recognized minimal income tax benefits related to excess tax deductions associated with stock compensation costs for the three months ended March 31, 2016 and $0.3 million for the same period of 2015.</w:t>
      </w:r>
    </w:p>
    <w:p>
      <w:pPr>
        <w:spacing w:after="0" w:line="13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Wynn Resorts (Macau) S.A. ("Wynn Macau SA") has received a 5-year exemption from Macau's Complementary Tax on casino gaming profits through December 31, 2020. During the three months ended March 31, 2016 and 2015, we were exempt from the payment of $11.3 million and $13.8 million in such taxes respectively. Our non-gaming profits remain subject to the Macau Complementary Tax and casino winnings remain subject to the Macau Special Gaming tax and other levies together totaling 39% in accordance with our concession agreement.</w:t>
      </w:r>
    </w:p>
    <w:p>
      <w:pPr>
        <w:spacing w:after="0" w:line="18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2011, Wynn Macau SA entered into an agreement with the Macau Special Administrative Region that provides for an annual payment of 15.5 million Macau patacas (approximately $1.9 million) to the Macau Special Administrative Region as complementary tax due by shareholders on dividend distributions. This agreement on dividends was effective through December 31, 2015. In June 2015, Wynn Macau SA applied for an extension of the agreement for an additional five years effective through December 31, 2020.</w:t>
      </w:r>
    </w:p>
    <w:p>
      <w:pPr>
        <w:spacing w:after="0" w:line="180"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We have participated in the Internal Revenue Service ("IRS") Compliance Assurance Program ("CAP") for the 2013 through 2015 tax years and will continue to participate in the IRS CAP for the 2016 tax year. In February 2016, the IRS completed an examination of the 2014 U.S. tax return and had no changes.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April 2016, the Financial Services Bureau commenced an examination of the 2011 and 2012 Macau income tax returns of Palo Real Estate Company Limited. Since the examination is in its initial stages, we are unable to determine if it will conclude within the next 12 months. We believe that our liability for uncertain tax positions is adequate with respect to these years.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p>
    <w:p>
      <w:pPr>
        <w:spacing w:after="0" w:line="227"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 was $30.6 million for the three months ended March 31, 2016, compared to $30.7 million for the three months ended March 31, 2015. These amounts represent the noncontrolling interest's share of net income from Wynn Macau, Limited.</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229"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We use Adjusted Property EBITDA to manage the operating results of our segments. Adjusted Property EBITDA is net income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5"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Adjusted Property EBITDA (in thousands) for our Macau and Las Vegas Operations as reviewed by management and summarized in Item 1—"Notes to Condensed Consolidated Financial Statements," Note 16 "Segment Information." That footnote also presents a reconciliation of Adjusted Property EBITDA to net income (loss).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Macau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191,245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212,342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109,024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110,677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300,269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323,019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Adjusted Property EBITDA at our Macau Operations decreased year-over-year by 9.9% for the three months ended March 31, 2016, primarily due to the decline in casino revenues.</w:t>
      </w:r>
    </w:p>
    <w:p>
      <w:pPr>
        <w:spacing w:after="0" w:line="162"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Adjusted Property EBITDA at our Las Vegas Operations decreased year-over-year by 1.5% for the three months ended March 31, 2016, primarily due to a decline in operating income from our food and beverage operations.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the discussion above regarding the specific details of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Our operating cash flows primarily consist of our operating income generated by our Macau and Las Vegas Operations (excluding depreciation and other non-cash charges), interest paid and earned,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Net cash provided by operations for the three months ended March 31, 2016 was $115.4 million, compared to net cash used of $15.0 million for the three months ended March 31, 2015. The increase was primarily due to the change in ordinary working capital accounts.</w:t>
      </w: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2016 was $272.7 million, compared to $521.6 million for the same period in 2015. Capital expenditures, net of construction payables and retention, were $273.2 million and $519.6 million for the three months ended March 31, 2016 and 2015, respectively, primarily associated with Wynn Palace construction.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2016 was $184.8 million, compared to net cash used of $3.4 million for the three months ended March 31, 2015. During the three months ended March 31, 2016, our net cash provided by financing activities was mainly due to borrowings of $150.1 million under the Wynn Macau Senior Revolving Credit Facility and $100.3 million under the Wynn America Senior Term Loan Facility, primarily offset by dividends paid of $50.6 million. Net cash used in financing activities for the three months ended March 31, 2015 consisted primarily of $1.8 billion provided upon issuance of 5 1/2% Senior Notes due 2025, offset by the purchase of $1.42 billion of our 2020 Notes pursuant to a cash tender offer, dividends paid of $346.8 million and payments of $124.8 million in financing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As of March 31, 2016, we had approximately $2.11 billion of cash and cash equivalents and $251.9 million of available-for-sale investments in domestic debt securities and commercial paper. Cash and cash equivalents include cash on hand, cash in bank and fixed deposits, investments in money market funds, domestic and foreign bank time deposits and commercial paper, all with maturities of less than 90 days. Our cash is available for operations, debt service and retirement, development activities, general corporate purposes and enhancements to our resorts. Of these amounts, Wynn Macau, Limited (of which we own 72%) and its subsidiaries held $857.5 million in cash. If our portion of this cash was repatriated to the U.S. on March 31, 2016, it would be subject to minimal U.S. taxes in the year of repatriation. Wynn Las Vegas, LLC held cash balances of $73.9 million. Wynn Resorts, Limited (including its subsidiaries other than Wynn Las Vegas, LLC and Wynn Macau, Limited), which is not a guarantor of the debt of its subsidiaries, held $1.18 billion and $251.9 million of cash and available-for-sale investments, respectively.</w:t>
      </w:r>
    </w:p>
    <w:p>
      <w:pPr>
        <w:spacing w:after="0" w:line="185"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The Wynn Macau credit facilities consist of a $2.27 billion equivalent fully funded senior secured term loan facility and a $750.0 million equivalent senior secured revolving credit facility (together, the "Wynn Macau Credit Facilities"). Borrowings under the Wynn Macau Credit Facilities consist of both United States dollar and Hong Kong dollar tranches and were used to refinance Wynn Macau SA's existing indebtedness, and will be used to fund the construction and development of Wynn Palace and for general corporate purposes. As of March 31, 2016, we had $168.5 million of available borrowing capacity under the senior secured revolving credit facility.</w:t>
      </w:r>
    </w:p>
    <w:p>
      <w:pPr>
        <w:spacing w:after="0" w:line="18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Wynn America credit facilities consist of a $375 million senior secured revolving credit facility and an $875 million delay draw senior secured term loan facility (together, the "Wynn America Credit Facilities"). Borrowings under the Wynn America Credit Facilities will be used to fund the design, development, construction and pre-opening expenses of Wynn Boston Harbor and for general corporate purposes. As of March 31, 2016, we had borrowed $170.3 million of the delay draw senior secured term loan facility with the remaining $704.7 million available until June 30, 2016. As of March 31, 2016, we had $1.07 billion of available borrowing capacity under the senior secured revolving credit facility, which includes a reduction for outstanding letters of credit totaling $8.2 million.</w:t>
      </w:r>
    </w:p>
    <w:p>
      <w:pPr>
        <w:spacing w:after="0" w:line="188" w:lineRule="exact"/>
        <w:rPr>
          <w:sz w:val="20"/>
          <w:szCs w:val="20"/>
          <w:color w:val="auto"/>
        </w:rPr>
      </w:pPr>
    </w:p>
    <w:p>
      <w:pPr>
        <w:jc w:val="both"/>
        <w:ind w:right="220" w:firstLine="432"/>
        <w:spacing w:after="0" w:line="261" w:lineRule="auto"/>
        <w:rPr>
          <w:sz w:val="20"/>
          <w:szCs w:val="20"/>
          <w:color w:val="auto"/>
        </w:rPr>
      </w:pPr>
      <w:r>
        <w:rPr>
          <w:rFonts w:ascii="Times New Roman" w:cs="Times New Roman" w:eastAsia="Times New Roman" w:hAnsi="Times New Roman"/>
          <w:sz w:val="18"/>
          <w:szCs w:val="18"/>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 facilities and our existing cash balances. We intend to primarily fund our current development projects, Wynn Palace and Wynn Boston Harbor, with the available borrowing capacity under our bank credit facilities.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2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March 31, 2016, we had outstanding letters of credit totaling $8.2 million.</w:t>
      </w: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18" w:right="25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during the three months ended March 31, 2016 to our contractual obligations or off balance sheet arrangements as disclosed in our Annual Report on Form 10-K for the year ended December 31, 2015.</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27" w:lineRule="exact"/>
        <w:rPr>
          <w:sz w:val="20"/>
          <w:szCs w:val="20"/>
          <w:color w:val="auto"/>
        </w:rPr>
      </w:pPr>
    </w:p>
    <w:p>
      <w:pPr>
        <w:jc w:val="both"/>
        <w:ind w:right="60" w:firstLine="432"/>
        <w:spacing w:after="0" w:line="289" w:lineRule="auto"/>
        <w:rPr>
          <w:sz w:val="20"/>
          <w:szCs w:val="20"/>
          <w:color w:val="auto"/>
        </w:rPr>
      </w:pPr>
      <w:r>
        <w:rPr>
          <w:rFonts w:ascii="Times New Roman" w:cs="Times New Roman" w:eastAsia="Times New Roman" w:hAnsi="Times New Roman"/>
          <w:sz w:val="17"/>
          <w:szCs w:val="17"/>
          <w:color w:val="auto"/>
        </w:rPr>
        <w:t>Wynn Resorts is a holding company and, as a result, our ability to pay dividends is highly dependent on our ability to obtain funds and our subsidiaries' ability to provide funds to us. Wynn Las Vegas, LLC, Wynn America, LLC and Wynn Macau SA debt instruments contain customary negative covenants and financial covenants, including, but not limited to, covenants that restrict our ability to pay dividends or distributions to any direct or indirect subsidiaries.</w:t>
      </w:r>
    </w:p>
    <w:p>
      <w:pPr>
        <w:spacing w:after="0" w:line="158"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SA and Wynn Macau, Limited's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88"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14 "Commitments and Contingencies."</w:t>
      </w:r>
    </w:p>
    <w:p>
      <w:pPr>
        <w:spacing w:after="0" w:line="17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7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authorized an equity repurchase program. Under the equity repurchase program, we may repurchase the Company's outstanding shares from time to time through open market purchases, in privately negotiated transactions, and under plans complying with Rules 10b5-1 and 10b-18 under the Exchange Act. As a result of an increase in repurchase authority from the Board of Directors on April 14, 2016, we currently have authorization to repurchase up to $1 billion of the Company's outstanding shares.</w:t>
      </w:r>
    </w:p>
    <w:p>
      <w:pPr>
        <w:spacing w:after="0" w:line="180"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2015. There have been no significant changes to these policies for the three months ended March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related disclosure at Item 1—"Notes to Condensed Consolidated Financial Statements," 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18" w:right="25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2015 and other factors we describe from time to time in our periodic filings with the Securities and Exchange Commission ("SEC"), such as:</w:t>
      </w:r>
    </w:p>
    <w:p>
      <w:pPr>
        <w:spacing w:after="0" w:line="180" w:lineRule="exact"/>
        <w:rPr>
          <w:sz w:val="20"/>
          <w:szCs w:val="20"/>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w:t>
      </w:r>
    </w:p>
    <w:p>
      <w:pPr>
        <w:spacing w:after="0" w:line="27" w:lineRule="exact"/>
        <w:rPr>
          <w:rFonts w:ascii="Times New Roman" w:cs="Times New Roman" w:eastAsia="Times New Roman" w:hAnsi="Times New Roman"/>
          <w:sz w:val="18"/>
          <w:szCs w:val="18"/>
          <w:color w:val="auto"/>
        </w:rPr>
      </w:pPr>
    </w:p>
    <w:p>
      <w:pPr>
        <w:ind w:left="1960" w:right="220" w:hanging="655"/>
        <w:spacing w:after="0" w:line="250"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particularly in China, which may impact levels of travel, leisure and consumer spending;</w:t>
      </w:r>
    </w:p>
    <w:p>
      <w:pPr>
        <w:ind w:left="1960" w:right="400" w:hanging="655"/>
        <w:spacing w:after="0" w:line="265" w:lineRule="auto"/>
        <w:tabs>
          <w:tab w:leader="none" w:pos="19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960" w:right="20" w:hanging="655"/>
        <w:spacing w:after="0" w:line="250"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development and success of new gaming and resort properties (including limited labor resources in Macau and government labor and gaming policies, unexpected cost increases, environmental regulation and our ability to secure federal, state and local permits and approvals necessary for our construction projects);</w:t>
      </w:r>
    </w:p>
    <w:p>
      <w:pPr>
        <w:spacing w:after="0" w:line="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the promissory note we issued in connection with the redemption of Mr. Okada's shares;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on visitation by citizens of mainland China to Macau;</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of law by Mr. Kazuo Okada, a former shareholder of ours;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 regulatory or enforcement actions or probity investigations;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the anti-money laundering laws or Foreign Corrupt Practices Act;</w:t>
      </w:r>
    </w:p>
    <w:p>
      <w:pPr>
        <w:spacing w:after="0" w:line="9" w:lineRule="exact"/>
        <w:rPr>
          <w:rFonts w:ascii="Times New Roman" w:cs="Times New Roman" w:eastAsia="Times New Roman" w:hAnsi="Times New Roman"/>
          <w:sz w:val="18"/>
          <w:szCs w:val="18"/>
          <w:color w:val="auto"/>
        </w:rPr>
      </w:pPr>
    </w:p>
    <w:p>
      <w:pPr>
        <w:ind w:left="1960" w:right="640" w:hanging="655"/>
        <w:spacing w:after="0" w:line="250"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Macau gaming promoters;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960" w:right="540" w:hanging="655"/>
        <w:spacing w:after="0" w:line="250"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(including the Chinese government's ongoing anti-corruption campaign) and the cost of compliance or failure to comply with applicable laws and regulations;</w:t>
      </w: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foreign, or state tax laws or the administration of such laws;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misappropriation of customer information or other breaches of information security;</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funding under our credit facilities;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all provisions in our debt agreements;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(including sensitivity to fluctuations in interest rates);</w:t>
      </w:r>
    </w:p>
    <w:p>
      <w:pPr>
        <w:spacing w:after="0" w:line="9" w:lineRule="exact"/>
        <w:rPr>
          <w:rFonts w:ascii="Times New Roman" w:cs="Times New Roman" w:eastAsia="Times New Roman" w:hAnsi="Times New Roman"/>
          <w:sz w:val="18"/>
          <w:szCs w:val="18"/>
          <w:color w:val="auto"/>
        </w:rPr>
      </w:pPr>
    </w:p>
    <w:p>
      <w:pPr>
        <w:ind w:left="1960" w:right="100" w:hanging="655"/>
        <w:spacing w:after="0" w:line="250"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ability to pay us dividends and distributions;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 foreign locations such as Macau;</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legalization of gaming in certain jurisdictions; and</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exchange rates.</w:t>
      </w:r>
    </w:p>
    <w:p>
      <w:pPr>
        <w:spacing w:after="0" w:line="207"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w:t>
      </w: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Risks</w:t>
      </w:r>
    </w:p>
    <w:p>
      <w:pPr>
        <w:spacing w:after="0" w:line="227"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Swap Information</w:t>
      </w:r>
    </w:p>
    <w:p>
      <w:pPr>
        <w:spacing w:after="0" w:line="22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 change in swap fair value in our Condensed Consolidated Statements of Operations, as the swaps do not qualify for hedge accounting.</w:t>
      </w:r>
    </w:p>
    <w:p>
      <w:pPr>
        <w:spacing w:after="0" w:line="176"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$509.4 million) incurred under the Wynn Macau Senior Term Loan Facility in exchange for receipts on the same amount at a variable interest rate based on the applicable HIBOR at the time of payment. These interest rate swaps fix the all-in interest rate on such amounts at 2.23% to 2.98%. These interest rate swap agreements mature in July 2017.</w:t>
      </w:r>
    </w:p>
    <w:p>
      <w:pPr>
        <w:spacing w:after="0" w:line="18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Under the third swap agreement, we pay a fixed interest rate (excluding the applicable interest margin) of 0.68% on notional amounts corresponding to borrowings of $243.8 million incurred under the Wynn Macau Senior Term Loan Facility in exchange for receipts on the same amount at a variable-rate based on the applicable LIBOR at the time of payment. This interest rate swap fixes the all-in interest rate on such amounts at 2.18% to 2.93%. This interest rate swap agreement matures in July 2017.</w:t>
      </w:r>
    </w:p>
    <w:p>
      <w:pPr>
        <w:spacing w:after="0" w:line="180"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As of March 31, 2016, interest rate swaps of $1.2 million were included in other long-term liabilities in the accompanying Consolidated Balance Sheet. As of December 31, 2015, interest rate swaps of $0.7 million were included in other assets and $0.1 million were included in other long-term liabilities in the accompanying Consolidated Balance Sheet.</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As of March 31, 2016, approximately 76% of our long-term debt was based on fixed rates, including the notional amounts related to interest rate swaps. Based on our borrowings as of March 31, 2016, an assumed 100 basis point change in the variable rates would cause our annual interest cost to change by $22.6 million.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Risks</w:t>
      </w:r>
    </w:p>
    <w:p>
      <w:pPr>
        <w:spacing w:after="0" w:line="227"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8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Based on our balances at March 31, 2016, an assumed 1% change in the dollar/Hong Kong dollar exchange rate would cause a foreign currency transaction gain/loss of approximately $33.0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firstLine="440"/>
        <w:spacing w:after="0" w:line="253" w:lineRule="auto"/>
        <w:tabs>
          <w:tab w:leader="none" w:pos="6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92" w:lineRule="exact"/>
        <w:rPr>
          <w:rFonts w:ascii="Times New Roman" w:cs="Times New Roman" w:eastAsia="Times New Roman" w:hAnsi="Times New Roman"/>
          <w:sz w:val="18"/>
          <w:szCs w:val="18"/>
          <w:color w:val="auto"/>
        </w:rPr>
      </w:pPr>
    </w:p>
    <w:p>
      <w:pPr>
        <w:jc w:val="both"/>
        <w:ind w:right="60" w:firstLine="440"/>
        <w:spacing w:after="0" w:line="267" w:lineRule="auto"/>
        <w:tabs>
          <w:tab w:leader="none" w:pos="6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r>
        <w:rPr>
          <w:rFonts w:ascii="Times New Roman" w:cs="Times New Roman" w:eastAsia="Times New Roman" w:hAnsi="Times New Roman"/>
          <w:sz w:val="18"/>
          <w:szCs w:val="18"/>
          <w:color w:val="auto"/>
        </w:rPr>
        <w:t>. There were no changes in our internal control over financial reporting (as such term is defined in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118" w:right="27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14 "Commitments and Contingencies" of Part I in this Quarterly Report on Form 10-Q.</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CCAC Information Request</w:t>
      </w:r>
    </w:p>
    <w:p>
      <w:pPr>
        <w:spacing w:after="0" w:line="227"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In July 2014, Wynn Resorts (Macau) S.A. ("Wynn Macau SA"), an indirect subsidiary of Wynn Macau, Limited, was contacted by the Commission Against Corruption of Macau ("CCAC") requesting certain information related to its land in the Cotai area of Macau. Wynn Macau SA is cooperating with CCAC's request.</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of our Annual Report on Form 10-K for the year ended December 31, 2015. There were no material changes to those risk factors during the three months ended March 31, 2016.</w:t>
      </w:r>
    </w:p>
    <w:p>
      <w:pPr>
        <w:spacing w:after="0" w:line="23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In January 2016, we repurchased 115,299 shares in satisfaction of tax withholding obligations on vested restricted stock, at an average price of $51.50 per share, for a total expenditure of $6.0 million.</w:t>
      </w:r>
    </w:p>
    <w:p>
      <w:pPr>
        <w:spacing w:after="0" w:line="16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In February 2016, we repurchased 4,467 shares of tax withholding obligation on vested restricted stock, at an average price of $79.07 per share, for a total expenditure of $0.3 million.</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None of the foregoing repurchases that occurred during the three months ended March 31, 2016 were part of the Company's publicly announced plan or program.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60"/>
          </w:cols>
          <w:pgMar w:left="240" w:top="118" w:right="29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0" w:lineRule="exact"/>
        <w:rPr>
          <w:sz w:val="20"/>
          <w:szCs w:val="20"/>
          <w:color w:val="auto"/>
        </w:rPr>
      </w:pPr>
    </w:p>
    <w:p>
      <w:pPr>
        <w:ind w:left="1080" w:right="10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w:t>
        <w:tab/>
        <w:t>Third Amended and Restated Articles of Incorporation of the Registrant. (Incorporated by reference from the Quarterly Report on Form 10-Q filed by the Registrant on May 8, 2015.)</w:t>
      </w:r>
    </w:p>
    <w:p>
      <w:pPr>
        <w:spacing w:after="0" w:line="2" w:lineRule="exact"/>
        <w:rPr>
          <w:sz w:val="20"/>
          <w:szCs w:val="20"/>
          <w:color w:val="auto"/>
        </w:rPr>
      </w:pPr>
    </w:p>
    <w:p>
      <w:pPr>
        <w:ind w:left="1080" w:right="40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3.2</w:t>
        <w:tab/>
        <w:t>Eighth Amended and Restated Bylaws of the Registrant. (Incorporated by reference from the Quarterly Report on Form 10-Q filed by the Registrant on November 6, 2015.)</w:t>
      </w:r>
    </w:p>
    <w:p>
      <w:pPr>
        <w:spacing w:after="0" w:line="2" w:lineRule="exact"/>
        <w:rPr>
          <w:sz w:val="20"/>
          <w:szCs w:val="20"/>
          <w:color w:val="auto"/>
        </w:rPr>
      </w:pPr>
    </w:p>
    <w:p>
      <w:pPr>
        <w:ind w:left="1080" w:right="3640" w:hanging="58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*31.1</w:t>
        <w:tab/>
        <w:t>Certification of Chief Executive Officer of Periodic Report Pursuant to Rule 13a – 14(a) and Rule 15d – 14(a).</w:t>
      </w:r>
    </w:p>
    <w:p>
      <w:pPr>
        <w:spacing w:after="0" w:line="2" w:lineRule="exact"/>
        <w:rPr>
          <w:sz w:val="20"/>
          <w:szCs w:val="20"/>
          <w:color w:val="auto"/>
        </w:rPr>
      </w:pPr>
    </w:p>
    <w:p>
      <w:pPr>
        <w:ind w:left="1080" w:right="3700" w:hanging="58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*31.2</w:t>
        <w:tab/>
        <w:t>Certification of Chief Financial Officer of Periodic Report Pursuant to Rule 13a – 14(a) and Rule 15d – 14(a).</w:t>
      </w:r>
    </w:p>
    <w:p>
      <w:pPr>
        <w:spacing w:after="0" w:line="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Certification of CEO and CFO Pursuant to 18 U.S.C. Section 1350.</w:t>
      </w:r>
    </w:p>
    <w:p>
      <w:pPr>
        <w:spacing w:after="0" w:line="63" w:lineRule="exact"/>
        <w:rPr>
          <w:sz w:val="20"/>
          <w:szCs w:val="20"/>
          <w:color w:val="auto"/>
        </w:rPr>
      </w:pPr>
    </w:p>
    <w:p>
      <w:pPr>
        <w:ind w:left="1080" w:hanging="539"/>
        <w:spacing w:after="0" w:line="255" w:lineRule="auto"/>
        <w:tabs>
          <w:tab w:leader="none" w:pos="1060" w:val="left"/>
        </w:tabs>
        <w:rPr>
          <w:sz w:val="20"/>
          <w:szCs w:val="20"/>
          <w:color w:val="auto"/>
        </w:rPr>
      </w:pPr>
      <w:r>
        <w:rPr>
          <w:rFonts w:ascii="Times New Roman" w:cs="Times New Roman" w:eastAsia="Times New Roman" w:hAnsi="Times New Roman"/>
          <w:sz w:val="18"/>
          <w:szCs w:val="18"/>
          <w:color w:val="auto"/>
        </w:rPr>
        <w:t>*101</w:t>
        <w:tab/>
        <w:t>The following financial information from the Company's Quarterly Report on Form 10-Q for the quarter ended March 31, 2016, filed with the SEC on May 6, 2016 formatted in Extensible Business Reporting Language (XBRL): (i) the Condensed Consolidated Balance Sheets at March 31, 2016 and December 31, 2015, (ii) the Condensed Consolidated Statements of Operations for the three months ended March 31, 2016 and 2015, (iii) the Condensed Consolidated Statements of Comprehensive Income (Loss) for the three months ended March 31, 2016 and 2015,</w:t>
      </w:r>
    </w:p>
    <w:p>
      <w:pPr>
        <w:spacing w:after="0" w:line="3" w:lineRule="exact"/>
        <w:rPr>
          <w:sz w:val="20"/>
          <w:szCs w:val="20"/>
          <w:color w:val="auto"/>
        </w:rPr>
      </w:pPr>
    </w:p>
    <w:p>
      <w:pPr>
        <w:ind w:left="1080" w:right="240" w:hanging="5"/>
        <w:spacing w:after="0" w:line="261" w:lineRule="auto"/>
        <w:tabs>
          <w:tab w:leader="none" w:pos="13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 of Stockholders' Equity at March 31, 2016, (v) the Condensed Consolidated Statements of Cash Flows for the three months ended March 31, 2016 and 2015, and (vi) Notes to Condensed Consolidated Financial Statements.</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0"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470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118" w:right="27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Times New Roman" w:cs="Times New Roman" w:eastAsia="Times New Roman" w:hAnsi="Times New Roman"/>
          <w:sz w:val="18"/>
          <w:szCs w:val="18"/>
          <w:color w:val="auto"/>
        </w:rPr>
        <w:t>Dated: May 6,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780"/>
          </w:cols>
          <w:pgMar w:left="240" w:top="118" w:right="8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Wynn, certify that:</w:t>
      </w:r>
    </w:p>
    <w:p>
      <w:pPr>
        <w:spacing w:after="0" w:line="171" w:lineRule="exact"/>
        <w:rPr>
          <w:sz w:val="20"/>
          <w:szCs w:val="20"/>
          <w:color w:val="auto"/>
        </w:rPr>
      </w:pPr>
    </w:p>
    <w:p>
      <w:pPr>
        <w:ind w:left="820" w:hanging="812"/>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71" w:lineRule="exact"/>
        <w:rPr>
          <w:rFonts w:ascii="Times New Roman" w:cs="Times New Roman" w:eastAsia="Times New Roman" w:hAnsi="Times New Roman"/>
          <w:sz w:val="18"/>
          <w:szCs w:val="18"/>
          <w:color w:val="auto"/>
        </w:rPr>
      </w:pPr>
    </w:p>
    <w:p>
      <w:pPr>
        <w:jc w:val="both"/>
        <w:ind w:left="820" w:right="140" w:hanging="812"/>
        <w:spacing w:after="0" w:line="266"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right="120" w:hanging="812"/>
        <w:spacing w:after="0" w:line="266"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802"/>
        <w:spacing w:after="0" w:line="266"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802"/>
        <w:spacing w:after="0" w:line="282"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802"/>
        <w:spacing w:after="0" w:line="266"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820" w:right="20" w:hanging="812"/>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802"/>
        <w:spacing w:after="0" w:line="282"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802"/>
        <w:spacing w:after="0" w:line="282"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2016</w:t>
      </w:r>
    </w:p>
    <w:p>
      <w:pPr>
        <w:spacing w:after="0" w:line="25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Stephen A. Wynn</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657"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Cootey, certify that:</w:t>
      </w:r>
    </w:p>
    <w:p>
      <w:pPr>
        <w:spacing w:after="0" w:line="171" w:lineRule="exact"/>
        <w:rPr>
          <w:sz w:val="20"/>
          <w:szCs w:val="20"/>
          <w:color w:val="auto"/>
        </w:rPr>
      </w:pPr>
    </w:p>
    <w:p>
      <w:pPr>
        <w:ind w:left="820" w:hanging="812"/>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71" w:lineRule="exact"/>
        <w:rPr>
          <w:rFonts w:ascii="Times New Roman" w:cs="Times New Roman" w:eastAsia="Times New Roman" w:hAnsi="Times New Roman"/>
          <w:sz w:val="18"/>
          <w:szCs w:val="18"/>
          <w:color w:val="auto"/>
        </w:rPr>
      </w:pPr>
    </w:p>
    <w:p>
      <w:pPr>
        <w:jc w:val="both"/>
        <w:ind w:left="820" w:right="140" w:hanging="812"/>
        <w:spacing w:after="0" w:line="266"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right="120" w:hanging="812"/>
        <w:spacing w:after="0" w:line="266"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802"/>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802"/>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802"/>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820" w:right="20" w:hanging="812"/>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802"/>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802"/>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2016</w:t>
      </w:r>
    </w:p>
    <w:p>
      <w:pPr>
        <w:spacing w:after="0" w:line="25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657"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Resorts, Limited (the “Company”) for the quarter ended March 31, 2016 as filed with the Securities and Exchange Commission on the date hereof (the “Report”), Stephen A. Wynn, as Chief Executive Officer of the Company and Stephen Cootey, as Chief Financial Officer of the Company, each hereby certifies, pursuant to 18 U.S.C. Section 1350, as adopted pursuant to Section 906 of the Sarbanes-Oxley Act of 2002, that, to the best of their knowledge:</w:t>
      </w:r>
    </w:p>
    <w:p>
      <w:pPr>
        <w:spacing w:after="0" w:line="126"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9878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6, 2016</w:t>
            </w:r>
          </w:p>
        </w:tc>
      </w:tr>
      <w:tr>
        <w:trPr>
          <w:trHeight w:val="405"/>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Stephen Cootey</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Stephen Cootey</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6, 2016</w:t>
            </w:r>
          </w:p>
        </w:tc>
      </w:tr>
    </w:tbl>
    <w:p>
      <w:pPr>
        <w:spacing w:after="0" w:line="9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Roman"/>
      <w:start w:val="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2019-12-29T11:27:59Z</dcterms:created>
  <dcterms:modified xsi:type="dcterms:W3CDTF">2019-12-29T11:27:59Z</dcterms:modified>
</cp:coreProperties>
</file>