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580"/>
            <w:col w:w="786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98"/>
        </w:trPr>
        <w:tc>
          <w:tcPr>
            <w:tcW w:w="25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80"/>
          </w:cols>
          <w:pgMar w:left="240" w:top="230" w:right="379" w:bottom="1440" w:gutter="0" w:footer="0" w:header="0"/>
          <w:type w:val="continuous"/>
        </w:sectPr>
      </w:pPr>
    </w:p>
    <w:p>
      <w:pPr>
        <w:spacing w:after="0" w:line="132"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62" w:lineRule="exact"/>
        <w:rPr>
          <w:sz w:val="24"/>
          <w:szCs w:val="24"/>
          <w:color w:val="auto"/>
        </w:rPr>
      </w:pPr>
    </w:p>
    <w:p>
      <w:pPr>
        <w:sectPr>
          <w:pgSz w:w="11900" w:h="16838" w:orient="portrait"/>
          <w:cols w:equalWidth="0" w:num="3">
            <w:col w:w="4320" w:space="720"/>
            <w:col w:w="1240" w:space="720"/>
            <w:col w:w="428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380" w:space="180"/>
            <w:col w:w="260" w:space="80"/>
            <w:col w:w="160" w:space="180"/>
            <w:col w:w="2040"/>
          </w:cols>
          <w:pgMar w:left="240" w:top="230" w:right="3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Wynn Resorts Holdings, LLC owns all of the membership interests of the Registrant as of November 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gridSpan w:val="13"/>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00" w:type="dxa"/>
            <w:vAlign w:val="bottom"/>
          </w:tcPr>
          <w:p>
            <w:pPr>
              <w:spacing w:after="0"/>
              <w:rPr>
                <w:sz w:val="19"/>
                <w:szCs w:val="19"/>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2007 (unaudited) and December 31, 2006</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(unaudited) – Three and Nine months ended September 30, 2007 and 2006</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60" w:type="dxa"/>
            <w:vAlign w:val="bottom"/>
            <w:tcBorders>
              <w:top w:val="single" w:sz="8" w:color="0000EE"/>
            </w:tcBorders>
            <w:gridSpan w:val="1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(unaudited) – Nine months ended September 30, 2007 and 2006</w:t>
              </w:r>
            </w:hyperlink>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400" w:type="dxa"/>
            <w:vAlign w:val="bottom"/>
            <w:tcBorders>
              <w:top w:val="single" w:sz="8" w:color="0000EE"/>
            </w:tcBorders>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20" w:type="dxa"/>
            <w:vAlign w:val="bottom"/>
          </w:tcPr>
          <w:p>
            <w:pPr>
              <w:spacing w:after="0"/>
              <w:rPr>
                <w:sz w:val="24"/>
                <w:szCs w:val="24"/>
                <w:color w:val="auto"/>
              </w:rPr>
            </w:pP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0" w:type="dxa"/>
            <w:vAlign w:val="bottom"/>
          </w:tcPr>
          <w:p>
            <w:pPr>
              <w:spacing w:after="0"/>
              <w:rPr>
                <w:sz w:val="24"/>
                <w:szCs w:val="24"/>
                <w:color w:val="auto"/>
              </w:rPr>
            </w:pPr>
          </w:p>
        </w:tc>
        <w:tc>
          <w:tcPr>
            <w:tcW w:w="42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60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0" w:type="dxa"/>
            <w:vAlign w:val="bottom"/>
          </w:tcPr>
          <w:p>
            <w:pPr>
              <w:spacing w:after="0"/>
              <w:rPr>
                <w:sz w:val="24"/>
                <w:szCs w:val="24"/>
                <w:color w:val="auto"/>
              </w:rPr>
            </w:pPr>
          </w:p>
        </w:tc>
        <w:tc>
          <w:tcPr>
            <w:tcW w:w="172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Controls and Procedures</w:t>
              </w:r>
            </w:hyperlink>
          </w:p>
        </w:tc>
        <w:tc>
          <w:tcPr>
            <w:tcW w:w="808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43"/>
        </w:trPr>
        <w:tc>
          <w:tcPr>
            <w:tcW w:w="107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700" w:type="dxa"/>
            <w:vAlign w:val="bottom"/>
          </w:tcPr>
          <w:p>
            <w:pPr>
              <w:spacing w:after="0"/>
              <w:rPr>
                <w:sz w:val="24"/>
                <w:szCs w:val="24"/>
                <w:color w:val="auto"/>
              </w:rPr>
            </w:pPr>
          </w:p>
        </w:tc>
      </w:tr>
      <w:tr>
        <w:trPr>
          <w:trHeight w:val="286"/>
        </w:trPr>
        <w:tc>
          <w:tcPr>
            <w:tcW w:w="7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20" w:type="dxa"/>
            <w:vAlign w:val="bottom"/>
          </w:tcPr>
          <w:p>
            <w:pPr>
              <w:spacing w:after="0"/>
              <w:rPr>
                <w:sz w:val="24"/>
                <w:szCs w:val="24"/>
                <w:color w:val="auto"/>
              </w:rPr>
            </w:pP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892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20" w:type="dxa"/>
            <w:vAlign w:val="bottom"/>
          </w:tcPr>
          <w:p>
            <w:pPr>
              <w:spacing w:after="0"/>
              <w:rPr>
                <w:sz w:val="24"/>
                <w:szCs w:val="24"/>
                <w:color w:val="auto"/>
              </w:rPr>
            </w:pPr>
          </w:p>
        </w:tc>
        <w:tc>
          <w:tcPr>
            <w:tcW w:w="42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Unregistered Sales of Equity Securities and Use of Proceeds</w:t>
              </w:r>
            </w:hyperlink>
          </w:p>
        </w:tc>
        <w:tc>
          <w:tcPr>
            <w:tcW w:w="556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20" w:type="dxa"/>
            <w:vAlign w:val="bottom"/>
          </w:tcPr>
          <w:p>
            <w:pPr>
              <w:spacing w:after="0"/>
              <w:rPr>
                <w:sz w:val="24"/>
                <w:szCs w:val="24"/>
                <w:color w:val="auto"/>
              </w:rPr>
            </w:pPr>
          </w:p>
        </w:tc>
        <w:tc>
          <w:tcPr>
            <w:tcW w:w="980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00" w:type="dxa"/>
            <w:vAlign w:val="bottom"/>
            <w:gridSpan w:val="2"/>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Signature</w:t>
              </w:r>
            </w:hyperlink>
          </w:p>
        </w:tc>
        <w:tc>
          <w:tcPr>
            <w:tcW w:w="2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8"/>
          </w:tcPr>
          <w:p>
            <w:pPr>
              <w:jc w:val="right"/>
              <w:ind w:right="34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53,389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249,642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309,983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2,826,059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2,419,161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Intangibles assets,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67,789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3,332,248</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263,319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1,656,726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1,983,164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1,877,118</w:t>
            </w:r>
          </w:p>
        </w:tc>
        <w:tc>
          <w:tcPr>
            <w:tcW w:w="0" w:type="dxa"/>
            <w:vAlign w:val="bottom"/>
          </w:tcPr>
          <w:p>
            <w:pPr>
              <w:spacing w:after="0"/>
              <w:rPr>
                <w:sz w:val="1"/>
                <w:szCs w:val="1"/>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1,460,398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1,453,918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1,349,084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1,242,770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3,332,248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149,856</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$131,850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482,337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371,891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72,789</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69,278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342,932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310,249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1,081,840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938,683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(37,134)</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(109,927)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305,798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273,228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971,913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824,151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64,989</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60,468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46,545</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45,334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49,284</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44,707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4,588</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4,091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39,881</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36,225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270,155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251,109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(19,302)</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(29,150)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(65,707)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(18,895)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(83,683)</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16,908</w:t>
            </w:r>
          </w:p>
        </w:tc>
        <w:tc>
          <w:tcPr>
            <w:tcW w:w="2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 (15,864)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99,834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99,834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112,468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swap fair value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(21,832)</w:t>
            </w: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(4,981)</w:t>
            </w: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39,462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290,486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139,048</w:t>
            </w:r>
          </w:p>
        </w:tc>
        <w:tc>
          <w:tcPr>
            <w:tcW w:w="60" w:type="dxa"/>
            <w:vAlign w:val="bottom"/>
            <w:shd w:val="clear" w:color="auto" w:fill="CCEEFF"/>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(444,769)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(163,636)</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150,708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138,265</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(24,303)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(20,423)</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4,961</w:t>
            </w:r>
          </w:p>
        </w:tc>
        <w:tc>
          <w:tcPr>
            <w:tcW w:w="60" w:type="dxa"/>
            <w:vAlign w:val="bottom"/>
          </w:tcPr>
          <w:p>
            <w:pPr>
              <w:spacing w:after="0"/>
              <w:rPr>
                <w:sz w:val="18"/>
                <w:szCs w:val="18"/>
                <w:color w:val="auto"/>
              </w:rPr>
            </w:pP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(326,909)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(40,833)</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long-term debt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(128,101)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(413,744)</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133,476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313,629</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termination of interest rate swap</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Deferred financing costs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(98,082)</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93,820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62,772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6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to the public on</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April 28, 2005. In addition, the Company is constructing “Encore at Wynn Las Vegas” or “Encore.” Encore will be fully integrated with Wynn Las Vegas and is expected to open to the public in early 2009.</w:t>
      </w:r>
    </w:p>
    <w:p>
      <w:pPr>
        <w:spacing w:after="0" w:line="13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As of September 30, 2007, Wynn Las Vegas, LLC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193" w:lineRule="exact"/>
        <w:rPr>
          <w:sz w:val="20"/>
          <w:szCs w:val="20"/>
          <w:color w:val="auto"/>
        </w:rPr>
      </w:pPr>
    </w:p>
    <w:p>
      <w:pPr>
        <w:ind w:left="240" w:right="792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2007 and December 31,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2006, approximately 50% and 55%,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and nine months ended September 30, 2007 and 2006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&amp; beverage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38,726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880"/>
              <w:spacing w:after="0"/>
              <w:rPr>
                <w:sz w:val="20"/>
                <w:szCs w:val="20"/>
                <w:color w:val="auto"/>
              </w:rPr>
            </w:pPr>
            <w:r>
              <w:rPr>
                <w:rFonts w:ascii="Arial" w:cs="Arial" w:eastAsia="Arial" w:hAnsi="Arial"/>
                <w:sz w:val="18"/>
                <w:szCs w:val="18"/>
                <w:color w:val="auto"/>
              </w:rPr>
              <w:t>Total</w:t>
            </w:r>
          </w:p>
        </w:tc>
        <w:tc>
          <w:tcPr>
            <w:tcW w:w="4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21,611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21,572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63,336</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67,604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160" w:type="dxa"/>
            <w:vAlign w:val="bottom"/>
            <w:vMerge w:val="restart"/>
          </w:tcPr>
          <w:p>
            <w:pPr>
              <w:jc w:val="right"/>
              <w:ind w:right="22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2007 and 2006, advertising costs totaled approximately $3 million and $3.7 million, respectively. For the nine months ended September 30, 2007 and 2006, advertising costs totaled approximately $14.4 million and $14.5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2006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“Accounting for Uncertainty in Income Taxes”. This interpretation clarifies the accounting for uncertainty in income taxes recognized in a company’s financial statements in accordance with Statement of Financial Accounting Standards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consolidated financial statements.</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9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Interest paid for the nine months ended September 30, 2007 and 2006 totaled approximately $59 million and $66.5 million, respectively. Interest capitalized for the nine months ended September 30, 2007 and 2006 totaled approximately $20.1 million and $3.6 million, respectively.</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Encore that was capitalized into construction in progress for the nine months ended September 30, 2007 and 2006 totaled approximately $569,000 and $1 million,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nine months ended September 30, 2007 and 2006, capital expenditures includes an approximately $68.5 million increase and a $7.9 million decrease,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115,735</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141,632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94,751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603,837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1,204,551</w:t>
            </w:r>
          </w:p>
        </w:tc>
        <w:tc>
          <w:tcPr>
            <w:tcW w:w="5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1,164,947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Airplanes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644,045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614,676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642,671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214,574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3,139,358</w:t>
            </w:r>
          </w:p>
        </w:tc>
        <w:tc>
          <w:tcPr>
            <w:tcW w:w="5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2,641,741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(313,299)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(222,580)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2,826,059</w:t>
            </w:r>
          </w:p>
        </w:tc>
        <w:tc>
          <w:tcPr>
            <w:tcW w:w="5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$ 2,419,161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As of September 30, 2007 and December 31, 2006, construction in progress includes interest and other costs capitalized in conjunction with Encore. 9</w:t>
      </w:r>
    </w:p>
    <w:p>
      <w:pPr>
        <w:sectPr>
          <w:pgSz w:w="11900" w:h="16838" w:orient="portrait"/>
          <w:cols w:equalWidth="0" w:num="1">
            <w:col w:w="11060"/>
          </w:cols>
          <w:pgMar w:left="24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12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860" w:type="dxa"/>
            <w:vAlign w:val="bottom"/>
          </w:tcPr>
          <w:p>
            <w:pPr>
              <w:jc w:val="right"/>
              <w:spacing w:after="0"/>
              <w:rPr>
                <w:sz w:val="20"/>
                <w:szCs w:val="20"/>
                <w:color w:val="auto"/>
              </w:rPr>
            </w:pPr>
            <w:r>
              <w:rPr>
                <w:rFonts w:ascii="Arial" w:cs="Arial" w:eastAsia="Arial" w:hAnsi="Arial"/>
                <w:sz w:val="18"/>
                <w:szCs w:val="18"/>
                <w:color w:val="auto"/>
              </w:rPr>
              <w:t>91,476</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7"/>
              </w:rPr>
              <w:t>$225 million Term Loan Facility; $112.5 million due September 30, 2012 with remaining $112.5 million due August 15,</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16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1,657,776</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22"/>
        </w:trPr>
        <w:tc>
          <w:tcPr>
            <w:tcW w:w="9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$ 1,656,726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$ 1,647,092</w:t>
            </w:r>
          </w:p>
        </w:tc>
        <w:tc>
          <w:tcPr>
            <w:tcW w:w="8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2007, the Company amended its $900 million Revolving Credit Facility and its $225 million Term Loan Facility (together the “Wynn Las Vegas Credit Facilities,” or the “Credit Facilities”) to: (a) have the Final Completion as defined in the Credit Facilities, be deemed satisfied for Wynn Las Vegas with the resulting release of (i) all amounts in excess of $30 million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2007, the Company amended the Wynn Las Vegas Credit Facilities to (a) permit the issuance of up to $500 million of secured indebtedness,</w:t>
      </w:r>
    </w:p>
    <w:p>
      <w:pPr>
        <w:spacing w:after="0" w:line="38" w:lineRule="exact"/>
        <w:rPr>
          <w:sz w:val="20"/>
          <w:szCs w:val="20"/>
          <w:color w:val="auto"/>
        </w:rPr>
      </w:pPr>
    </w:p>
    <w:p>
      <w:pPr>
        <w:ind w:right="80" w:firstLine="8"/>
        <w:spacing w:after="0" w:line="254"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 certain language related to the inter-company loan made by Wynn Las Vegas to Wynn Resorts (Macau) S.A. and (c) amend certain provisions governing Wynn Las Vegas’ insurance related obligations. Also in October 2007, pursuant to the Wynn Las Vegas Credit Facilities, Wynn Las Vegas entered into a pre-agreed upon form of Amended and Restated Master Disbursement Agreement with Deutsche Bank Trust Company Americas as Bank Agent and Disbursement Agent.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aircrafts.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the Company was in compliance with all covenants governing the Company’s debt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which opened to the public on September 6, 2006. Wynn Macau, S.A. repaid to Wynn Resorts all amounts outstanding in November 2006. Interest accrues at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7.5% per annum. Unpaid principal and interest is due at maturity on August 15, 2012. Included in the balances as of September 30, 2007 and December 31, 2006, was approximately $6.9 million and $2.4 million, respectively, of accrued interest receivable related to this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September 30, 2007, the Company’s net due to affiliates was primarily comprised of construction payables of approximately $66.6 million, construction retention of approximately $30.8 million, a management fee of approximately $42.5 million (equal to 1.5% of revenues and payable upon meeting certain leverage ratios as specified in the documents governing the Company’s Credit Facilities), and other net amounts receivable from affiliates totaling $14 million (including corporate allocations discussed below).</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a reasonable estimate of the utilization of services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three months ended September 30, 2007 and 2006, approximately $5.6 million and $4.6 million, respectfully, was charged to the Company for such allocations. During the nine months ended September 30, 2007 and 2006, approximately $16.4 million and $12 million, respectively, was charged to the Company for such corporate allocations.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 amounts on deposit with Wynn Resorts to prepay any such items, which are replenished on an ongoing basis as needed. As of September 30, 2007 and December 31, 2006, Wynn Resorts owed Mr. Wynn and the other officers approximately $326,000 and $315,000,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72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the Koval property, an associated pedestrian bridge and costs incurred in connection with the theatre remodeling and production of “Monty Python’s Spamalot” at Wynn Las Vegas. The project is being funded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executed the First Amendment to the Contract which set the guaranteed maximum price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Through September 30, 2007, the Company incurred approximately $775.8 million of project costs related to the development and construction of Encore and related capital improvements.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6, in April 2007, all amounts in excess of $30 million were released as a result of the April 2007 amendment to the Credit Facilities. The remaining $30 million is retained as Encore’s completion guarantee.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also deposited $30 million from the net proceeds of the initial public offering of the Company’s common stock into a liquidity reserve account to secure the completion and opening of Wynn Las Vegas. All funds in this account were released as a result of the April 2007 amendment to the Credit Facilities.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released funds from the completion guarantee and the liquidity reserve are expected to be applied to construction costs to be incurred in connection with Encore.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xml:space="preserve"> First Mortgage Notes</w:t>
      </w:r>
    </w:p>
    <w:p>
      <w:pPr>
        <w:spacing w:after="0" w:line="112" w:lineRule="exact"/>
        <w:rPr>
          <w:sz w:val="20"/>
          <w:szCs w:val="20"/>
          <w:color w:val="auto"/>
        </w:rPr>
      </w:pPr>
    </w:p>
    <w:p>
      <w:pPr>
        <w:ind w:firstLine="456"/>
        <w:spacing w:after="0" w:line="355" w:lineRule="auto"/>
        <w:rPr>
          <w:sz w:val="20"/>
          <w:szCs w:val="20"/>
          <w:color w:val="auto"/>
        </w:rPr>
      </w:pPr>
      <w:r>
        <w:rPr>
          <w:rFonts w:ascii="Arial" w:cs="Arial" w:eastAsia="Arial" w:hAnsi="Arial"/>
          <w:sz w:val="15"/>
          <w:szCs w:val="15"/>
          <w:color w:val="auto"/>
        </w:rPr>
        <w:t xml:space="preserve">On November 6, 2007, the Issuers completed a private offering of $400 million aggregate principal amount of their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due 2014 at a price of 97.25% of the principal amount. The notes were issued under the same indenture as the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First Mortgage Notes previously issued by the Issuers.</w:t>
      </w:r>
    </w:p>
    <w:p>
      <w:pPr>
        <w:spacing w:after="0" w:line="42"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The notes rank pari passu with, and will vote on any matter submitted to noteholders with, the previously issued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The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publicly traded notes that have substantially identical terms as the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September 30, 2007 and December 31, 2006, and for the three and nine months ended September 30, 2007 and 2006.</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3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Issuers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Entries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62,770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16,113</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53,389</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22,230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249,250</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86,879</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2,621,326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204,733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2,826,059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20,166</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39,868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63,168</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3,079,484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220,895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30,696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3,332,248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33,365</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43,918</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19,241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71,469</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(123,724)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186,514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74,583</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188,736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1,616,476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39,341</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1,730,400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228,986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1,983,164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(deficit):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1,460,398</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1,460,398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(111,314)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(20,621)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 (deficit)</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1,349,084</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1,349,084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3,079,484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220,895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3,332,248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00" w:type="dxa"/>
            <w:vAlign w:val="bottom"/>
            <w:vMerge w:val="restart"/>
          </w:tcPr>
          <w:p>
            <w:pPr>
              <w:jc w:val="right"/>
              <w:ind w:right="152"/>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309,590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2,219,360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199,801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56,360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2,855,972</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8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175,664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182,163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1,613,892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30,000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1,613,202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215,363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(deficit):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1,453,918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 (deficit)</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1,242,770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2,855,972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149,856</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343,092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342,932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promotional allowances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(37,134)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305,958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305,798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269,372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943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270,155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160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(18,601)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(18,578)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(18,895)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vMerge w:val="continue"/>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16,908</w:t>
            </w:r>
          </w:p>
        </w:tc>
        <w:tc>
          <w:tcPr>
            <w:tcW w:w="30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(1,484)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384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gridSpan w:val="3"/>
          </w:tcPr>
          <w:p>
            <w:pPr>
              <w:jc w:val="right"/>
              <w:ind w:right="393"/>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$131,850</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310,570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310,249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promotional allowances</w:t>
            </w:r>
          </w:p>
        </w:tc>
        <w:tc>
          <w:tcPr>
            <w:tcW w:w="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273,549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273,228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60,468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45,334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45,047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44,707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34,996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250,220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251,109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321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22,301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(28,311)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rPr>
              <w:t>(4,225)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(38,165)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(15,864)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(15,864)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gridSpan w:val="2"/>
          </w:tcPr>
          <w:p>
            <w:pPr>
              <w:jc w:val="right"/>
              <w:ind w:right="394"/>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482,337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215,387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232,279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1,082,564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1,081,840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(109,927)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(109,927)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972,637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202,320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145,513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106,887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152,187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14,610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108,220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811,956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157,463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(57,629)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b w:val="1"/>
                <w:bCs w:val="1"/>
                <w:color w:val="auto"/>
                <w:w w:val="81"/>
              </w:rPr>
              <w:t>Subsidiaries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371,891</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371,891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221,598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939,686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938,683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(114,532)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825,154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824,151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181,624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133,031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108,661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756,109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(89,561)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(83,683)</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(16,855)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Arial" w:cs="Arial" w:eastAsia="Arial" w:hAnsi="Arial"/>
                <w:sz w:val="18"/>
                <w:szCs w:val="18"/>
                <w:color w:val="auto"/>
                <w:w w:val="99"/>
              </w:rPr>
              <w:t>20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99,834</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(4,758)</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1,540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3,218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99,834</w:t>
            </w:r>
          </w:p>
        </w:tc>
        <w:tc>
          <w:tcPr>
            <w:tcW w:w="60" w:type="dxa"/>
            <w:vAlign w:val="bottom"/>
          </w:tcPr>
          <w:p>
            <w:pPr>
              <w:spacing w:after="0"/>
              <w:rPr>
                <w:sz w:val="18"/>
                <w:szCs w:val="18"/>
                <w:color w:val="auto"/>
              </w:rPr>
            </w:pP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108,220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112,468</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08"/>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60" w:type="dxa"/>
            <w:vAlign w:val="bottom"/>
            <w:shd w:val="clear" w:color="auto" w:fill="CCEEFF"/>
          </w:tcPr>
          <w:p>
            <w:pPr>
              <w:spacing w:after="0"/>
              <w:rPr>
                <w:sz w:val="19"/>
                <w:szCs w:val="19"/>
                <w:color w:val="auto"/>
              </w:rPr>
            </w:pPr>
          </w:p>
        </w:tc>
      </w:tr>
      <w:tr>
        <w:trPr>
          <w:trHeight w:val="208"/>
        </w:trPr>
        <w:tc>
          <w:tcPr>
            <w:tcW w:w="5180" w:type="dxa"/>
            <w:vAlign w:val="bottom"/>
          </w:tcPr>
          <w:p>
            <w:pPr>
              <w:ind w:left="440"/>
              <w:spacing w:after="0"/>
              <w:rPr>
                <w:sz w:val="20"/>
                <w:szCs w:val="20"/>
                <w:color w:val="auto"/>
              </w:rPr>
            </w:pPr>
            <w:r>
              <w:rPr>
                <w:rFonts w:ascii="Arial" w:cs="Arial" w:eastAsia="Arial" w:hAnsi="Arial"/>
                <w:sz w:val="18"/>
                <w:szCs w:val="18"/>
                <w:color w:val="auto"/>
              </w:rPr>
              <w:t>Equity in (income) loss from unconsolidated affiliates, net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180" w:type="dxa"/>
            <w:vAlign w:val="bottom"/>
          </w:tcPr>
          <w:p>
            <w:pPr>
              <w:ind w:left="660"/>
              <w:spacing w:after="0"/>
              <w:rPr>
                <w:sz w:val="20"/>
                <w:szCs w:val="20"/>
                <w:color w:val="auto"/>
              </w:rPr>
            </w:pPr>
            <w:r>
              <w:rPr>
                <w:rFonts w:ascii="Arial" w:cs="Arial" w:eastAsia="Arial" w:hAnsi="Arial"/>
                <w:sz w:val="18"/>
                <w:szCs w:val="18"/>
                <w:color w:val="auto"/>
              </w:rPr>
              <w:t>of distributions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4,105</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rPr>
              <w:t>Inventories, prepaid expenses and other</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(4,953)</w:t>
            </w: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60" w:type="dxa"/>
            <w:vAlign w:val="bottom"/>
            <w:shd w:val="clear" w:color="auto" w:fill="CCEEFF"/>
          </w:tcPr>
          <w:p>
            <w:pPr>
              <w:spacing w:after="0"/>
              <w:rPr>
                <w:sz w:val="18"/>
                <w:szCs w:val="18"/>
                <w:color w:val="auto"/>
              </w:rPr>
            </w:pPr>
          </w:p>
        </w:tc>
      </w:tr>
      <w:tr>
        <w:trPr>
          <w:trHeight w:val="223"/>
        </w:trPr>
        <w:tc>
          <w:tcPr>
            <w:tcW w:w="51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9"/>
                <w:szCs w:val="19"/>
                <w:color w:val="auto"/>
              </w:rPr>
            </w:pPr>
          </w:p>
        </w:tc>
      </w:tr>
      <w:tr>
        <w:trPr>
          <w:trHeight w:val="208"/>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294,223</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290,486</w:t>
            </w:r>
          </w:p>
        </w:tc>
        <w:tc>
          <w:tcPr>
            <w:tcW w:w="60" w:type="dxa"/>
            <w:vAlign w:val="bottom"/>
            <w:shd w:val="clear" w:color="auto" w:fill="CCEEFF"/>
          </w:tcPr>
          <w:p>
            <w:pPr>
              <w:spacing w:after="0"/>
              <w:rPr>
                <w:sz w:val="19"/>
                <w:szCs w:val="19"/>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(435,589)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(444,769)</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127,473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23,235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150,708</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(19,696)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(24,303)</w:t>
            </w: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Due (to) from affiliates</w:t>
            </w:r>
          </w:p>
        </w:tc>
        <w:tc>
          <w:tcPr>
            <w:tcW w:w="1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16,280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(24,775)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(8,545)</w:t>
            </w:r>
          </w:p>
        </w:tc>
      </w:tr>
      <w:tr>
        <w:trPr>
          <w:trHeight w:val="208"/>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investing</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(327,862)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(326,909)</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(88,892)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(39,209)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(128,101)</w:t>
            </w: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133,476</w:t>
            </w:r>
          </w:p>
        </w:tc>
        <w:tc>
          <w:tcPr>
            <w:tcW w:w="60" w:type="dxa"/>
            <w:vAlign w:val="bottom"/>
          </w:tcPr>
          <w:p>
            <w:pPr>
              <w:spacing w:after="0"/>
              <w:rPr>
                <w:sz w:val="19"/>
                <w:szCs w:val="19"/>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(31,055)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(31,048)</w:t>
            </w: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9"/>
                <w:szCs w:val="19"/>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62,770</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62,772</w:t>
            </w:r>
          </w:p>
        </w:tc>
        <w:tc>
          <w:tcPr>
            <w:tcW w:w="6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Issuers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(16,855)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1,788</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(loss) to net cash provided by (used 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108,661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Loss on extingquishment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00" w:type="dxa"/>
            <w:vAlign w:val="bottom"/>
          </w:tcPr>
          <w:p>
            <w:pPr>
              <w:ind w:left="440"/>
              <w:spacing w:after="0"/>
              <w:rPr>
                <w:sz w:val="20"/>
                <w:szCs w:val="20"/>
                <w:color w:val="auto"/>
              </w:rPr>
            </w:pPr>
            <w:r>
              <w:rPr>
                <w:rFonts w:ascii="Arial" w:cs="Arial" w:eastAsia="Arial" w:hAnsi="Arial"/>
                <w:sz w:val="18"/>
                <w:szCs w:val="18"/>
                <w:color w:val="auto"/>
              </w:rPr>
              <w:t>Equity in (income) loss from unconsolidated affiliates, net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swap fair value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(21,566)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0" w:type="dxa"/>
            <w:vAlign w:val="bottom"/>
          </w:tcPr>
          <w:p>
            <w:pPr>
              <w:spacing w:after="0"/>
              <w:rPr>
                <w:sz w:val="1"/>
                <w:szCs w:val="1"/>
                <w:color w:val="auto"/>
              </w:rPr>
            </w:pPr>
          </w:p>
        </w:tc>
      </w:tr>
      <w:tr>
        <w:trPr>
          <w:trHeight w:val="216"/>
        </w:trPr>
        <w:tc>
          <w:tcPr>
            <w:tcW w:w="5500" w:type="dxa"/>
            <w:vAlign w:val="bottom"/>
          </w:tcPr>
          <w:p>
            <w:pPr>
              <w:ind w:left="880"/>
              <w:spacing w:after="0"/>
              <w:rPr>
                <w:sz w:val="20"/>
                <w:szCs w:val="20"/>
                <w:color w:val="auto"/>
              </w:rPr>
            </w:pPr>
            <w:r>
              <w:rPr>
                <w:rFonts w:ascii="Arial" w:cs="Arial" w:eastAsia="Arial" w:hAnsi="Arial"/>
                <w:sz w:val="18"/>
                <w:szCs w:val="18"/>
                <w:color w:val="auto"/>
              </w:rPr>
              <w:t>Inventories, prepaid expenses and 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880"/>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(134,864)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(163,636)</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140,053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(20,409)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Due (to) from affiliates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(28,566)</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33,527</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(43,786)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(40,833)</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(410,000)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(413,744)</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313,629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termination of interest rate swap</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(4,572)</w:t>
            </w: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(94,338)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(98,082)</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87,787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2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at Wynn Las Vegas (“Encore”), a hotel casino resort which, when completed, will be fully integrated with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Cartier, Graff, Louis Vuitton, and Manolo Blahnik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two nightclubs and lounges.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in March 2007.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recorded net income for the three and nine months ended September 30, 2007 of $16.9 million and $99.8 million, respectively, which represents a $32.8 million increase and an $116.7 million increase, respectively, from the net losses incurred during the comparative three and nine month periods of 2006. These increases are due to significant increases in revenues and operating income primarily related to our casino operations.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September 30, 2007 compared to the three months ended September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revenues for the three months ended September 30, 2007 are comprised of $149.9 million in casino revenues (49% of total net revenues) and $155.9 million of net non-casino revenues (51% of total net revenues). Net revenues for the three months ended September 30, 2006 were comprised of $131.9 million in casino revenues (48.3% of total net revenues) and $141.3 million of net non-casino revenues (51.7% of total net revenues). We believe the quality of our resort’s non-casino amenities, combined with providing guests an unparalleled total resort experience, has driven a premium in ADR and other non-gaming revenues as well as increased the length of casino play.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2007 of approximately $149.9 million represent approximately an $18 million (or 13.7%) increase from casino revenues of $131.9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2006. During the three months ended September 30, 2007, we experienced a 3.8% increase in drop and the average 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games win percentage (before discounts) of 26.4% was above the expected range of 21% to 24%. Table games win percentage was 22.3%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2006. Slot handle at Wynn Las Vegas decreased 4.7% during the three months ended September 30, 2007 as compared to 2006, and the slot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win percentage was within the expected range of 4.5% to 5.5%.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months ended September 30, 2007, room revenues were approximately $68 million, which represents a $3.7 million (or 5.7%) increase over the $64.3 million generated in the three months ended September 30, 2006. This increase is due to an increase in both occupancy and average daily rate as compared to the prior year. See the table below for key operating measures related to room revenue.</w:t>
      </w:r>
    </w:p>
    <w:p>
      <w:pPr>
        <w:spacing w:after="0" w:line="176"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September 30,</w:t>
      </w:r>
    </w:p>
    <w:tbl>
      <w:tblPr>
        <w:tblLayout w:type="fixed"/>
        <w:tblInd w:w="460" w:type="dxa"/>
        <w:tblCellMar>
          <w:top w:w="0" w:type="dxa"/>
          <w:left w:w="0" w:type="dxa"/>
          <w:bottom w:w="0" w:type="dxa"/>
          <w:right w:w="0" w:type="dxa"/>
        </w:tblCellMar>
      </w:tblPr>
      <w:tr>
        <w:trPr>
          <w:trHeight w:val="143"/>
        </w:trPr>
        <w:tc>
          <w:tcPr>
            <w:tcW w:w="8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3"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non-casino revenues for the three months ended September 30, 2007 include: food and beverage revenues of approximately $72.8 million, retail revenues of approximately $23.8 million, entertainment revenues of approximately $17 million, and other revenues from outlets, including the spa and salon, of approximately $11.5 million. Other non-gaming revenues for the three months ended September 30, 2006 included food and beverage revenues of approximately $69.3 million, retail revenues of approximately $19.2 million, entertainment revenues of approximately $14.1 million, and other revenues from outlets, including the spa and salon, of approximately $11.5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During the three months ended September 30, 2007, departmental expenses included casino expenses of $65 million, rooms expenses of $19.3 million, food and beverage expenses of $46.5 million, and entertainment, retail and other expenses of $37.8 million. Also included are general and administrative expenses of approximately $49.3 million and approximately $3.9 million charged as a provision for doubtful accounts receivable. During the three months ended September 30, 2006, departmental expenses included casino expenses of $60.5 million, rooms expenses of $17.7 million, food and beverage expenses of $45.3 million, and entertainment, retail and other expenses of $31.1 million. Also included are general and administrative expenses of approximately $44.7 million and approximately $4.8 million charged as a provision for doubtful accounts receivable. The increase in expenses is commensurate with the increase in revenues.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accrued for the quarter ended September 30, 2007 were $4.6 million, compared to $4.1 million for the quarter ended September 30, 2006.</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Pre-opening costs for the three months ended September 30, 2007 were $1.4 million compared to $982,000 for the three months ended September 30, 2006. Pre-opening costs for the three months ended September 30, 2007 were incurred with the development of Encore. As Encore progresses, pre-opening costs related to this project will increase as opening approaches in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Depreciation and amortization for the three months ended September 30, 2007 of $39.9 million increased by $3.7 million when compared to the three months ended September 30, 2006, primarily due to the addition of a new employee parking garage and the amortization of additional show production costs.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Property charges and other for the three months ended September 30, 2007 was $2.4 million compared to $5.7 million for the three months ended September 30, 2006. In response to our evaluation of Wynn Las Vegas and the reactions of our guests, we continue to make enhancements to the property. The costs relating to assets retired as a result of these enhancement and remodel efforts are expensed as property charges.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Interest income decreased by $3.2 million to $2.6 million for the three months ended September 30, 2007 compared to the three months ended September 30, 2006. This decrease is primarily due to reduced average restricted cash balances during the three months ended September 30, 2007 compared to the prior year’s quarter as a result of spending related to the development and construction of Encore.</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expense, net of capitalized interest of $9.5 million, was $19.3 million for the three months ended September 30, 2007 compared to $29.2 million, net of capitalized interest of $2.2 million during the three months ended September 30, 2006. This decrease is due to lower average debt balances and lower interest rates as a result of the August 2006 bank refinancing and increased capitalized interest of $7.3 million due to the continuing construction costs of Encore. Capitalized interest continues to increase with the ongoing borrowings and construction costs related to Encore.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an increase (or decrease) to the swap fair value in each period. We recorded an expense of approximately $2.2 million for the three months ended September 30, 2007 resulting from the decrease in the fair value of our interest rate swap from June 30, 2007 to September 30, 2007. During the three months ended September 30, 2006 we recorded an expense of $4.2 million resulting from the decrease in the fair value of interest rate swap between June 30, 2006 and September 30, 2006. For further information on our interest rate swaps, see Item 3 –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nine months ended September 30, 2007 compared to the nine months ended September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revenues for the nine months ended September 30, 2007 are comprised of $482.3 million in casino revenues (49.6% of total net revenues) and $489.6 million of net non-casino revenues (50.4% of total net revenues). Net revenues for the nine months ended September 30, 2006 were comprised of $371.9 million in casino revenues (45.1% of total net revenues) and $452.3 million of net non-casino revenues (54.9% of total net revenues). We believe the quality of our resort’s non-casino amenities, combined with providing guests an unparalleled total resort experience, has driven a premium in ADR and other non-gaming revenues as well as increased the length of casino play.</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Casino revenues for the nine months ended September 30, 2007 of approximately $482.3 million represent approximately a $110.4 million (or 29.7%) increase from casino revenues of $371.9 million for the nine months ended September 30, 2006. During the nine months ended September 30, 2007, we experienced a 12.3% increase in drop and an increase in the average table games win percentage compared to the nine months ended September 30, 2006. The average table games win percentage (before discounts) of 26.0% was above the expected range of 21% to 24% for the nine months ended September 30, 2007. For the nine months ended September 30, 2006, our average table games win percentage (before discounts) was 20.6%. Slot handle at Wynn Las Vegas increased 1.2% during the nine months ended September 30, 2007 as compared to September 30, 2006, and the slot win percentage was within the expected range of 4.5% to 5.5%.</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the nine months ended September 30, 2007, room revenues were approximately $215.4 million, which represents a $13.7 million (or 6.8%) increase over the $201.7 million generated in the nine months ended September 30, 2006. This increase is due to an increase in both occupancy and average daily rate as compared to the prior year. See the table below for key operating measures related to room revenue.</w:t>
      </w:r>
    </w:p>
    <w:p>
      <w:pPr>
        <w:spacing w:after="0" w:line="143"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September 30,</w:t>
      </w:r>
    </w:p>
    <w:tbl>
      <w:tblPr>
        <w:tblLayout w:type="fixed"/>
        <w:tblInd w:w="460" w:type="dxa"/>
        <w:tblCellMar>
          <w:top w:w="0" w:type="dxa"/>
          <w:left w:w="0" w:type="dxa"/>
          <w:bottom w:w="0" w:type="dxa"/>
          <w:right w:w="0" w:type="dxa"/>
        </w:tblCellMar>
      </w:tblPr>
      <w:tr>
        <w:trPr>
          <w:trHeight w:val="143"/>
        </w:trPr>
        <w:tc>
          <w:tcPr>
            <w:tcW w:w="48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Occupancy</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non-casino revenues for the nine months ended September 30, 2007 include: food and beverage revenues of approximately $232.3 million, retail revenues of approximately $68 million, entertainment revenues of approximately $46.7 million, and other revenues from outlets including the spa and salon, of approximately $37.1 million. Other non-gaming revenues for the nine months ended September 30, 2006 included food and beverage revenues of approximately $221.6 million, retail revenues of approximately $55.6 million, entertainment revenues of approximately $51.6 million, and other revenues from outlets, including the spa and salon, of approximately $36.3 million. The decrease in entertainment revenue is due to the closure of LeReve for approximately one month for renovations made to the theatre.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During the nine months ended September 30, 2007, departmental expenses included casino expenses of $202.3 million, rooms expenses of $57.8 million, food and beverage expenses of $145.5 million, and entertainment, retail and other expenses of $106.9 million. Also included are general and administrative expenses of approximately $150.4 million and approximately $16.6 million charged as a provision for doubtful accounts receivable. During the nine months ended September 30, 2006, departmental expenses included casino expenses of $181.6 million, rooms expenses of $52.8 million, food and beverage expenses of $139.5 million, and entertainment, retail and other expenses of $97.4 million. Also included are general and administrative expenses of approximately $131.1 million and approximately $11.4 million charged as a provision for doubtful accounts receivable. The increase in expenses is commensurate with the increase in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accrued for the nine months ended September 30, 2007 were $14.6 million, compared to $12.4 million for the nine months ended September 30,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Pre-opening costs for the nine months ended September 30, 2007 were $3.8 million compared to $1.2 million for the nine months ended September 30, 2006. Pre-opening costs for the nine months ended September 30, 2007 were incurred with the opening of the new show “Monty Python’s Spamalot” and the development of Encore. As Encore progresses, pre-opening costs related to this project will increase as opening approaches in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Depreciation and amortization for the nine months ended September 30, 2007 of $112.5 million was relatively stable decreasing by $325,000 when compared to the nine months ended September 30,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February 2006, we agreed with the producers of Avenue Q to end their exclusive Las Vegas run at Wynn Las Vegas’ Broadway Theatre at the end of May 2006. To terminate the contract, we paid a termination fee of $5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Property charges and other for the nine months ended September 30, 2007 of $4.1 million decreased by approximately $9 million when compared to the nine months ended September 30, 2006.</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nine months ended September 30, 2007, the $4.1 million incurred primarily related to enhancements we made to the Le Rêve theatre. The $13.1 million incurred during the nine months ended September 30, 2006 related to several projects including the remodeling of six North Fairway Villas, the remodel of a portion of the former baccarat area to feature a casino bar, improved public baccarat space, and private baccarat salons, the remodel of the area of the Wynn retail esplanade formerly occupied by the art gallery at Wynn Las Vegas and the opening of a retail shop dedicated exclusively to selling Rolex watches and a men’s accessories store, and certain enhancements to our spa and salon and certain other areas.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Interest income decreased by $7.7 million to $10.2 million for the nine months ended September 30, 2007 compared to the nine months ended September 30, 2006. This decrease is primarily due to reduced average restricted cash balances during the nine months ended September 30, 2007 compared to the nine months ended September 30, 2006 as a result of spending related to the development and construction of Encore.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expense, net of capitalized interest of $20.1 million, was $65.7 million for the nine months ended September 30, 2007 compared to $92 million, net of capitalized interest of $3.6 million during the nine months ended September 30, 2006. This decrease is due to lower average debt balances and lower interest rates as a result of the August 2006 bank refinancing and increased capitalized interest of $16.5 million due to the continuing construction costs of Encore. Capitalized interest continues to increase with the ongoing borrowings and construction costs related to Encore.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an increase (or decrease) in the swap fair value in each period. We recorded an expense of approximately $2.8 million for the nine months ended September 30, 2007 resulting from the decrease in the fair value of our interest rate swap from December 31, 2006 to September 30, 2007. During the nine months ended September 30, 2006 we recorded a gain of $1.1 million resulting from the increase in the fair value of interest rate swap between December 31, 2005 and September 30, 2006. For further information on our interest rate swaps, see Item 3 – “Quantitative and Qualitative Disclosures about Market Risk”.</w:t>
      </w:r>
    </w:p>
    <w:p>
      <w:pPr>
        <w:spacing w:after="0" w:line="195"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nine months ended September 30, 2007 was $290.5 million compared to $139 million provided by operations for the nine months ended September 30, 2006. This increase is due to the increase in operating income as a result of improved overall operational results especially in the casino department.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require a certain amount of cash on hand for operations. As of September 30, 2007, we had approximately $62.8 million of cash and cash equivalents available for new development activities, general corporate purposes, enhancements to Wynn Las Vegas, and to support the development and construction of Encore. As of September 30, 2007, we had approximately $46.8 million in cash and investments from the proceeds of our debt and equity financings, which is restricted for the following:</w:t>
      </w:r>
    </w:p>
    <w:p>
      <w:pPr>
        <w:spacing w:after="0" w:line="62"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million restricted for the Encore completion guarantee.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28, 2006, we commenced construction of Encore. We expect to open Encore to the public in early 2009. Design and construction is progressing as expected at Encore. Current construction activities in the various project sections include the following:</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61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 deck.</w:t>
      </w:r>
    </w:p>
    <w:p>
      <w:pPr>
        <w:spacing w:after="0" w:line="44"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drywall, mechanical, electrical and plumbing rough-in is completed up to the 29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and framing is completed up to the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floor</w:t>
      </w:r>
    </w:p>
    <w:p>
      <w:pPr>
        <w:spacing w:after="0" w:line="42" w:lineRule="exact"/>
        <w:rPr>
          <w:rFonts w:ascii="Arial" w:cs="Arial" w:eastAsia="Arial" w:hAnsi="Arial"/>
          <w:sz w:val="17"/>
          <w:szCs w:val="17"/>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Exterior glass installation is complete up to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in the meeting rooms are complete.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structural steel for the lowrise is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Concrete pours are complete for both the employee parking garage and the guest self park garage.</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operating cash flow from Wynn Las Vegas and proceeds from the $400 million First Mortgage Notes debt offering we completed in November 2007. To the extent additional funds are required, we will provide these amounts with additional debt and equity contributions from Wynn Resorts or additional indebtedness to be incurred by Wynn Las Vegas.</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As of September 30, 2007, we incurred approximately $775.8 million of project costs related to the development and construction of Encore and related capital improvements.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right="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proceeds of the $400 million First Mortgage Notes offering we completed in November 2007;</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$172.2 million of capital expenditures in 2007, of which we have expended approximately $40.5 million through September 30, 2007. The spending limit may be increased to the extent funds are contributed to Wynn Las Vegas by Wynn Resorts, Limited.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September 30, 2007, our Credit Facilities consist of a $900 million revolving credit facility (the “Revolver”) and $225 million term loan facility (the “Term Loan”).</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For borrowings under the Term Loan we have elected, and expect to continue to elect, Eurodollar loans which bear interest at the 1-month LIBOR rate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September 30, 2007, borrowings outstanding under the Revolver totaled $91.5 million. We also had $16.7 million of outstanding letters of credit that reduce our availability under the Revolver. Consequently, $791.8 million remains available for future borrowings for the construction of Encore or for other 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2007, we amended our Credit Facilities to: (a) have the Final Completion as defined, be deemed satisfied for Wynn Las Vegas with the resulting release of (i) all amounts in excess of $30 million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0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In October 2007, we amended the Wynn Las Vegas Credit Facilities to (a) permit the issuance of up to $500 million of secured indebtedness, (b) remove certain language related to the inter-company loan made by Wynn Las Vegas to Wynn Resorts (Macau) S.A. and (c) amend certain provisions governing Wynn Las Vegas’ insurance related obligations. Also in October 2007, pursuant to the Wynn Las Vegas Credit Facilities, Wynn Las Vegas entered into a pre-agreed upon form of Amended and Restated Master Disbursement Agreement with Deutsche Bank Trust Company Americas as Bank Agent and Disbursement Agent.</w:t>
      </w:r>
    </w:p>
    <w:p>
      <w:pPr>
        <w:spacing w:after="0" w:line="125" w:lineRule="exact"/>
        <w:rPr>
          <w:sz w:val="20"/>
          <w:szCs w:val="20"/>
          <w:color w:val="auto"/>
        </w:rPr>
      </w:pPr>
    </w:p>
    <w:p>
      <w:pPr>
        <w:ind w:right="80" w:firstLine="456"/>
        <w:spacing w:after="0" w:line="243" w:lineRule="auto"/>
        <w:rPr>
          <w:sz w:val="20"/>
          <w:szCs w:val="20"/>
          <w:color w:val="auto"/>
        </w:rPr>
      </w:pPr>
      <w:r>
        <w:rPr>
          <w:rFonts w:ascii="Arial" w:cs="Arial" w:eastAsia="Arial" w:hAnsi="Arial"/>
          <w:sz w:val="17"/>
          <w:szCs w:val="17"/>
          <w:color w:val="auto"/>
        </w:rPr>
        <w:t xml:space="preserve">On November 6, 2007, we completed a private offering of $400 million aggregate principal amount of our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due 2014 at a price of 97.25% of the principal amount. The notes were issued under the same indenture as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that we had previously issued. The notes rank pari passu with, and will vote on any matter submitted to noteholders with, the previously issued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The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we may not offer or sell the notes within the United States to, or for the account or benefit of, any United States person unless the offer or sale would qualify for a registration exemption from the Securities Act and applicable state securities laws. We have agreed to make an offer to exchange the notes for registered, publicly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our aircrafts. Principal and interest are due quarterly with a balloon payment of $28 million due at maturity. Interest is calculated at the 90-day LIBOR rate plus 125 basis points. In connection with this transaction, we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have been no material changes during the nine months ended September 30, 2007 to our contractual obligations or off-balance sheet arrangements as disclosed in our Annual Report on Form 10-K for the year ended December 31, 2006. However, in June 2007, we amended our Contract with Tutor for the construction of Encore which set the guaranteed maximum price for construction work covered by the Contract at $1.3 billion and accordingly increases our obligations over the next one to two years under construction contracts.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We intend to fund our operations and capital requirements from operating cash flow and remaining availability under our Credit Facilities. We cannot assure you, however, that Wynn Las Vegas will generate sufficient cash flow from operations or that future borrowings available to us under the Credit Facilities will be sufficient to enable us to service and repay Wynn Las Vegas, LLC’s indebtedness and to fund its other liquidity needs. We may refinance all or a portion of our indebtedness on or before maturity. We cannot assure you that we will be able to refinance any of the indebtedness on acceptable terms.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Other than some additional information related to the allowance for estimated doubtful accounts receivable below, there have been no material change to these policies for the nine months ended September 30, 2007.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As of September 30, 2007 and December 31, 2006, approximately 50%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78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receivables</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  115,735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133,985</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46,276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28.8%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a normal increase in casino accounts receivable outstanding over 180 days. While collection efforts remain active, it is our current policy to fully reserve all accounts over one year old. As our customer payment experience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condensed consolidated financial statements.</w:t>
      </w:r>
    </w:p>
    <w:p>
      <w:pPr>
        <w:spacing w:after="0" w:line="11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As of September 30, 2007,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as the swap does not qualify for hedge accounting.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September 30, 2007 and December 31, 2006, our interest rate swap had an approximate asset fair value of $2 million and $4.8 million, respectively. The fair value approximates the amount we would receive if this contract were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September 30, 2007, approximately 90% of our long-term debt was based on fixed rates, including the notional amount related to our interest rate swap. Based on our borrowings as of September 30, 2007, an assumed 1% change in variable rates would cause our annual interest cost to change by approximately $1.6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306"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There have not been any changes in the Company’s internal control over financial reporting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13a-15(f) and 15d-15(f) under the Exchange Act) during the nine months ended September 30, 2007 to which this report relates that have materially affected, or are reasonably likely to materially affect,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other information set forth in this Form 10-Q, you should carefully consider the factors discussed in Part I, “Item 1A. Risk Factors” in our Annual Report on Form 10-K for the year ended December 31, 2006, and the developments disclosed in our filings with the SEC since the date of the Form 10-K that relate to the risks described in our Form 10-K. The matters described in Part I, “Item 1A. Risk Factors” of our Form 10-K address a number of risks and uncertainties which could materially affect our our business, financial condition, operating results and/or future prospects. Additional risks and uncertainties not currently known to us or that we currently deem to be immaterial also may materially adversely affect our business, financial condition, operating results and/or future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0220"/>
        <w:spacing w:after="0"/>
        <w:rPr>
          <w:sz w:val="20"/>
          <w:szCs w:val="20"/>
          <w:color w:val="auto"/>
        </w:rPr>
      </w:pPr>
      <w:r>
        <w:rPr>
          <w:rFonts w:ascii="Arial" w:cs="Arial" w:eastAsia="Arial" w:hAnsi="Arial"/>
          <w:sz w:val="16"/>
          <w:szCs w:val="16"/>
          <w:b w:val="1"/>
          <w:bCs w:val="1"/>
          <w:color w:val="auto"/>
        </w:rPr>
        <w:t>Item 6. Exhibits</w:t>
      </w:r>
    </w:p>
    <w:p>
      <w:pPr>
        <w:spacing w:after="0" w:line="119" w:lineRule="exact"/>
        <w:rPr>
          <w:sz w:val="20"/>
          <w:szCs w:val="20"/>
          <w:color w:val="auto"/>
        </w:rPr>
      </w:pPr>
    </w:p>
    <w:p>
      <w:pPr>
        <w:jc w:val="right"/>
        <w:ind w:right="10260"/>
        <w:spacing w:after="0"/>
        <w:rPr>
          <w:sz w:val="20"/>
          <w:szCs w:val="20"/>
          <w:color w:val="auto"/>
        </w:rPr>
      </w:pPr>
      <w:r>
        <w:rPr>
          <w:rFonts w:ascii="Arial" w:cs="Arial" w:eastAsia="Arial" w:hAnsi="Arial"/>
          <w:sz w:val="18"/>
          <w:szCs w:val="18"/>
          <w:color w:val="auto"/>
        </w:rPr>
        <w:t>•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988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3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16"/>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5" w:lineRule="exact"/>
        <w:rPr>
          <w:sz w:val="20"/>
          <w:szCs w:val="20"/>
          <w:color w:val="auto"/>
        </w:rPr>
      </w:pPr>
    </w:p>
    <w:p>
      <w:pPr>
        <w:ind w:left="220" w:right="420" w:hanging="212"/>
        <w:spacing w:after="0" w:line="261"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200" w:lineRule="exact"/>
        <w:rPr>
          <w:sz w:val="20"/>
          <w:szCs w:val="20"/>
          <w:color w:val="auto"/>
        </w:rPr>
      </w:pPr>
    </w:p>
    <w:p>
      <w:pPr>
        <w:spacing w:after="0" w:line="207" w:lineRule="exact"/>
        <w:rPr>
          <w:sz w:val="20"/>
          <w:szCs w:val="20"/>
          <w:color w:val="auto"/>
        </w:rPr>
      </w:pPr>
    </w:p>
    <w:p>
      <w:pPr>
        <w:spacing w:after="0"/>
        <w:tabs>
          <w:tab w:leader="none" w:pos="5560" w:val="left"/>
          <w:tab w:leader="none" w:pos="7820" w:val="left"/>
          <w:tab w:leader="none" w:pos="8160" w:val="left"/>
        </w:tabs>
        <w:rPr>
          <w:sz w:val="20"/>
          <w:szCs w:val="20"/>
          <w:color w:val="auto"/>
        </w:rPr>
      </w:pPr>
      <w:r>
        <w:rPr>
          <w:rFonts w:ascii="Arial" w:cs="Arial" w:eastAsia="Arial" w:hAnsi="Arial"/>
          <w:sz w:val="18"/>
          <w:szCs w:val="18"/>
          <w:color w:val="auto"/>
        </w:rPr>
        <w:t>Dated: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R. Sisk</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459"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2007</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2007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Andrew Pascal</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56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November 9, 2007</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Sisk</w:t>
            </w:r>
          </w:p>
        </w:tc>
      </w:tr>
      <w:tr>
        <w:trPr>
          <w:trHeight w:val="202"/>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6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November 9,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decimal"/>
      <w:start w:val="8"/>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2019-12-15T08:08:28Z</dcterms:created>
  <dcterms:modified xsi:type="dcterms:W3CDTF">2019-12-15T08:08:28Z</dcterms:modified>
</cp:coreProperties>
</file>