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Arial" w:cs="Arial" w:eastAsia="Arial" w:hAnsi="Arial"/>
          <w:sz w:val="28"/>
          <w:szCs w:val="28"/>
          <w:b w:val="1"/>
          <w:bCs w:val="1"/>
          <w:color w:val="auto"/>
        </w:rPr>
        <w:t>UNITED STATES</w:t>
      </w:r>
    </w:p>
    <w:p>
      <w:pPr>
        <w:spacing w:after="0" w:line="40"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SECURITIES AND EXCHANGE COMMISSION</w:t>
      </w:r>
    </w:p>
    <w:p>
      <w:pPr>
        <w:spacing w:after="0" w:line="14"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2153920</wp:posOffset>
            </wp:positionH>
            <wp:positionV relativeFrom="paragraph">
              <wp:posOffset>323850</wp:posOffset>
            </wp:positionV>
            <wp:extent cx="28517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2153920</wp:posOffset>
            </wp:positionH>
            <wp:positionV relativeFrom="paragraph">
              <wp:posOffset>200660</wp:posOffset>
            </wp:positionV>
            <wp:extent cx="28517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CURRENT REPORT</w:t>
      </w:r>
    </w:p>
    <w:p>
      <w:pPr>
        <w:spacing w:after="0" w:line="21"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PURSUANT TO SECTION 13 OR 15(d)</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79"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Date of Report (Date of earliest event reported): March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2153920</wp:posOffset>
            </wp:positionH>
            <wp:positionV relativeFrom="paragraph">
              <wp:posOffset>213995</wp:posOffset>
            </wp:positionV>
            <wp:extent cx="28517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6"/>
        <w:spacing w:after="0"/>
        <w:rPr>
          <w:sz w:val="20"/>
          <w:szCs w:val="20"/>
          <w:color w:val="auto"/>
        </w:rPr>
      </w:pPr>
      <w:r>
        <w:rPr>
          <w:rFonts w:ascii="Arial" w:cs="Arial" w:eastAsia="Arial" w:hAnsi="Arial"/>
          <w:sz w:val="37"/>
          <w:szCs w:val="37"/>
          <w:b w:val="1"/>
          <w:bCs w:val="1"/>
          <w:color w:val="auto"/>
        </w:rPr>
        <w:t>WYNN RESORTS, LIMITED</w:t>
      </w:r>
    </w:p>
    <w:p>
      <w:pPr>
        <w:spacing w:after="0" w:line="52"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330" w:lineRule="exact"/>
        <w:rPr>
          <w:sz w:val="24"/>
          <w:szCs w:val="24"/>
          <w:color w:val="auto"/>
        </w:rPr>
      </w:pPr>
    </w:p>
    <w:tbl>
      <w:tblPr>
        <w:tblLayout w:type="fixed"/>
        <w:tblInd w:w="7" w:type="dxa"/>
        <w:tblCellMar>
          <w:top w:w="0" w:type="dxa"/>
          <w:left w:w="0" w:type="dxa"/>
          <w:bottom w:w="0" w:type="dxa"/>
          <w:right w:w="0" w:type="dxa"/>
        </w:tblCellMar>
      </w:tblPr>
      <w:tr>
        <w:trPr>
          <w:trHeight w:val="201"/>
        </w:trPr>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Nevada</w:t>
            </w:r>
          </w:p>
        </w:tc>
        <w:tc>
          <w:tcPr>
            <w:tcW w:w="3180" w:type="dxa"/>
            <w:vAlign w:val="bottom"/>
            <w:gridSpan w:val="2"/>
          </w:tcPr>
          <w:p>
            <w:pPr>
              <w:ind w:left="1280"/>
              <w:spacing w:after="0"/>
              <w:rPr>
                <w:sz w:val="20"/>
                <w:szCs w:val="20"/>
                <w:color w:val="auto"/>
              </w:rPr>
            </w:pPr>
            <w:r>
              <w:rPr>
                <w:rFonts w:ascii="Arial" w:cs="Arial" w:eastAsia="Arial" w:hAnsi="Arial"/>
                <w:sz w:val="15"/>
                <w:szCs w:val="15"/>
                <w:b w:val="1"/>
                <w:bCs w:val="1"/>
                <w:color w:val="auto"/>
              </w:rPr>
              <w:t>000-50028</w:t>
            </w:r>
          </w:p>
        </w:tc>
        <w:tc>
          <w:tcPr>
            <w:tcW w:w="2980" w:type="dxa"/>
            <w:vAlign w:val="bottom"/>
            <w:gridSpan w:val="3"/>
          </w:tcPr>
          <w:p>
            <w:pPr>
              <w:jc w:val="right"/>
              <w:ind w:right="1458"/>
              <w:spacing w:after="0"/>
              <w:rPr>
                <w:sz w:val="20"/>
                <w:szCs w:val="20"/>
                <w:color w:val="auto"/>
              </w:rPr>
            </w:pPr>
            <w:r>
              <w:rPr>
                <w:rFonts w:ascii="Arial" w:cs="Arial" w:eastAsia="Arial" w:hAnsi="Arial"/>
                <w:sz w:val="15"/>
                <w:szCs w:val="15"/>
                <w:b w:val="1"/>
                <w:bCs w:val="1"/>
                <w:color w:val="auto"/>
              </w:rPr>
              <w:t>46-0484987</w:t>
            </w:r>
          </w:p>
        </w:tc>
        <w:tc>
          <w:tcPr>
            <w:tcW w:w="1140" w:type="dxa"/>
            <w:vAlign w:val="bottom"/>
          </w:tcPr>
          <w:p>
            <w:pPr>
              <w:spacing w:after="0"/>
              <w:rPr>
                <w:sz w:val="17"/>
                <w:szCs w:val="17"/>
                <w:color w:val="auto"/>
              </w:rPr>
            </w:pPr>
          </w:p>
        </w:tc>
      </w:tr>
      <w:tr>
        <w:trPr>
          <w:trHeight w:val="162"/>
        </w:trPr>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(State or other jurisdiction</w:t>
            </w:r>
          </w:p>
        </w:tc>
        <w:tc>
          <w:tcPr>
            <w:tcW w:w="12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Arial" w:cs="Arial" w:eastAsia="Arial" w:hAnsi="Arial"/>
                <w:sz w:val="12"/>
                <w:szCs w:val="12"/>
                <w:b w:val="1"/>
                <w:bCs w:val="1"/>
                <w:color w:val="auto"/>
              </w:rPr>
              <w:t>(Commission</w:t>
            </w:r>
          </w:p>
        </w:tc>
        <w:tc>
          <w:tcPr>
            <w:tcW w:w="120" w:type="dxa"/>
            <w:vAlign w:val="bottom"/>
          </w:tcPr>
          <w:p>
            <w:pPr>
              <w:spacing w:after="0"/>
              <w:rPr>
                <w:sz w:val="14"/>
                <w:szCs w:val="14"/>
                <w:color w:val="auto"/>
              </w:rPr>
            </w:pPr>
          </w:p>
        </w:tc>
        <w:tc>
          <w:tcPr>
            <w:tcW w:w="4000" w:type="dxa"/>
            <w:vAlign w:val="bottom"/>
            <w:gridSpan w:val="3"/>
          </w:tcPr>
          <w:p>
            <w:pPr>
              <w:jc w:val="center"/>
              <w:ind w:right="2060"/>
              <w:spacing w:after="0"/>
              <w:rPr>
                <w:sz w:val="20"/>
                <w:szCs w:val="20"/>
                <w:color w:val="auto"/>
              </w:rPr>
            </w:pPr>
            <w:r>
              <w:rPr>
                <w:rFonts w:ascii="Arial" w:cs="Arial" w:eastAsia="Arial" w:hAnsi="Arial"/>
                <w:sz w:val="12"/>
                <w:szCs w:val="12"/>
                <w:b w:val="1"/>
                <w:bCs w:val="1"/>
                <w:color w:val="auto"/>
                <w:w w:val="97"/>
              </w:rPr>
              <w:t>(I.R.S. Employer</w:t>
            </w:r>
          </w:p>
        </w:tc>
      </w:tr>
      <w:tr>
        <w:trPr>
          <w:trHeight w:val="160"/>
        </w:trPr>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of incorporation)</w:t>
            </w:r>
          </w:p>
        </w:tc>
        <w:tc>
          <w:tcPr>
            <w:tcW w:w="1220" w:type="dxa"/>
            <w:vAlign w:val="bottom"/>
          </w:tcPr>
          <w:p>
            <w:pPr>
              <w:spacing w:after="0"/>
              <w:rPr>
                <w:sz w:val="13"/>
                <w:szCs w:val="13"/>
                <w:color w:val="auto"/>
              </w:rPr>
            </w:pPr>
          </w:p>
        </w:tc>
        <w:tc>
          <w:tcPr>
            <w:tcW w:w="1960" w:type="dxa"/>
            <w:vAlign w:val="bottom"/>
          </w:tcPr>
          <w:p>
            <w:pPr>
              <w:ind w:left="40"/>
              <w:spacing w:after="0"/>
              <w:rPr>
                <w:sz w:val="20"/>
                <w:szCs w:val="20"/>
                <w:color w:val="auto"/>
              </w:rPr>
            </w:pPr>
            <w:r>
              <w:rPr>
                <w:rFonts w:ascii="Arial" w:cs="Arial" w:eastAsia="Arial" w:hAnsi="Arial"/>
                <w:sz w:val="12"/>
                <w:szCs w:val="12"/>
                <w:b w:val="1"/>
                <w:bCs w:val="1"/>
                <w:color w:val="auto"/>
              </w:rPr>
              <w:t>File Number)</w:t>
            </w:r>
          </w:p>
        </w:tc>
        <w:tc>
          <w:tcPr>
            <w:tcW w:w="120" w:type="dxa"/>
            <w:vAlign w:val="bottom"/>
          </w:tcPr>
          <w:p>
            <w:pPr>
              <w:spacing w:after="0"/>
              <w:rPr>
                <w:sz w:val="13"/>
                <w:szCs w:val="13"/>
                <w:color w:val="auto"/>
              </w:rPr>
            </w:pPr>
          </w:p>
        </w:tc>
        <w:tc>
          <w:tcPr>
            <w:tcW w:w="4000" w:type="dxa"/>
            <w:vAlign w:val="bottom"/>
            <w:gridSpan w:val="3"/>
          </w:tcPr>
          <w:p>
            <w:pPr>
              <w:jc w:val="center"/>
              <w:ind w:right="2040"/>
              <w:spacing w:after="0"/>
              <w:rPr>
                <w:sz w:val="20"/>
                <w:szCs w:val="20"/>
                <w:color w:val="auto"/>
              </w:rPr>
            </w:pPr>
            <w:r>
              <w:rPr>
                <w:rFonts w:ascii="Arial" w:cs="Arial" w:eastAsia="Arial" w:hAnsi="Arial"/>
                <w:sz w:val="12"/>
                <w:szCs w:val="12"/>
                <w:b w:val="1"/>
                <w:bCs w:val="1"/>
                <w:color w:val="auto"/>
                <w:w w:val="94"/>
              </w:rPr>
              <w:t>Identification No.)</w:t>
            </w:r>
          </w:p>
        </w:tc>
      </w:tr>
      <w:tr>
        <w:trPr>
          <w:trHeight w:val="229"/>
        </w:trPr>
        <w:tc>
          <w:tcPr>
            <w:tcW w:w="940" w:type="dxa"/>
            <w:vAlign w:val="bottom"/>
          </w:tcPr>
          <w:p>
            <w:pPr>
              <w:spacing w:after="0"/>
              <w:rPr>
                <w:sz w:val="19"/>
                <w:szCs w:val="19"/>
                <w:color w:val="auto"/>
              </w:rPr>
            </w:pPr>
          </w:p>
        </w:tc>
        <w:tc>
          <w:tcPr>
            <w:tcW w:w="6200" w:type="dxa"/>
            <w:vAlign w:val="bottom"/>
            <w:gridSpan w:val="5"/>
          </w:tcPr>
          <w:p>
            <w:pPr>
              <w:jc w:val="center"/>
              <w:ind w:right="2098"/>
              <w:spacing w:after="0"/>
              <w:rPr>
                <w:sz w:val="20"/>
                <w:szCs w:val="20"/>
                <w:color w:val="auto"/>
              </w:rPr>
            </w:pPr>
            <w:r>
              <w:rPr>
                <w:rFonts w:ascii="Arial" w:cs="Arial" w:eastAsia="Arial" w:hAnsi="Arial"/>
                <w:sz w:val="15"/>
                <w:szCs w:val="15"/>
                <w:b w:val="1"/>
                <w:bCs w:val="1"/>
                <w:color w:val="auto"/>
                <w:w w:val="91"/>
              </w:rPr>
              <w:t>3131 Las Vegas Boulevard South</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4"/>
        </w:trPr>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60" w:type="dxa"/>
            <w:vAlign w:val="bottom"/>
            <w:gridSpan w:val="2"/>
          </w:tcPr>
          <w:p>
            <w:pPr>
              <w:ind w:left="140"/>
              <w:spacing w:after="0"/>
              <w:rPr>
                <w:sz w:val="20"/>
                <w:szCs w:val="20"/>
                <w:color w:val="auto"/>
              </w:rPr>
            </w:pPr>
            <w:r>
              <w:rPr>
                <w:rFonts w:ascii="Arial" w:cs="Arial" w:eastAsia="Arial" w:hAnsi="Arial"/>
                <w:sz w:val="15"/>
                <w:szCs w:val="15"/>
                <w:b w:val="1"/>
                <w:bCs w:val="1"/>
                <w:color w:val="auto"/>
              </w:rPr>
              <w:t>Las Vegas, Nevada</w:t>
            </w:r>
          </w:p>
        </w:tc>
        <w:tc>
          <w:tcPr>
            <w:tcW w:w="1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980" w:type="dxa"/>
            <w:vAlign w:val="bottom"/>
            <w:gridSpan w:val="3"/>
          </w:tcPr>
          <w:p>
            <w:pPr>
              <w:jc w:val="right"/>
              <w:ind w:right="1638"/>
              <w:spacing w:after="0"/>
              <w:rPr>
                <w:sz w:val="20"/>
                <w:szCs w:val="20"/>
                <w:color w:val="auto"/>
              </w:rPr>
            </w:pPr>
            <w:r>
              <w:rPr>
                <w:rFonts w:ascii="Arial" w:cs="Arial" w:eastAsia="Arial" w:hAnsi="Arial"/>
                <w:sz w:val="15"/>
                <w:szCs w:val="15"/>
                <w:b w:val="1"/>
                <w:bCs w:val="1"/>
                <w:color w:val="auto"/>
              </w:rPr>
              <w:t>89109</w:t>
            </w:r>
          </w:p>
        </w:tc>
        <w:tc>
          <w:tcPr>
            <w:tcW w:w="1140" w:type="dxa"/>
            <w:vAlign w:val="bottom"/>
          </w:tcPr>
          <w:p>
            <w:pPr>
              <w:spacing w:after="0"/>
              <w:rPr>
                <w:sz w:val="16"/>
                <w:szCs w:val="16"/>
                <w:color w:val="auto"/>
              </w:rPr>
            </w:pPr>
          </w:p>
        </w:tc>
      </w:tr>
      <w:tr>
        <w:trPr>
          <w:trHeight w:val="172"/>
        </w:trPr>
        <w:tc>
          <w:tcPr>
            <w:tcW w:w="940" w:type="dxa"/>
            <w:vAlign w:val="bottom"/>
          </w:tcPr>
          <w:p>
            <w:pPr>
              <w:spacing w:after="0"/>
              <w:rPr>
                <w:sz w:val="14"/>
                <w:szCs w:val="14"/>
                <w:color w:val="auto"/>
              </w:rPr>
            </w:pPr>
          </w:p>
        </w:tc>
        <w:tc>
          <w:tcPr>
            <w:tcW w:w="6200" w:type="dxa"/>
            <w:vAlign w:val="bottom"/>
            <w:gridSpan w:val="5"/>
          </w:tcPr>
          <w:p>
            <w:pPr>
              <w:jc w:val="center"/>
              <w:ind w:right="2098"/>
              <w:spacing w:after="0"/>
              <w:rPr>
                <w:sz w:val="20"/>
                <w:szCs w:val="20"/>
                <w:color w:val="auto"/>
              </w:rPr>
            </w:pPr>
            <w:r>
              <w:rPr>
                <w:rFonts w:ascii="Arial" w:cs="Arial" w:eastAsia="Arial" w:hAnsi="Arial"/>
                <w:sz w:val="12"/>
                <w:szCs w:val="12"/>
                <w:b w:val="1"/>
                <w:bCs w:val="1"/>
                <w:color w:val="auto"/>
                <w:w w:val="91"/>
              </w:rPr>
              <w:t>(Address of principal executive offices)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380" w:type="dxa"/>
            <w:vAlign w:val="bottom"/>
            <w:gridSpan w:val="2"/>
          </w:tcPr>
          <w:p>
            <w:pPr>
              <w:jc w:val="center"/>
              <w:ind w:right="2680"/>
              <w:spacing w:after="0"/>
              <w:rPr>
                <w:sz w:val="20"/>
                <w:szCs w:val="20"/>
                <w:color w:val="auto"/>
              </w:rPr>
            </w:pPr>
            <w:r>
              <w:rPr>
                <w:rFonts w:ascii="Arial" w:cs="Arial" w:eastAsia="Arial" w:hAnsi="Arial"/>
                <w:sz w:val="12"/>
                <w:szCs w:val="12"/>
                <w:b w:val="1"/>
                <w:bCs w:val="1"/>
                <w:color w:val="auto"/>
                <w:w w:val="97"/>
              </w:rPr>
              <w:t>(Zip Code)</w:t>
            </w:r>
          </w:p>
        </w:tc>
      </w:tr>
      <w:tr>
        <w:trPr>
          <w:trHeight w:val="627"/>
        </w:trPr>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80" w:type="dxa"/>
            <w:vAlign w:val="bottom"/>
            <w:gridSpan w:val="2"/>
          </w:tcPr>
          <w:p>
            <w:pPr>
              <w:jc w:val="center"/>
              <w:ind w:left="67"/>
              <w:spacing w:after="0"/>
              <w:rPr>
                <w:sz w:val="20"/>
                <w:szCs w:val="20"/>
                <w:color w:val="auto"/>
              </w:rPr>
            </w:pPr>
            <w:r>
              <w:rPr>
                <w:rFonts w:ascii="Arial" w:cs="Arial" w:eastAsia="Arial" w:hAnsi="Arial"/>
                <w:sz w:val="15"/>
                <w:szCs w:val="15"/>
                <w:b w:val="1"/>
                <w:bCs w:val="1"/>
                <w:color w:val="auto"/>
                <w:w w:val="93"/>
              </w:rPr>
              <w:t>(702) 770-7555</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0"/>
        </w:trPr>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180" w:type="dxa"/>
            <w:vAlign w:val="bottom"/>
            <w:gridSpan w:val="2"/>
          </w:tcPr>
          <w:p>
            <w:pPr>
              <w:jc w:val="center"/>
              <w:ind w:left="87"/>
              <w:spacing w:after="0"/>
              <w:rPr>
                <w:sz w:val="20"/>
                <w:szCs w:val="20"/>
                <w:color w:val="auto"/>
              </w:rPr>
            </w:pPr>
            <w:r>
              <w:rPr>
                <w:rFonts w:ascii="Arial" w:cs="Arial" w:eastAsia="Arial" w:hAnsi="Arial"/>
                <w:sz w:val="12"/>
                <w:szCs w:val="12"/>
                <w:b w:val="1"/>
                <w:bCs w:val="1"/>
                <w:color w:val="auto"/>
                <w:w w:val="91"/>
              </w:rPr>
              <w:t>(Registrant’s telephone number, including area code)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361"/>
        </w:trPr>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80" w:type="dxa"/>
            <w:vAlign w:val="bottom"/>
            <w:gridSpan w:val="2"/>
          </w:tcPr>
          <w:p>
            <w:pPr>
              <w:jc w:val="center"/>
              <w:ind w:left="67"/>
              <w:spacing w:after="0"/>
              <w:rPr>
                <w:sz w:val="20"/>
                <w:szCs w:val="20"/>
                <w:color w:val="auto"/>
              </w:rPr>
            </w:pPr>
            <w:r>
              <w:rPr>
                <w:rFonts w:ascii="Arial" w:cs="Arial" w:eastAsia="Arial" w:hAnsi="Arial"/>
                <w:sz w:val="15"/>
                <w:szCs w:val="15"/>
                <w:b w:val="1"/>
                <w:bCs w:val="1"/>
                <w:color w:val="auto"/>
                <w:w w:val="95"/>
              </w:rPr>
              <w:t>Not Applicable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0"/>
        </w:trPr>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300" w:type="dxa"/>
            <w:vAlign w:val="bottom"/>
            <w:gridSpan w:val="6"/>
          </w:tcPr>
          <w:p>
            <w:pPr>
              <w:jc w:val="center"/>
              <w:ind w:right="3960"/>
              <w:spacing w:after="0"/>
              <w:rPr>
                <w:sz w:val="20"/>
                <w:szCs w:val="20"/>
                <w:color w:val="auto"/>
              </w:rPr>
            </w:pPr>
            <w:r>
              <w:rPr>
                <w:rFonts w:ascii="Arial" w:cs="Arial" w:eastAsia="Arial" w:hAnsi="Arial"/>
                <w:sz w:val="12"/>
                <w:szCs w:val="12"/>
                <w:b w:val="1"/>
                <w:bCs w:val="1"/>
                <w:color w:val="auto"/>
                <w:w w:val="92"/>
              </w:rPr>
              <w:t>(Former name or former address, if changed since last report)</w:t>
            </w:r>
          </w:p>
        </w:tc>
      </w:tr>
      <w:tr>
        <w:trPr>
          <w:trHeight w:val="103"/>
        </w:trPr>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501"/>
        </w:trPr>
        <w:tc>
          <w:tcPr>
            <w:tcW w:w="3960" w:type="dxa"/>
            <w:vAlign w:val="bottom"/>
            <w:gridSpan w:val="4"/>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7"/>
        </w:trPr>
        <w:tc>
          <w:tcPr>
            <w:tcW w:w="9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89"/>
              </w:rPr>
              <w:t>Title of each class</w:t>
            </w:r>
          </w:p>
        </w:tc>
        <w:tc>
          <w:tcPr>
            <w:tcW w:w="1860" w:type="dxa"/>
            <w:vAlign w:val="bottom"/>
            <w:gridSpan w:val="2"/>
          </w:tcPr>
          <w:p>
            <w:pPr>
              <w:spacing w:after="0"/>
              <w:rPr>
                <w:sz w:val="23"/>
                <w:szCs w:val="23"/>
                <w:color w:val="auto"/>
              </w:rPr>
            </w:pPr>
          </w:p>
        </w:tc>
        <w:tc>
          <w:tcPr>
            <w:tcW w:w="3180" w:type="dxa"/>
            <w:vAlign w:val="bottom"/>
            <w:gridSpan w:val="2"/>
          </w:tcPr>
          <w:p>
            <w:pPr>
              <w:jc w:val="center"/>
              <w:ind w:right="1898"/>
              <w:spacing w:after="0"/>
              <w:rPr>
                <w:sz w:val="20"/>
                <w:szCs w:val="20"/>
                <w:color w:val="auto"/>
              </w:rPr>
            </w:pPr>
            <w:r>
              <w:rPr>
                <w:rFonts w:ascii="Arial" w:cs="Arial" w:eastAsia="Arial" w:hAnsi="Arial"/>
                <w:sz w:val="15"/>
                <w:szCs w:val="15"/>
                <w:b w:val="1"/>
                <w:bCs w:val="1"/>
                <w:color w:val="auto"/>
                <w:w w:val="92"/>
              </w:rPr>
              <w:t>Trading Symbol(s)</w:t>
            </w:r>
          </w:p>
        </w:tc>
        <w:tc>
          <w:tcPr>
            <w:tcW w:w="4120" w:type="dxa"/>
            <w:vAlign w:val="bottom"/>
            <w:gridSpan w:val="4"/>
          </w:tcPr>
          <w:p>
            <w:pPr>
              <w:jc w:val="center"/>
              <w:ind w:right="1020"/>
              <w:spacing w:after="0"/>
              <w:rPr>
                <w:sz w:val="20"/>
                <w:szCs w:val="20"/>
                <w:color w:val="auto"/>
              </w:rPr>
            </w:pPr>
            <w:r>
              <w:rPr>
                <w:rFonts w:ascii="Arial" w:cs="Arial" w:eastAsia="Arial" w:hAnsi="Arial"/>
                <w:sz w:val="15"/>
                <w:szCs w:val="15"/>
                <w:b w:val="1"/>
                <w:bCs w:val="1"/>
                <w:color w:val="auto"/>
                <w:w w:val="90"/>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1"/>
        </w:trPr>
        <w:tc>
          <w:tcPr>
            <w:tcW w:w="3960" w:type="dxa"/>
            <w:vAlign w:val="bottom"/>
            <w:gridSpan w:val="4"/>
          </w:tcPr>
          <w:p>
            <w:pPr>
              <w:jc w:val="center"/>
              <w:ind w:right="940"/>
              <w:spacing w:after="0"/>
              <w:rPr>
                <w:sz w:val="20"/>
                <w:szCs w:val="20"/>
                <w:color w:val="auto"/>
              </w:rPr>
            </w:pPr>
            <w:r>
              <w:rPr>
                <w:rFonts w:ascii="Arial" w:cs="Arial" w:eastAsia="Arial" w:hAnsi="Arial"/>
                <w:sz w:val="15"/>
                <w:szCs w:val="15"/>
                <w:color w:val="auto"/>
                <w:w w:val="93"/>
              </w:rPr>
              <w:t>Common stock, par value $0.01</w:t>
            </w:r>
          </w:p>
        </w:tc>
        <w:tc>
          <w:tcPr>
            <w:tcW w:w="3180" w:type="dxa"/>
            <w:vAlign w:val="bottom"/>
            <w:gridSpan w:val="2"/>
          </w:tcPr>
          <w:p>
            <w:pPr>
              <w:jc w:val="center"/>
              <w:ind w:right="1878"/>
              <w:spacing w:after="0"/>
              <w:rPr>
                <w:sz w:val="20"/>
                <w:szCs w:val="20"/>
                <w:color w:val="auto"/>
              </w:rPr>
            </w:pPr>
            <w:r>
              <w:rPr>
                <w:rFonts w:ascii="Arial" w:cs="Arial" w:eastAsia="Arial" w:hAnsi="Arial"/>
                <w:sz w:val="15"/>
                <w:szCs w:val="15"/>
                <w:color w:val="auto"/>
              </w:rPr>
              <w:t>WYNN</w:t>
            </w:r>
          </w:p>
        </w:tc>
        <w:tc>
          <w:tcPr>
            <w:tcW w:w="120" w:type="dxa"/>
            <w:vAlign w:val="bottom"/>
          </w:tcPr>
          <w:p>
            <w:pPr>
              <w:spacing w:after="0"/>
              <w:rPr>
                <w:sz w:val="18"/>
                <w:szCs w:val="18"/>
                <w:color w:val="auto"/>
              </w:rPr>
            </w:pPr>
          </w:p>
        </w:tc>
        <w:tc>
          <w:tcPr>
            <w:tcW w:w="4000" w:type="dxa"/>
            <w:vAlign w:val="bottom"/>
            <w:gridSpan w:val="3"/>
          </w:tcPr>
          <w:p>
            <w:pPr>
              <w:jc w:val="center"/>
              <w:ind w:right="1140"/>
              <w:spacing w:after="0"/>
              <w:rPr>
                <w:sz w:val="20"/>
                <w:szCs w:val="20"/>
                <w:color w:val="auto"/>
              </w:rPr>
            </w:pPr>
            <w:r>
              <w:rPr>
                <w:rFonts w:ascii="Arial" w:cs="Arial" w:eastAsia="Arial" w:hAnsi="Arial"/>
                <w:sz w:val="15"/>
                <w:szCs w:val="15"/>
                <w:color w:val="auto"/>
                <w:w w:val="93"/>
              </w:rPr>
              <w:t>Nasdaq Global Select Market</w:t>
            </w:r>
          </w:p>
        </w:tc>
      </w:tr>
      <w:tr>
        <w:trPr>
          <w:trHeight w:val="166"/>
        </w:trPr>
        <w:tc>
          <w:tcPr>
            <w:tcW w:w="9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pacing w:after="0" w:line="290" w:lineRule="exact"/>
        <w:rPr>
          <w:sz w:val="24"/>
          <w:szCs w:val="24"/>
          <w:color w:val="auto"/>
        </w:rPr>
      </w:pPr>
    </w:p>
    <w:p>
      <w:pPr>
        <w:ind w:left="7"/>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9" w:lineRule="exact"/>
        <w:rPr>
          <w:sz w:val="24"/>
          <w:szCs w:val="24"/>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30"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2"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4" w:lineRule="exact"/>
        <w:rPr>
          <w:sz w:val="24"/>
          <w:szCs w:val="24"/>
          <w:color w:val="auto"/>
        </w:rPr>
      </w:pPr>
    </w:p>
    <w:p>
      <w:pPr>
        <w:ind w:left="7" w:right="20"/>
        <w:spacing w:after="0" w:line="256"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6" w:lineRule="exact"/>
        <w:rPr>
          <w:sz w:val="24"/>
          <w:szCs w:val="24"/>
          <w:color w:val="auto"/>
        </w:rPr>
      </w:pPr>
    </w:p>
    <w:p>
      <w:pPr>
        <w:ind w:left="7" w:right="600"/>
        <w:spacing w:after="0" w:line="19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462915</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925" w:right="319" w:bottom="1440" w:gutter="0" w:footer="0" w:header="0"/>
        </w:sectPr>
      </w:pPr>
    </w:p>
    <w:bookmarkStart w:id="1" w:name="page2"/>
    <w:bookmarkEnd w:id="1"/>
    <w:p>
      <w:pPr>
        <w:spacing w:after="0"/>
        <w:tabs>
          <w:tab w:leader="none" w:pos="1320"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100" w:lineRule="exact"/>
        <w:rPr>
          <w:sz w:val="20"/>
          <w:szCs w:val="20"/>
          <w:color w:val="auto"/>
        </w:rPr>
      </w:pPr>
    </w:p>
    <w:p>
      <w:pPr>
        <w:jc w:val="both"/>
        <w:ind w:firstLine="347"/>
        <w:spacing w:after="0" w:line="264" w:lineRule="auto"/>
        <w:rPr>
          <w:sz w:val="20"/>
          <w:szCs w:val="20"/>
          <w:color w:val="auto"/>
        </w:rPr>
      </w:pPr>
      <w:r>
        <w:rPr>
          <w:rFonts w:ascii="Arial" w:cs="Arial" w:eastAsia="Arial" w:hAnsi="Arial"/>
          <w:sz w:val="15"/>
          <w:szCs w:val="15"/>
          <w:color w:val="auto"/>
        </w:rPr>
        <w:t>On March 2, 2023 (March 3, 2023 Hong Kong time), Wynn Macau, Limited (“WML”), an indirect subsidiary of Wynn Resorts, Limited (“Wynn Resorts” or the “Registrant”) with its ordinary shares of common stock listed on The Stock Exchange of Hong Kong Limited (the “HKSE”), filed with the HKSE an announcement (the “Pricing Announcement”) that WML has entered into a purchase agreement with certain Initial Purchasers, as defined in the purchase agreement, in connection with the issuance by WML of $600 million aggregate principal amount of 4.50% convertible bonds due 2029 (the “Bonds”) convertible into ordinary shares of WML, which issuance is expected to occur on March 7, 2023. The Bonds will be issued with a conversion premium of 37.5%. Wynn Resorts owns approximately 72% of WML’s ordinary shares. The Pricing Announcement is furnished herewith as Exhibit 99.1.</w:t>
      </w:r>
    </w:p>
    <w:p>
      <w:pPr>
        <w:spacing w:after="0" w:line="181" w:lineRule="exact"/>
        <w:rPr>
          <w:sz w:val="20"/>
          <w:szCs w:val="20"/>
          <w:color w:val="auto"/>
        </w:rPr>
      </w:pPr>
    </w:p>
    <w:p>
      <w:pPr>
        <w:jc w:val="both"/>
        <w:ind w:firstLine="347"/>
        <w:spacing w:after="0" w:line="268" w:lineRule="auto"/>
        <w:rPr>
          <w:sz w:val="20"/>
          <w:szCs w:val="20"/>
          <w:color w:val="auto"/>
        </w:rPr>
      </w:pPr>
      <w:r>
        <w:rPr>
          <w:rFonts w:ascii="Arial" w:cs="Arial" w:eastAsia="Arial" w:hAnsi="Arial"/>
          <w:sz w:val="15"/>
          <w:szCs w:val="15"/>
          <w:color w:val="auto"/>
        </w:rPr>
        <w:t>This Current Report on Form 8-K is not an offer to sell or a solicitation of an offer to buy any securities, nor shall there be any offer, solicitation or sale of securities in any jurisdiction in which such offer, solicitation or sale would be unlawful prior to registration or qualification under the securities laws of such jurisdiction. The Bonds and the ordinary shares of WML into which they are convertible have not been and will not be registered under the Securities Act of 1933, as amended (the “Securities Act”) and may not be offered or sold in the United States or to U.S. persons absent registration or an applicable exemption from registration requirements.</w:t>
      </w:r>
    </w:p>
    <w:p>
      <w:pPr>
        <w:spacing w:after="0" w:line="179" w:lineRule="exact"/>
        <w:rPr>
          <w:sz w:val="20"/>
          <w:szCs w:val="20"/>
          <w:color w:val="auto"/>
        </w:rPr>
      </w:pPr>
    </w:p>
    <w:p>
      <w:pPr>
        <w:jc w:val="both"/>
        <w:ind w:firstLine="347"/>
        <w:spacing w:after="0" w:line="273" w:lineRule="auto"/>
        <w:rPr>
          <w:sz w:val="20"/>
          <w:szCs w:val="20"/>
          <w:color w:val="auto"/>
        </w:rPr>
      </w:pPr>
      <w:r>
        <w:rPr>
          <w:rFonts w:ascii="Arial" w:cs="Arial" w:eastAsia="Arial" w:hAnsi="Arial"/>
          <w:sz w:val="15"/>
          <w:szCs w:val="15"/>
          <w:color w:val="auto"/>
        </w:rPr>
        <w:t>The information furnished pursuant to this Item 7.01 (including Exhibit 99.1 hereto) shall not be deemed to be “filed” for purposes of Section 18 of the Securities Exchange Act of 1934, as amended (the “Exchange Act”), or otherwise subject to the liabilities of that section, nor shall it be deemed incorporated by reference in any filing under the Securities Act or the Exchange Act, except as shall be expressly set forth by specific reference in such a filing.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340" w:type="dxa"/>
            <w:vAlign w:val="bottom"/>
            <w:gridSpan w:val="2"/>
          </w:tcPr>
          <w:p>
            <w:pPr>
              <w:spacing w:after="0"/>
              <w:rPr>
                <w:sz w:val="20"/>
                <w:szCs w:val="20"/>
                <w:color w:val="auto"/>
              </w:rPr>
            </w:pPr>
            <w:r>
              <w:rPr>
                <w:rFonts w:ascii="Arial" w:cs="Arial" w:eastAsia="Arial" w:hAnsi="Arial"/>
                <w:sz w:val="15"/>
                <w:szCs w:val="15"/>
                <w:b w:val="1"/>
                <w:bCs w:val="1"/>
                <w:color w:val="auto"/>
              </w:rPr>
              <w:t>Item 9.01</w:t>
            </w:r>
          </w:p>
        </w:tc>
        <w:tc>
          <w:tcPr>
            <w:tcW w:w="9920" w:type="dxa"/>
            <w:vAlign w:val="bottom"/>
            <w:gridSpan w:val="3"/>
          </w:tcPr>
          <w:p>
            <w:pPr>
              <w:spacing w:after="0"/>
              <w:rPr>
                <w:sz w:val="20"/>
                <w:szCs w:val="20"/>
                <w:color w:val="auto"/>
              </w:rPr>
            </w:pPr>
            <w:r>
              <w:rPr>
                <w:rFonts w:ascii="Arial" w:cs="Arial" w:eastAsia="Arial" w:hAnsi="Arial"/>
                <w:sz w:val="15"/>
                <w:szCs w:val="15"/>
                <w:b w:val="1"/>
                <w:bCs w:val="1"/>
                <w:color w:val="auto"/>
              </w:rPr>
              <w:t>Financial Statements and Exhibits.</w:t>
            </w:r>
          </w:p>
        </w:tc>
      </w:tr>
      <w:tr>
        <w:trPr>
          <w:trHeight w:val="370"/>
        </w:trPr>
        <w:tc>
          <w:tcPr>
            <w:tcW w:w="1340" w:type="dxa"/>
            <w:vAlign w:val="bottom"/>
            <w:gridSpan w:val="2"/>
          </w:tcPr>
          <w:p>
            <w:pPr>
              <w:ind w:left="200"/>
              <w:spacing w:after="0"/>
              <w:rPr>
                <w:sz w:val="20"/>
                <w:szCs w:val="20"/>
                <w:color w:val="auto"/>
              </w:rPr>
            </w:pPr>
            <w:r>
              <w:rPr>
                <w:rFonts w:ascii="Arial" w:cs="Arial" w:eastAsia="Arial" w:hAnsi="Arial"/>
                <w:sz w:val="15"/>
                <w:szCs w:val="15"/>
                <w:color w:val="auto"/>
              </w:rPr>
              <w:t>(d) Exhibits.</w:t>
            </w:r>
          </w:p>
        </w:tc>
        <w:tc>
          <w:tcPr>
            <w:tcW w:w="6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32"/>
        </w:trPr>
        <w:tc>
          <w:tcPr>
            <w:tcW w:w="620" w:type="dxa"/>
            <w:vAlign w:val="bottom"/>
          </w:tcPr>
          <w:p>
            <w:pPr>
              <w:spacing w:after="0"/>
              <w:rPr>
                <w:sz w:val="20"/>
                <w:szCs w:val="20"/>
                <w:color w:val="auto"/>
              </w:rPr>
            </w:pPr>
            <w:r>
              <w:rPr>
                <w:rFonts w:ascii="Arial" w:cs="Arial" w:eastAsia="Arial" w:hAnsi="Arial"/>
                <w:sz w:val="12"/>
                <w:szCs w:val="12"/>
                <w:b w:val="1"/>
                <w:bCs w:val="1"/>
                <w:color w:val="auto"/>
                <w:w w:val="95"/>
              </w:rPr>
              <w:t>Exhibit No.</w:t>
            </w:r>
          </w:p>
        </w:tc>
        <w:tc>
          <w:tcPr>
            <w:tcW w:w="72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Arial" w:cs="Arial" w:eastAsia="Arial" w:hAnsi="Arial"/>
                <w:sz w:val="12"/>
                <w:szCs w:val="12"/>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235"/>
        </w:trPr>
        <w:tc>
          <w:tcPr>
            <w:tcW w:w="620" w:type="dxa"/>
            <w:vAlign w:val="bottom"/>
          </w:tcPr>
          <w:p>
            <w:pPr>
              <w:spacing w:after="0"/>
              <w:rPr>
                <w:sz w:val="20"/>
                <w:szCs w:val="20"/>
                <w:color w:val="auto"/>
              </w:rPr>
            </w:pPr>
            <w:r>
              <w:rPr>
                <w:rFonts w:ascii="Arial" w:cs="Arial" w:eastAsia="Arial" w:hAnsi="Arial"/>
                <w:sz w:val="15"/>
                <w:szCs w:val="15"/>
                <w:color w:val="auto"/>
              </w:rPr>
              <w:t>99.1</w:t>
            </w:r>
          </w:p>
        </w:tc>
        <w:tc>
          <w:tcPr>
            <w:tcW w:w="72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Arial" w:cs="Arial" w:eastAsia="Arial" w:hAnsi="Arial"/>
                <w:sz w:val="15"/>
                <w:szCs w:val="15"/>
                <w:color w:val="0000FF"/>
              </w:rPr>
              <w:t>Pricing Announcement of Wynn Macau, Limited, dated March 3, 2023.</w:t>
            </w:r>
          </w:p>
        </w:tc>
      </w:tr>
      <w:tr>
        <w:trPr>
          <w:trHeight w:val="1048"/>
        </w:trPr>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820" w:type="dxa"/>
            <w:vAlign w:val="bottom"/>
            <w:tcBorders>
              <w:top w:val="single" w:sz="8" w:color="0000FF"/>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SIGNATURES</w:t>
      </w:r>
    </w:p>
    <w:p>
      <w:pPr>
        <w:spacing w:after="0" w:line="204" w:lineRule="exact"/>
        <w:rPr>
          <w:sz w:val="20"/>
          <w:szCs w:val="20"/>
          <w:color w:val="auto"/>
        </w:rPr>
      </w:pPr>
    </w:p>
    <w:p>
      <w:pPr>
        <w:ind w:firstLine="382"/>
        <w:spacing w:after="0" w:line="289"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123" w:lineRule="exact"/>
        <w:rPr>
          <w:sz w:val="20"/>
          <w:szCs w:val="20"/>
          <w:color w:val="auto"/>
        </w:rPr>
      </w:pPr>
    </w:p>
    <w:p>
      <w:pPr>
        <w:ind w:left="7580"/>
        <w:spacing w:after="0"/>
        <w:rPr>
          <w:sz w:val="20"/>
          <w:szCs w:val="20"/>
          <w:color w:val="auto"/>
        </w:rPr>
      </w:pPr>
      <w:r>
        <w:rPr>
          <w:rFonts w:ascii="Arial" w:cs="Arial" w:eastAsia="Arial" w:hAnsi="Arial"/>
          <w:sz w:val="15"/>
          <w:szCs w:val="15"/>
          <w:b w:val="1"/>
          <w:bCs w:val="1"/>
          <w:color w:val="auto"/>
        </w:rPr>
        <w:t>WYNN RESORTS, LIMITED</w:t>
      </w:r>
    </w:p>
    <w:p>
      <w:pPr>
        <w:sectPr>
          <w:pgSz w:w="11900" w:h="16838" w:orient="portrait"/>
          <w:cols w:equalWidth="0" w:num="1">
            <w:col w:w="11260"/>
          </w:cols>
          <w:pgMar w:left="320" w:top="783" w:right="319" w:bottom="1440" w:gutter="0" w:footer="0" w:header="0"/>
        </w:sectPr>
      </w:pPr>
    </w:p>
    <w:p>
      <w:pPr>
        <w:spacing w:after="0" w:line="7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Dated: March 3, 2023</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tabs>
          <w:tab w:leader="none" w:pos="7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29210</wp:posOffset>
            </wp:positionV>
            <wp:extent cx="24644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4435" cy="762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6120" w:space="720"/>
            <w:col w:w="4420"/>
          </w:cols>
          <w:pgMar w:left="320" w:top="783" w:right="319" w:bottom="1440" w:gutter="0" w:footer="0" w:header="0"/>
          <w:type w:val="continuous"/>
        </w:sectPr>
      </w:pPr>
    </w:p>
    <w:p>
      <w:pPr>
        <w:ind w:left="6960"/>
        <w:spacing w:after="0"/>
        <w:rPr>
          <w:sz w:val="20"/>
          <w:szCs w:val="20"/>
          <w:color w:val="auto"/>
        </w:rPr>
      </w:pPr>
      <w:r>
        <w:rPr>
          <w:rFonts w:ascii="Arial" w:cs="Arial" w:eastAsia="Arial" w:hAnsi="Arial"/>
          <w:sz w:val="15"/>
          <w:szCs w:val="15"/>
          <w:color w:val="auto"/>
        </w:rPr>
        <w:t>Julie Cameron-Doe</w:t>
      </w:r>
    </w:p>
    <w:p>
      <w:pPr>
        <w:spacing w:after="0" w:line="24" w:lineRule="exact"/>
        <w:rPr>
          <w:sz w:val="20"/>
          <w:szCs w:val="20"/>
          <w:color w:val="auto"/>
        </w:rPr>
      </w:pPr>
    </w:p>
    <w:p>
      <w:pPr>
        <w:ind w:left="6960"/>
        <w:spacing w:after="0"/>
        <w:rPr>
          <w:sz w:val="20"/>
          <w:szCs w:val="20"/>
          <w:color w:val="auto"/>
        </w:rPr>
      </w:pPr>
      <w:r>
        <w:rPr>
          <w:rFonts w:ascii="Arial" w:cs="Arial" w:eastAsia="Arial" w:hAnsi="Arial"/>
          <w:sz w:val="15"/>
          <w:szCs w:val="15"/>
          <w:color w:val="auto"/>
        </w:rPr>
        <w:t>Chief Financial Officer</w:t>
      </w:r>
    </w:p>
    <w:p>
      <w:pPr>
        <w:spacing w:after="0" w:line="24" w:lineRule="exact"/>
        <w:rPr>
          <w:sz w:val="20"/>
          <w:szCs w:val="20"/>
          <w:color w:val="auto"/>
        </w:rPr>
      </w:pPr>
    </w:p>
    <w:p>
      <w:pPr>
        <w:ind w:left="6960"/>
        <w:spacing w:after="0"/>
        <w:rPr>
          <w:sz w:val="20"/>
          <w:szCs w:val="20"/>
          <w:color w:val="auto"/>
        </w:rPr>
      </w:pPr>
      <w:r>
        <w:rPr>
          <w:rFonts w:ascii="Arial" w:cs="Arial" w:eastAsia="Arial" w:hAnsi="Arial"/>
          <w:sz w:val="14"/>
          <w:szCs w:val="14"/>
          <w:color w:val="auto"/>
        </w:rPr>
        <w:t>(Principal Financial and Accounting Officer)</w:t>
      </w:r>
    </w:p>
    <w:p>
      <w:pPr>
        <w:sectPr>
          <w:pgSz w:w="11900" w:h="16838" w:orient="portrait"/>
          <w:cols w:equalWidth="0" w:num="1">
            <w:col w:w="11260"/>
          </w:cols>
          <w:pgMar w:left="320" w:top="783" w:right="31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2023-03-03T05:17:25Z</dcterms:created>
  <dcterms:modified xsi:type="dcterms:W3CDTF">2023-03-03T05:17:25Z</dcterms:modified>
</cp:coreProperties>
</file>