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26, 2010</w:t>
      </w:r>
    </w:p>
    <w:p>
      <w:pPr>
        <w:spacing w:after="0" w:line="2" w:lineRule="exact"/>
        <w:rPr>
          <w:sz w:val="24"/>
          <w:szCs w:val="24"/>
          <w:color w:val="auto"/>
        </w:rPr>
      </w:pPr>
    </w:p>
    <w:p>
      <w:pPr>
        <w:ind w:left="9160"/>
        <w:spacing w:after="0"/>
        <w:rPr>
          <w:sz w:val="20"/>
          <w:szCs w:val="20"/>
          <w:color w:val="auto"/>
        </w:rPr>
      </w:pPr>
      <w:r>
        <w:rPr>
          <w:rFonts w:ascii="Arial" w:cs="Arial" w:eastAsia="Arial" w:hAnsi="Arial"/>
          <w:sz w:val="12"/>
          <w:szCs w:val="12"/>
          <w:b w:val="1"/>
          <w:bCs w:val="1"/>
          <w:color w:val="auto"/>
        </w:rPr>
        <w:t>Registration Statement No. 333-166563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left="4460"/>
        <w:spacing w:after="0"/>
        <w:rPr>
          <w:sz w:val="20"/>
          <w:szCs w:val="20"/>
          <w:color w:val="auto"/>
        </w:rPr>
      </w:pPr>
      <w:r>
        <w:rPr>
          <w:rFonts w:ascii="Arial" w:cs="Arial" w:eastAsia="Arial" w:hAnsi="Arial"/>
          <w:sz w:val="32"/>
          <w:szCs w:val="32"/>
          <w:b w:val="1"/>
          <w:bCs w:val="1"/>
          <w:color w:val="auto"/>
        </w:rPr>
        <w:t>Amendment No. 2</w:t>
      </w:r>
    </w:p>
    <w:p>
      <w:pPr>
        <w:spacing w:after="0" w:line="53" w:lineRule="exact"/>
        <w:rPr>
          <w:sz w:val="24"/>
          <w:szCs w:val="24"/>
          <w:color w:val="auto"/>
        </w:rPr>
      </w:pPr>
    </w:p>
    <w:p>
      <w:pPr>
        <w:ind w:left="5580"/>
        <w:spacing w:after="0"/>
        <w:rPr>
          <w:sz w:val="20"/>
          <w:szCs w:val="20"/>
          <w:color w:val="auto"/>
        </w:rPr>
      </w:pPr>
      <w:r>
        <w:rPr>
          <w:rFonts w:ascii="Arial" w:cs="Arial" w:eastAsia="Arial" w:hAnsi="Arial"/>
          <w:sz w:val="32"/>
          <w:szCs w:val="32"/>
          <w:b w:val="1"/>
          <w:bCs w:val="1"/>
          <w:color w:val="auto"/>
        </w:rPr>
        <w:t>to</w:t>
      </w:r>
    </w:p>
    <w:p>
      <w:pPr>
        <w:spacing w:after="0" w:line="37" w:lineRule="exact"/>
        <w:rPr>
          <w:sz w:val="24"/>
          <w:szCs w:val="24"/>
          <w:color w:val="auto"/>
        </w:rPr>
      </w:pPr>
    </w:p>
    <w:p>
      <w:pPr>
        <w:ind w:left="5060"/>
        <w:spacing w:after="0"/>
        <w:rPr>
          <w:sz w:val="20"/>
          <w:szCs w:val="20"/>
          <w:color w:val="auto"/>
        </w:rPr>
      </w:pPr>
      <w:r>
        <w:rPr>
          <w:rFonts w:ascii="Arial" w:cs="Arial" w:eastAsia="Arial" w:hAnsi="Arial"/>
          <w:sz w:val="32"/>
          <w:szCs w:val="32"/>
          <w:b w:val="1"/>
          <w:bCs w:val="1"/>
          <w:color w:val="auto"/>
        </w:rPr>
        <w:t>Form S-4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9" w:lineRule="exact"/>
        <w:rPr>
          <w:sz w:val="24"/>
          <w:szCs w:val="24"/>
          <w:color w:val="auto"/>
        </w:rPr>
      </w:pPr>
    </w:p>
    <w:tbl>
      <w:tblPr>
        <w:tblLayout w:type="fixed"/>
        <w:tblInd w:w="108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63"/>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77"/>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spacing w:after="0" w:line="13"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68"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260" w:firstLine="342"/>
        <w:spacing w:after="0" w:line="168"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TABLE OF ADDITIONAL REGISTRANTS</w:t>
            </w: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State or Other Jurisdiction</w:t>
            </w:r>
          </w:p>
        </w:tc>
        <w:tc>
          <w:tcPr>
            <w:tcW w:w="2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Primary Standard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0" w:type="dxa"/>
            <w:vAlign w:val="bottom"/>
            <w:gridSpan w:val="2"/>
          </w:tcPr>
          <w:p>
            <w:pPr>
              <w:jc w:val="right"/>
              <w:ind w:right="1520"/>
              <w:spacing w:after="0" w:line="149" w:lineRule="exact"/>
              <w:rPr>
                <w:sz w:val="20"/>
                <w:szCs w:val="20"/>
                <w:color w:val="auto"/>
              </w:rPr>
            </w:pPr>
            <w:r>
              <w:rPr>
                <w:rFonts w:ascii="Arial" w:cs="Arial" w:eastAsia="Arial" w:hAnsi="Arial"/>
                <w:sz w:val="14"/>
                <w:szCs w:val="14"/>
                <w:b w:val="1"/>
                <w:bCs w:val="1"/>
                <w:color w:val="auto"/>
              </w:rPr>
              <w:t>of</w:t>
            </w:r>
          </w:p>
        </w:tc>
        <w:tc>
          <w:tcPr>
            <w:tcW w:w="20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Industrial</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I.R.S. Employer</w:t>
            </w:r>
          </w:p>
        </w:tc>
      </w:tr>
      <w:tr>
        <w:trPr>
          <w:trHeight w:val="16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Incorporation or Formation</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Classification Code Number</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Identification No.</w:t>
            </w:r>
          </w:p>
        </w:tc>
      </w:tr>
      <w:tr>
        <w:trPr>
          <w:trHeight w:val="131"/>
        </w:trPr>
        <w:tc>
          <w:tcPr>
            <w:tcW w:w="17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Las Vegas Jet, LLC</w:t>
            </w:r>
          </w:p>
        </w:tc>
        <w:tc>
          <w:tcPr>
            <w:tcW w:w="1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Nevada</w:t>
            </w:r>
          </w:p>
        </w:tc>
        <w:tc>
          <w:tcPr>
            <w:tcW w:w="780" w:type="dxa"/>
            <w:vAlign w:val="bottom"/>
          </w:tcPr>
          <w:p>
            <w:pPr>
              <w:spacing w:after="0"/>
              <w:rPr>
                <w:sz w:val="11"/>
                <w:szCs w:val="11"/>
                <w:color w:val="auto"/>
              </w:rPr>
            </w:pPr>
          </w:p>
        </w:tc>
        <w:tc>
          <w:tcPr>
            <w:tcW w:w="1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7990</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88-0460935</w:t>
            </w:r>
          </w:p>
        </w:tc>
        <w:tc>
          <w:tcPr>
            <w:tcW w:w="20" w:type="dxa"/>
            <w:vAlign w:val="bottom"/>
          </w:tcPr>
          <w:p>
            <w:pPr>
              <w:spacing w:after="0"/>
              <w:rPr>
                <w:sz w:val="11"/>
                <w:szCs w:val="1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World Travel,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Golf,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Show Performers,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20-0475541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Sunrise,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20-1366675</w:t>
            </w:r>
          </w:p>
        </w:tc>
      </w:tr>
      <w:tr>
        <w:trPr>
          <w:trHeight w:val="172"/>
        </w:trPr>
        <w:tc>
          <w:tcPr>
            <w:tcW w:w="3140" w:type="dxa"/>
            <w:vAlign w:val="bottom"/>
            <w:gridSpan w:val="2"/>
          </w:tcPr>
          <w:p>
            <w:pPr>
              <w:spacing w:after="0"/>
              <w:rPr>
                <w:sz w:val="20"/>
                <w:szCs w:val="20"/>
                <w:color w:val="auto"/>
              </w:rPr>
            </w:pPr>
            <w:r>
              <w:rPr>
                <w:rFonts w:ascii="Arial" w:cs="Arial" w:eastAsia="Arial" w:hAnsi="Arial"/>
                <w:sz w:val="14"/>
                <w:szCs w:val="14"/>
                <w:color w:val="auto"/>
              </w:rPr>
              <w:t>Kevyn, LLC</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color w:val="auto"/>
              </w:rPr>
              <w:t>88-0464939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4"/>
          <w:szCs w:val="24"/>
          <w:color w:val="auto"/>
        </w:rPr>
      </w:pPr>
    </w:p>
    <w:p>
      <w:pPr>
        <w:ind w:left="120" w:right="100" w:hanging="112"/>
        <w:spacing w:after="0" w:line="196" w:lineRule="auto"/>
        <w:tabs>
          <w:tab w:leader="none" w:pos="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Address and telephone number of principal executive offices are the same as Wynn Las Vegas, LLC. The 7 </w:t>
      </w:r>
      <w:r>
        <w:rPr>
          <w:rFonts w:ascii="Arial" w:cs="Arial" w:eastAsia="Arial" w:hAnsi="Arial"/>
          <w:sz w:val="22"/>
          <w:szCs w:val="22"/>
          <w:color w:val="auto"/>
          <w:vertAlign w:val="superscript"/>
        </w:rPr>
        <w:t>7</w:t>
      </w:r>
      <w:r>
        <w:rPr>
          <w:rFonts w:ascii="Arial" w:cs="Arial" w:eastAsia="Arial" w:hAnsi="Arial"/>
          <w:sz w:val="14"/>
          <w:szCs w:val="14"/>
          <w:color w:val="auto"/>
        </w:rPr>
        <w:t xml:space="preserve">/8% First Mortgage Notes due 2017 and the 7 </w:t>
      </w:r>
      <w:r>
        <w:rPr>
          <w:rFonts w:ascii="Arial" w:cs="Arial" w:eastAsia="Arial" w:hAnsi="Arial"/>
          <w:sz w:val="22"/>
          <w:szCs w:val="22"/>
          <w:color w:val="auto"/>
          <w:vertAlign w:val="superscript"/>
        </w:rPr>
        <w:t>7</w:t>
      </w:r>
      <w:r>
        <w:rPr>
          <w:rFonts w:ascii="Arial" w:cs="Arial" w:eastAsia="Arial" w:hAnsi="Arial"/>
          <w:sz w:val="14"/>
          <w:szCs w:val="14"/>
          <w:color w:val="auto"/>
        </w:rPr>
        <w:t>/8% First Mortgage Notes due 2020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CC062A"/>
        </w:rPr>
        <w:t>Subject to completion, dated July 26,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71" w:lineRule="exact"/>
        <w:rPr>
          <w:sz w:val="20"/>
          <w:szCs w:val="20"/>
          <w:color w:val="auto"/>
        </w:rPr>
      </w:pPr>
    </w:p>
    <w:p>
      <w:pPr>
        <w:ind w:left="3880" w:right="3840" w:firstLine="76"/>
        <w:spacing w:after="0" w:line="317" w:lineRule="auto"/>
        <w:tabs>
          <w:tab w:leader="none" w:pos="4131" w:val="left"/>
        </w:tabs>
        <w:numPr>
          <w:ilvl w:val="0"/>
          <w:numId w:val="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ind w:left="4140" w:hanging="184"/>
        <w:spacing w:after="0"/>
        <w:tabs>
          <w:tab w:leader="none" w:pos="4140" w:val="left"/>
        </w:tabs>
        <w:numPr>
          <w:ilvl w:val="0"/>
          <w:numId w:val="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(CUSIP 983130 AN5)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And</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$382,010,000 of their outstanding</w:t>
      </w:r>
    </w:p>
    <w:p>
      <w:pPr>
        <w:spacing w:after="0" w:line="71" w:lineRule="exact"/>
        <w:rPr>
          <w:sz w:val="20"/>
          <w:szCs w:val="20"/>
          <w:color w:val="auto"/>
        </w:rPr>
      </w:pPr>
    </w:p>
    <w:p>
      <w:pPr>
        <w:ind w:left="3860" w:right="3820" w:firstLine="96"/>
        <w:spacing w:after="0" w:line="317" w:lineRule="auto"/>
        <w:tabs>
          <w:tab w:leader="none" w:pos="4135"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ind w:left="4740" w:right="3900" w:hanging="784"/>
        <w:spacing w:after="0" w:line="314" w:lineRule="auto"/>
        <w:tabs>
          <w:tab w:leader="none" w:pos="4135"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 983130 AP0)</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4"/>
          <w:szCs w:val="14"/>
          <w:b w:val="1"/>
          <w:bCs w:val="1"/>
          <w:color w:val="auto"/>
        </w:rPr>
        <w:t>The exchange offer will expire at 5:00 p.m., New York City time, on</w:t>
      </w:r>
      <w:r>
        <w:rPr>
          <w:sz w:val="20"/>
          <w:szCs w:val="20"/>
          <w:color w:val="auto"/>
        </w:rPr>
        <w:tab/>
      </w:r>
      <w:r>
        <w:rPr>
          <w:rFonts w:ascii="Arial" w:cs="Arial" w:eastAsia="Arial" w:hAnsi="Arial"/>
          <w:sz w:val="11"/>
          <w:szCs w:val="11"/>
          <w:b w:val="1"/>
          <w:bCs w:val="1"/>
          <w:color w:val="auto"/>
        </w:rPr>
        <w:t>, 2010, unless we extend the exchange offer.</w:t>
      </w:r>
    </w:p>
    <w:p>
      <w:pPr>
        <w:spacing w:after="0" w:line="71" w:lineRule="exact"/>
        <w:rPr>
          <w:sz w:val="20"/>
          <w:szCs w:val="20"/>
          <w:color w:val="auto"/>
        </w:rPr>
      </w:pPr>
    </w:p>
    <w:p>
      <w:pPr>
        <w:ind w:firstLine="342"/>
        <w:spacing w:after="0" w:line="189" w:lineRule="auto"/>
        <w:rPr>
          <w:sz w:val="20"/>
          <w:szCs w:val="20"/>
          <w:color w:val="auto"/>
        </w:rPr>
      </w:pPr>
      <w:r>
        <w:rPr>
          <w:rFonts w:ascii="Arial" w:cs="Arial" w:eastAsia="Arial" w:hAnsi="Arial"/>
          <w:sz w:val="13"/>
          <w:szCs w:val="13"/>
          <w:color w:val="auto"/>
        </w:rPr>
        <w:t xml:space="preserve">We refer to the registered notes offered in this exchange offer as the “new 2017 notes” and the “new 2020 notes” (collectively, the “new notes”). We refer to all outstanding $500,000,000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 xml:space="preserve">/8% first mortgage notes due 2017 issued on October 19, 2009 as the “old 2017 notes” and all outstanding $382,010,000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/8% first mortgage notes due 2020 issued on April 28, 2010 as the “old 2020 notes” (collectively, the “old notes”). The old 2017 notes were issued under the indenture, dated as of October 19, 2009, and the old 2020 notes were issued under the indenture, dated as of April 28, 2010.</w:t>
      </w:r>
    </w:p>
    <w:p>
      <w:pPr>
        <w:spacing w:after="0" w:line="41" w:lineRule="exact"/>
        <w:rPr>
          <w:sz w:val="20"/>
          <w:szCs w:val="20"/>
          <w:color w:val="auto"/>
        </w:rPr>
      </w:pPr>
    </w:p>
    <w:p>
      <w:pPr>
        <w:ind w:right="20" w:firstLine="342"/>
        <w:spacing w:after="0" w:line="196" w:lineRule="auto"/>
        <w:rPr>
          <w:sz w:val="20"/>
          <w:szCs w:val="20"/>
          <w:color w:val="auto"/>
        </w:rPr>
      </w:pPr>
      <w:r>
        <w:rPr>
          <w:rFonts w:ascii="Arial" w:cs="Arial" w:eastAsia="Arial" w:hAnsi="Arial"/>
          <w:sz w:val="14"/>
          <w:szCs w:val="14"/>
          <w:color w:val="auto"/>
        </w:rPr>
        <w:t xml:space="preserve">The old notes are, and, upon consummation of the exchange offer, the new notes will be, pari passu with our outstanding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(the “2014 notes”) and our obligations under our credit facilities.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0"/>
          <w:szCs w:val="20"/>
          <w:color w:val="auto"/>
        </w:rPr>
      </w:pPr>
    </w:p>
    <w:p>
      <w:pPr>
        <w:ind w:left="800" w:right="4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exchange the new 2017 notes for all outstanding old 2017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also exchange the new 2020 notes for all outstanding old 2020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68"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of the new 2017 notes are substantially identical to those of the old 2017 notes, except that the transfer restrictions, registration rights and liquidated damages provisions relating to the old 2017 notes will not apply to the new 2017 notes.</w:t>
      </w:r>
    </w:p>
    <w:p>
      <w:pPr>
        <w:spacing w:after="0" w:line="57"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of the new 2020 notes are substantially identical to those of the old 2020 notes, except that the transfer restrictions, registration rights and liquidated damages provisions relating to the old 2020 notes will not apply to the new 2020 notes.</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68" w:lineRule="exact"/>
        <w:rPr>
          <w:rFonts w:ascii="Arial" w:cs="Arial" w:eastAsia="Arial" w:hAnsi="Arial"/>
          <w:sz w:val="14"/>
          <w:szCs w:val="14"/>
          <w:color w:val="auto"/>
        </w:rPr>
      </w:pPr>
    </w:p>
    <w:p>
      <w:pPr>
        <w:ind w:left="800" w:right="14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w:t>
      </w:r>
    </w:p>
    <w:p>
      <w:pPr>
        <w:spacing w:after="0" w:line="69" w:lineRule="exact"/>
        <w:rPr>
          <w:sz w:val="20"/>
          <w:szCs w:val="20"/>
          <w:color w:val="auto"/>
        </w:rPr>
      </w:pPr>
    </w:p>
    <w:p>
      <w:pPr>
        <w:ind w:right="20" w:firstLine="342"/>
        <w:spacing w:after="0" w:line="278" w:lineRule="auto"/>
        <w:rPr>
          <w:sz w:val="20"/>
          <w:szCs w:val="20"/>
          <w:color w:val="auto"/>
        </w:rPr>
      </w:pPr>
      <w:r>
        <w:rPr>
          <w:rFonts w:ascii="Arial" w:cs="Arial" w:eastAsia="Arial" w:hAnsi="Arial"/>
          <w:sz w:val="12"/>
          <w:szCs w:val="12"/>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2"/>
          <w:szCs w:val="12"/>
          <w:i w:val="1"/>
          <w:iCs w:val="1"/>
          <w:color w:val="auto"/>
        </w:rPr>
        <w:t>Exxon Capital Holdings Corp.</w:t>
      </w:r>
      <w:r>
        <w:rPr>
          <w:rFonts w:ascii="Arial" w:cs="Arial" w:eastAsia="Arial" w:hAnsi="Arial"/>
          <w:sz w:val="12"/>
          <w:szCs w:val="12"/>
          <w:color w:val="auto"/>
        </w:rPr>
        <w:t>, SEC no-action letter (publicly available May 13,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89535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2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19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2" w:lineRule="exact"/>
        <w:rPr>
          <w:sz w:val="20"/>
          <w:szCs w:val="20"/>
          <w:color w:val="auto"/>
        </w:rPr>
      </w:pPr>
    </w:p>
    <w:p>
      <w:pPr>
        <w:ind w:right="40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right="52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680" w:type="dxa"/>
            <w:vAlign w:val="bottom"/>
          </w:tcPr>
          <w:p>
            <w:pPr>
              <w:jc w:val="right"/>
              <w:spacing w:after="0"/>
              <w:rPr>
                <w:sz w:val="20"/>
                <w:szCs w:val="20"/>
                <w:color w:val="auto"/>
              </w:rPr>
            </w:pPr>
            <w:r>
              <w:rPr>
                <w:rFonts w:ascii="Arial" w:cs="Arial" w:eastAsia="Arial" w:hAnsi="Arial"/>
                <w:sz w:val="14"/>
                <w:szCs w:val="14"/>
                <w:color w:val="auto"/>
              </w:rPr>
              <w:t>, 2010</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016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5"/>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5">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The Exchange Offer</w:t>
              </w:r>
            </w:hyperlink>
          </w:p>
        </w:tc>
        <w:tc>
          <w:tcPr>
            <w:tcW w:w="96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Description of the New 2017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Description of the New 2020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4">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64">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Legal Matters</w:t>
              </w:r>
            </w:hyperlink>
          </w:p>
        </w:tc>
        <w:tc>
          <w:tcPr>
            <w:tcW w:w="96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Experts</w:t>
              </w:r>
            </w:hyperlink>
          </w:p>
        </w:tc>
        <w:tc>
          <w:tcPr>
            <w:tcW w:w="100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67">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a natural disaster may have on the travel and leisure industry;</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19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 xml:space="preserve"> /</w:t>
      </w:r>
      <w:r>
        <w:rPr>
          <w:rFonts w:ascii="Arial" w:cs="Arial" w:eastAsia="Arial" w:hAnsi="Arial"/>
          <w:sz w:val="12"/>
          <w:szCs w:val="12"/>
          <w:i w:val="1"/>
          <w:iCs w:val="1"/>
          <w:color w:val="auto"/>
        </w:rPr>
        <w:t>8</w:t>
      </w:r>
      <w:r>
        <w:rPr>
          <w:rFonts w:ascii="Arial" w:cs="Arial" w:eastAsia="Arial" w:hAnsi="Arial"/>
          <w:sz w:val="16"/>
          <w:szCs w:val="16"/>
          <w:i w:val="1"/>
          <w:iCs w:val="1"/>
          <w:color w:val="auto"/>
        </w:rPr>
        <w:t xml:space="preserve">% first mortgage notes due 2017 are sometimes referred to herein as the “2017 notes,” which term, except with respect to discussions of original issue discount and other income tax consequences and unless the context otherwise requires, includes the new 2017 notes and the old 2017 notes.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2020 are sometimes referred to herein as the “2020 notes,” which term, except with respect to discussions of original issue discount and other income tax consequences and unless the context otherwise requires, includes the new 2020 notes and the old 2020 notes. The sole member of Wynn Las Vegas, LLC is Wynn Resorts Holdings, LLC (“Wynn Holdings”), and the sole member of Wynn Holdings is Wynn Resorts, Limited (“Wynn Resorts”).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Encore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and AAA five-diamond awards. The Spa at Encore also earned five-star recognition from Forbes.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Exchange Offer</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March 26, 2010, the Issuers commenced an offer to exchange their outstanding 2014 notes for the old 2020 notes, upon the terms and subject to the conditions set forth in a confidential offering memorandum and a related letter of transmittal (the “2014/2020 exchange offer”). The 2014/2020 exchange offer was conditioned upon, among other things, the tender of at least $250 million aggregate principal amount of 2014 notes. The old 2020 notes were only offered to qualified institutional buyers and outside the United States in accordance with Rule 144A and Regulation S, respectively, under the Securities Act of 1933, as amended.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each $1,000 aggregate principal amout of 2014 notes tendered in the 2014/2020 exchange offer, the tendering holders of 2014 notes received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$1,000 aggregate principal amount of old 2020 notes. Noteholders who validly tendered 2014 notes prior to 7:00 a.m., New York City time, on April 9, 2010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received an early delivery payment of $10 in cash in exchange for each $1,000 principal amount of 2014 notes tendered. The Issuers paid a total early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delivery payment of $3,797,530 in cash.</w:t>
      </w:r>
    </w:p>
    <w:p>
      <w:pPr>
        <w:spacing w:after="0" w:line="165" w:lineRule="exact"/>
        <w:rPr>
          <w:sz w:val="20"/>
          <w:szCs w:val="20"/>
          <w:color w:val="auto"/>
        </w:rPr>
      </w:pPr>
    </w:p>
    <w:p>
      <w:pPr>
        <w:ind w:left="200" w:right="120" w:firstLine="443"/>
        <w:spacing w:after="0" w:line="370" w:lineRule="auto"/>
        <w:rPr>
          <w:sz w:val="20"/>
          <w:szCs w:val="20"/>
          <w:color w:val="auto"/>
        </w:rPr>
      </w:pPr>
      <w:r>
        <w:rPr>
          <w:rFonts w:ascii="Arial" w:cs="Arial" w:eastAsia="Arial" w:hAnsi="Arial"/>
          <w:sz w:val="15"/>
          <w:szCs w:val="15"/>
          <w:color w:val="auto"/>
        </w:rPr>
        <w:t>At the expiration of the 2014/2020 exchange offer on April 23, 2010, $382,010,000 aggregate prinicipal amount of 2014 notes had been tendered in exchange for old 2020 notes. On April 28, 2010, the Issuers accepted all such tendered notes for exchange and consummated the 2014/2020 exchange offer.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06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506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Tender Offer for 2014 Notes</w:t>
      </w:r>
    </w:p>
    <w:p>
      <w:pPr>
        <w:spacing w:after="0" w:line="96" w:lineRule="exact"/>
        <w:rPr>
          <w:sz w:val="20"/>
          <w:szCs w:val="20"/>
          <w:color w:val="auto"/>
        </w:rPr>
      </w:pPr>
    </w:p>
    <w:p>
      <w:pPr>
        <w:ind w:left="200" w:firstLine="443"/>
        <w:spacing w:after="0" w:line="309" w:lineRule="auto"/>
        <w:rPr>
          <w:sz w:val="20"/>
          <w:szCs w:val="20"/>
          <w:color w:val="auto"/>
        </w:rPr>
      </w:pPr>
      <w:r>
        <w:rPr>
          <w:rFonts w:ascii="Arial" w:cs="Arial" w:eastAsia="Arial" w:hAnsi="Arial"/>
          <w:sz w:val="15"/>
          <w:szCs w:val="15"/>
          <w:color w:val="auto"/>
        </w:rPr>
        <w:t>On July 21, 2010, Wynn Las Vegas commenced an offer to purchase for cash any and all of the outstanding 2014 notes, and a solicitation of consents to amend the indenture and the intercreditor agreement related to the 2014 notes. Pursuant to the tender offer, we are offering $1,004.38 for each $1,000 principal amount of 2014 notes validly tendered and not validly withdrawn on or before the expiration date, plus an additional $30.00 to holders who tender their 2014 notes prior to the consent deadline, in each case, including accrued and unpaid interest up to, but not including, the applicable payment date. The proposed amendments to the 2014 notes indenture would eliminate substantially all of the restrictive covenants and certain events of default contained in the indenture. The proposed intercreditor agreement amendments would grant the trustees and holders of the new series 2020 notes (as defined below), the old notes and, upon consummation of the exchange offer, the new notes rights equal to those of the trustee and holders of 2014 notes to enforce remedies against shared collateral. The consummation of the private offering of the new series 2020 notes described below is a condition to our obligation to accept for purchase and pay for the 2014 notes pursuant to our offer to purchase and consent solicitation and to redeem any 2014 notes not tendered.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Private Offering of 7¾% First Mortgage Notes due 2020</w:t>
      </w:r>
    </w:p>
    <w:p>
      <w:pPr>
        <w:spacing w:after="0" w:line="96"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On July 21, 2010, the Issuers commenced and successfully priced an offering of $1,320,000,000 aggregate principal amount of 7¾% First Mortgage Notes due 2020 (the “new series 2020 notes”). The new series 2020 notes will be issued at par. The new series 2020 notes will be offered only to qualified institutional buyers and outside the U.S. in accordance with Rule 144A and Regulation S, respectively, under the Securities Act. Wynn Las Vegas plans to use the net proceeds of the offering along with the proceeds of a capital contribution from Wynn Resorts to purchase, and pay consent payments for, any and all of the 2014 notes that are validly tendered and accepted for payment pursuant to Wynn Las Vegas’ concurrent offer to purchase and consent solicitation with respect to the 2014 notes and to redeem any 2014 notes not tendered.</w:t>
      </w:r>
    </w:p>
    <w:p>
      <w:pPr>
        <w:spacing w:after="0" w:line="120"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The new series 2020 notes will rank pari passu in right of payment with borrowings under Wynn Las Vegas’ credit facilities, the 2014 notes, the old notes and, upon consummation of the exchange offer, the new notes.</w:t>
      </w:r>
    </w:p>
    <w:p>
      <w:pPr>
        <w:spacing w:after="0" w:line="13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new series 2020 notes will be senior secured obligations of the Issuers, will be guaranteed by certain of Wynn Las Vegas’ subsidiaries and will be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all of which is the same collateral that secures borrowings under Wynn Las Vegas’ credit facilities, the 2014 notes, the old notes and, upon consummation of the exchange offer, the new notes.</w:t>
      </w:r>
    </w:p>
    <w:p>
      <w:pPr>
        <w:spacing w:after="0" w:line="143"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The new series 2020 notes have not been registered under the Securities Act or under any state securities laws. Therefore, the Issuers may not offer or sell the new series 2020 notes within the United States to, or for the account or benefit of, any United States person unless the offer or sale would qualify for a registration exemption from the Securities Act and applicable state securities laws.</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jc w:val="center"/>
              <w:ind w:right="3192"/>
              <w:spacing w:after="0"/>
              <w:rPr>
                <w:sz w:val="20"/>
                <w:szCs w:val="20"/>
                <w:color w:val="auto"/>
              </w:rPr>
            </w:pPr>
            <w:r>
              <w:rPr>
                <w:rFonts w:ascii="Arial" w:cs="Arial" w:eastAsia="Arial" w:hAnsi="Arial"/>
                <w:sz w:val="18"/>
                <w:szCs w:val="18"/>
                <w:b w:val="1"/>
                <w:bCs w:val="1"/>
                <w:color w:val="auto"/>
                <w:w w:val="89"/>
              </w:rPr>
              <w:t>The Exchange Offer</w:t>
            </w:r>
          </w:p>
        </w:tc>
        <w:tc>
          <w:tcPr>
            <w:tcW w:w="1340" w:type="dxa"/>
            <w:vAlign w:val="bottom"/>
            <w:tcBorders>
              <w:top w:val="single" w:sz="8" w:color="auto"/>
              <w:right w:val="single" w:sz="8" w:color="auto"/>
            </w:tcBorders>
          </w:tcPr>
          <w:p>
            <w:pPr>
              <w:spacing w:after="0"/>
              <w:rPr>
                <w:sz w:val="24"/>
                <w:szCs w:val="24"/>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which we issued on October 19, 2009. The old 2017</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88"/>
              </w:rPr>
              <w:t>notes were issued under the indenture, dated as of October 19, 2009. The old 2017 notes are, and,</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upon consummation of the exchange offer, the new 2017 notes will be, pari passu with the 2014</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notes, the 2020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2020, which we issued on April 28, 2010. The old 2020 notes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2"/>
              </w:rPr>
              <w:t>were issued under the indenture, dated as of April 28, 2010. The old 2020 notes are, and, upon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0"/>
              </w:rPr>
              <w:t>consummation of the exchange offer, the new 2020 notes will be, pari passu with the 2014 notes,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2017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2017 notes are substantially identical to those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7"/>
              </w:rPr>
              <w:t>of the old 2017 notes, except that the transfer restrictions, registration rights and liquidated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damages provisions relating to the old 2017 notes do not apply to the new 2017 notes.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2020,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old 2020 notes, except that the transfer restrictions, registration rights and liquidated damages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w w:val="93"/>
              </w:rPr>
              <w:t>provisions relating to the old 2020 notes do not apply to the new 2020 notes.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$500,000,000 aggregate principal amount of new 2017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2017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2017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$382,010,000 aggregate principal amount of new 2020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2020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2020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exchange offer will expire at 5:00 p.m., New York City time, 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2010, unless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5480" w:type="dxa"/>
            <w:vAlign w:val="bottom"/>
          </w:tcPr>
          <w:p>
            <w:pPr>
              <w:ind w:left="180"/>
              <w:spacing w:after="0"/>
              <w:rPr>
                <w:sz w:val="20"/>
                <w:szCs w:val="20"/>
                <w:color w:val="auto"/>
              </w:rPr>
            </w:pPr>
            <w:r>
              <w:rPr>
                <w:rFonts w:ascii="Arial" w:cs="Arial" w:eastAsia="Arial" w:hAnsi="Arial"/>
                <w:sz w:val="18"/>
                <w:szCs w:val="18"/>
                <w:color w:val="auto"/>
                <w:w w:val="90"/>
              </w:rPr>
              <w:t>you are not our “affiliate,” as defined in Rule 405 under the Securities Act;</w:t>
            </w:r>
          </w:p>
        </w:tc>
        <w:tc>
          <w:tcPr>
            <w:tcW w:w="1340" w:type="dxa"/>
            <w:vAlign w:val="bottom"/>
            <w:tcBorders>
              <w:right w:val="single" w:sz="8" w:color="auto"/>
            </w:tcBorders>
          </w:tcPr>
          <w:p>
            <w:pPr>
              <w:spacing w:after="0"/>
              <w:rPr>
                <w:sz w:val="24"/>
                <w:szCs w:val="24"/>
                <w:color w:val="auto"/>
              </w:rPr>
            </w:pP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right"/>
              <w:ind w:right="4272"/>
              <w:spacing w:after="0"/>
              <w:rPr>
                <w:sz w:val="20"/>
                <w:szCs w:val="20"/>
                <w:color w:val="auto"/>
              </w:rPr>
            </w:pPr>
            <w:r>
              <w:rPr>
                <w:rFonts w:ascii="Arial" w:cs="Arial" w:eastAsia="Arial" w:hAnsi="Arial"/>
                <w:sz w:val="18"/>
                <w:szCs w:val="18"/>
                <w:color w:val="auto"/>
              </w:rPr>
              <w:t>4</w:t>
            </w:r>
          </w:p>
        </w:tc>
        <w:tc>
          <w:tcPr>
            <w:tcW w:w="13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30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50" w:lineRule="exact"/>
        <w:rPr>
          <w:rFonts w:ascii="Arial" w:cs="Arial" w:eastAsia="Arial" w:hAnsi="Arial"/>
          <w:sz w:val="18"/>
          <w:szCs w:val="18"/>
          <w:color w:val="auto"/>
        </w:rPr>
      </w:pPr>
    </w:p>
    <w:p>
      <w:pPr>
        <w:ind w:left="4820" w:right="360" w:hanging="423"/>
        <w:spacing w:after="0" w:line="256"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62" w:lineRule="exact"/>
        <w:rPr>
          <w:rFonts w:ascii="Arial" w:cs="Arial" w:eastAsia="Arial" w:hAnsi="Arial"/>
          <w:sz w:val="18"/>
          <w:szCs w:val="18"/>
          <w:color w:val="auto"/>
        </w:rPr>
      </w:pPr>
    </w:p>
    <w:p>
      <w:pPr>
        <w:ind w:left="4820" w:right="260" w:hanging="423"/>
        <w:spacing w:after="0" w:line="254"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old notes that were acquired by you as a result of your market-making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63" w:lineRule="exact"/>
        <w:rPr>
          <w:rFonts w:ascii="Arial" w:cs="Arial" w:eastAsia="Arial" w:hAnsi="Arial"/>
          <w:sz w:val="18"/>
          <w:szCs w:val="18"/>
          <w:color w:val="auto"/>
        </w:rPr>
      </w:pPr>
    </w:p>
    <w:p>
      <w:pPr>
        <w:ind w:left="4820" w:right="38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as defined in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4"/>
              </w:rPr>
              <w:t>You may withdraw any old notes tendered in the exchange offer at any time prior to 5:00 p.m.,</w:t>
            </w:r>
          </w:p>
        </w:tc>
      </w:tr>
      <w:tr>
        <w:trPr>
          <w:trHeight w:val="216"/>
        </w:trPr>
        <w:tc>
          <w:tcPr>
            <w:tcW w:w="3480" w:type="dxa"/>
            <w:vAlign w:val="bottom"/>
          </w:tcPr>
          <w:p>
            <w:pPr>
              <w:spacing w:after="0"/>
              <w:rPr>
                <w:sz w:val="18"/>
                <w:szCs w:val="18"/>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rPr>
              <w:t>New York City time, on</w:t>
            </w:r>
          </w:p>
        </w:tc>
        <w:tc>
          <w:tcPr>
            <w:tcW w:w="4480" w:type="dxa"/>
            <w:vAlign w:val="bottom"/>
          </w:tcPr>
          <w:p>
            <w:pPr>
              <w:ind w:left="20"/>
              <w:spacing w:after="0"/>
              <w:rPr>
                <w:sz w:val="20"/>
                <w:szCs w:val="20"/>
                <w:color w:val="auto"/>
              </w:rPr>
            </w:pPr>
            <w:r>
              <w:rPr>
                <w:rFonts w:ascii="Arial" w:cs="Arial" w:eastAsia="Arial" w:hAnsi="Arial"/>
                <w:sz w:val="18"/>
                <w:szCs w:val="18"/>
                <w:color w:val="auto"/>
              </w:rPr>
              <w:t>, 2010, which date we may extend if we extend the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3"/>
              </w:rPr>
              <w:t>exchange offer. If we decide for any reason not to accept any old notes tendered for exchange,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the old notes will be returned to the registered holder at our expense promptly after the expiration</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or termination of the exchange offer. In the case of old notes tendered by book-entry transfer into</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8"/>
              </w:rPr>
              <w:t>unaccepted old notes will be credited to the tendering holder’s account at DTC. For further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information regarding the withdrawal of tendered old notes, see “The Exchange Offer—Terms of</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Pr>
          <w:p>
            <w:pPr>
              <w:spacing w:after="0"/>
              <w:rPr>
                <w:sz w:val="19"/>
                <w:szCs w:val="19"/>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rPr>
              <w:t>Rights.”</w:t>
            </w:r>
          </w:p>
        </w:tc>
        <w:tc>
          <w:tcPr>
            <w:tcW w:w="4480" w:type="dxa"/>
            <w:vAlign w:val="bottom"/>
          </w:tcPr>
          <w:p>
            <w:pPr>
              <w:spacing w:after="0"/>
              <w:rPr>
                <w:sz w:val="19"/>
                <w:szCs w:val="19"/>
                <w:color w:val="auto"/>
              </w:rPr>
            </w:pP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Pr>
          <w:p>
            <w:pPr>
              <w:spacing w:after="0"/>
              <w:rPr>
                <w:sz w:val="19"/>
                <w:szCs w:val="19"/>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w w:val="89"/>
              </w:rPr>
              <w:t>the expiration of the exchange offer:</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the SEC;</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3"/>
              </w:rPr>
              <w:t>governmental agency that might materially impair our or the guarantors’ ability to proceed</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with the exchange offer;</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offer.</w:t>
            </w:r>
          </w:p>
        </w:tc>
        <w:tc>
          <w:tcPr>
            <w:tcW w:w="4480" w:type="dxa"/>
            <w:vAlign w:val="bottom"/>
          </w:tcPr>
          <w:p>
            <w:pPr>
              <w:spacing w:after="0"/>
              <w:rPr>
                <w:sz w:val="19"/>
                <w:szCs w:val="19"/>
                <w:color w:val="auto"/>
              </w:rPr>
            </w:pPr>
          </w:p>
        </w:tc>
      </w:tr>
      <w:tr>
        <w:trPr>
          <w:trHeight w:val="161"/>
        </w:trPr>
        <w:tc>
          <w:tcPr>
            <w:tcW w:w="3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tcPr>
          <w:p>
            <w:pPr>
              <w:ind w:left="1040"/>
              <w:spacing w:after="0"/>
              <w:rPr>
                <w:sz w:val="20"/>
                <w:szCs w:val="20"/>
                <w:color w:val="auto"/>
              </w:rPr>
            </w:pPr>
            <w:r>
              <w:rPr>
                <w:rFonts w:ascii="Arial" w:cs="Arial" w:eastAsia="Arial" w:hAnsi="Arial"/>
                <w:sz w:val="18"/>
                <w:szCs w:val="18"/>
                <w:color w:val="auto"/>
              </w:rPr>
              <w:t>5</w:t>
            </w:r>
          </w:p>
        </w:tc>
        <w:tc>
          <w:tcPr>
            <w:tcW w:w="44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Procedures for Tendering Old Notes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0"/>
              </w:rPr>
              <w:t>Unless you comply with the procedure described below under the caption “The Exchange Offer</w:t>
            </w:r>
          </w:p>
        </w:tc>
      </w:tr>
      <w:tr>
        <w:trPr>
          <w:trHeight w:val="216"/>
        </w:trPr>
        <w:tc>
          <w:tcPr>
            <w:tcW w:w="3360" w:type="dxa"/>
            <w:vAlign w:val="bottom"/>
          </w:tcPr>
          <w:p>
            <w:pPr>
              <w:spacing w:after="0"/>
              <w:rPr>
                <w:sz w:val="18"/>
                <w:szCs w:val="18"/>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8"/>
              </w:rPr>
              <w:t>—Guaranteed Delivery Procedures,” you must do one of the following on or prior to the</w:t>
            </w:r>
          </w:p>
        </w:tc>
      </w:tr>
      <w:tr>
        <w:trPr>
          <w:trHeight w:val="222"/>
        </w:trPr>
        <w:tc>
          <w:tcPr>
            <w:tcW w:w="3360" w:type="dxa"/>
            <w:vAlign w:val="bottom"/>
          </w:tcPr>
          <w:p>
            <w:pPr>
              <w:spacing w:after="0"/>
              <w:rPr>
                <w:sz w:val="19"/>
                <w:szCs w:val="19"/>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sending (i) the certificates for your old notes (in proper form for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0"/>
              </w:rPr>
              <w:t>transfer), (ii) a properly completed and duly executed letter of transmittal and (iii) all other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documents required by the letter of transmittal to U.S. Bank National Association,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exchange agent, at one of the addresses listed below under the caption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using the book-entry transfer procedures described below and</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3"/>
              </w:rPr>
              <w:t>transmitting a properly completed and duly executed letter of transmittal, or an agent’s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message instead of the letter of transmittal, to the exchange agent. For a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transfer to constitute a valid tender of your old notes in the exchange offer, U.S. Bank</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National Association, as exchange agent, must receive a confirmation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transfer of your old notes into the exchange agent’s account at DTC prior to the expiration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or termination of the exchange offer. For more information regarding the use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transfer procedures, including a description of the required agent’s message, see the</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discussion below under the caption “The Exchange Offer—Book-Entry Transfers.”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7"/>
              </w:rPr>
              <w:t>used in this prospectus, the term “agent’s message” means a message, transmitted by DTC</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to and received by the exchange agent and forming a part of a book-entry confirmation,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which states that DTC has received an express acknowledgment from the tendering</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8"/>
              </w:rPr>
              <w:t>participant stating that such participant has received and agrees to be bound by the letter of</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transmittal and that we may enforce such letter of transmittal against such participant.</w:t>
            </w:r>
          </w:p>
        </w:tc>
      </w:tr>
      <w:tr>
        <w:trPr>
          <w:trHeight w:val="412"/>
        </w:trPr>
        <w:tc>
          <w:tcPr>
            <w:tcW w:w="3360" w:type="dxa"/>
            <w:vAlign w:val="bottom"/>
          </w:tcPr>
          <w:p>
            <w:pPr>
              <w:spacing w:after="0"/>
              <w:rPr>
                <w:sz w:val="20"/>
                <w:szCs w:val="20"/>
                <w:color w:val="auto"/>
              </w:rPr>
            </w:pPr>
            <w:r>
              <w:rPr>
                <w:rFonts w:ascii="Arial" w:cs="Arial" w:eastAsia="Arial" w:hAnsi="Arial"/>
                <w:sz w:val="18"/>
                <w:szCs w:val="18"/>
                <w:color w:val="auto"/>
              </w:rPr>
              <w:t>Guaranteed Delivery Procedures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88"/>
              </w:rPr>
              <w:t>If you are a registered holder of old notes and wish to tender your old notes in the exchange offer,</w:t>
            </w:r>
          </w:p>
        </w:tc>
      </w:tr>
      <w:tr>
        <w:trPr>
          <w:trHeight w:val="222"/>
        </w:trPr>
        <w:tc>
          <w:tcPr>
            <w:tcW w:w="3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520" w:type="dxa"/>
            <w:vAlign w:val="bottom"/>
          </w:tcPr>
          <w:p>
            <w:pPr>
              <w:spacing w:after="0"/>
              <w:rPr>
                <w:sz w:val="19"/>
                <w:szCs w:val="19"/>
                <w:color w:val="auto"/>
              </w:rPr>
            </w:pPr>
          </w:p>
        </w:tc>
      </w:tr>
      <w:tr>
        <w:trPr>
          <w:trHeight w:val="297"/>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time will not permit your old notes or other required documents to reach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7"/>
              </w:rPr>
              <w:t>the procedure for book-entry transfer cannot be completed prior to the expiration or</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bl>
    <w:p>
      <w:pPr>
        <w:spacing w:after="0" w:line="75" w:lineRule="exact"/>
        <w:rPr>
          <w:sz w:val="20"/>
          <w:szCs w:val="20"/>
          <w:color w:val="auto"/>
        </w:rPr>
      </w:pPr>
    </w:p>
    <w:p>
      <w:pPr>
        <w:ind w:left="4400"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1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961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5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14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514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you must comply with the registration requirements of the Securities Act in connection with</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any resale transaction.</w:t>
      </w:r>
    </w:p>
    <w:p>
      <w:pPr>
        <w:spacing w:after="0" w:line="165"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200"/>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00"/>
        <w:spacing w:after="0" w:line="287" w:lineRule="auto"/>
        <w:rPr>
          <w:sz w:val="20"/>
          <w:szCs w:val="20"/>
          <w:color w:val="auto"/>
        </w:rPr>
      </w:pPr>
      <w:r>
        <w:rPr>
          <w:rFonts w:ascii="Arial" w:cs="Arial" w:eastAsia="Arial" w:hAnsi="Arial"/>
          <w:sz w:val="16"/>
          <w:szCs w:val="16"/>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 beginning on page 261 for more information.</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2017 notes</w:t>
            </w:r>
          </w:p>
        </w:tc>
        <w:tc>
          <w:tcPr>
            <w:tcW w:w="7280" w:type="dxa"/>
            <w:vAlign w:val="bottom"/>
            <w:tcBorders>
              <w:top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w w:val="94"/>
              </w:rPr>
              <w:t>When we issued the old 2017 notes on October 19, 2009,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3"/>
              </w:rPr>
              <w:t>agreement with the initial purchasers of the old notes. Under the terms of the registration rights</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agreement, we agreed to:</w:t>
            </w:r>
          </w:p>
        </w:tc>
      </w:tr>
      <w:tr>
        <w:trPr>
          <w:trHeight w:val="297"/>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May 17,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August 15,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use all commercially reasonable efforts to file a shelf registration statement for the resale</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of the old 2017 notes if we cannot effect an exchange offer within the time periods listed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above and in certain other circumstances; and</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if we fail to meet our registration obligations, we will pay liquidated damages in an amount</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equal to $0.05 per week per $1,000 of the principal amount of old 2017 notes held by a</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holder for each day that we default on our registration obligations, increasing by an</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additional $0.05 per week per $1,000 of the principal amount of old 2017 notes for each</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subsequent 90-day period our registration obligations are not met, up to a maximum of</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liquidated damages equal to $0.50 per week per $1,000 of the principal amount of old 2017</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notes.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2020 notes</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7"/>
              </w:rPr>
              <w:t>When we issued the old 2020 notes on April 28, 2010,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2"/>
              </w:rPr>
              <w:t>agreement with the dealer managers in the private placement exchange offer pursuant to which</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1"/>
              </w:rPr>
              <w:t>the old 2020 notes were issued. Under the terms of the registration rights agreement, we agreed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to:</w:t>
            </w:r>
          </w:p>
        </w:tc>
        <w:tc>
          <w:tcPr>
            <w:tcW w:w="6760" w:type="dxa"/>
            <w:vAlign w:val="bottom"/>
            <w:tcBorders>
              <w:right w:val="single" w:sz="8" w:color="auto"/>
            </w:tcBorders>
          </w:tcPr>
          <w:p>
            <w:pPr>
              <w:spacing w:after="0"/>
              <w:rPr>
                <w:sz w:val="19"/>
                <w:szCs w:val="19"/>
                <w:color w:val="auto"/>
              </w:rPr>
            </w:pP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November 24,</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February 22, 2011;</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161"/>
        </w:trPr>
        <w:tc>
          <w:tcPr>
            <w:tcW w:w="418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59"/>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tcPr>
          <w:p>
            <w:pPr>
              <w:ind w:left="9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34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820" w:right="180" w:hanging="423"/>
        <w:spacing w:after="0" w:line="259"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2020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820" w:hanging="423"/>
        <w:spacing w:after="0" w:line="253"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meet our registration obligations, we will pay liquidated damages in an amount equal to $0.05 per week per $1,000 of the principal amount of old 2020 notes held by a holder for each day that we default on our registration obligations, increasing by an additional $0.05 per week per $1,000 of the principal amount of old 2020 notes for each subsequent 90-day period our registration obligations are not met, up to a maximum of liquidated damages equal to $0.50 per week per $1,000 of the principal amount of old 2020 notes.</w:t>
      </w: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2017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2017 notes and those of the outstanding old 2017 notes are substantially identical, except that the transfer restrictions, registration rights and liquidated damages provisions relating to the old 2017 notes do not apply to the new 2017 notes. For a more complete understanding of the new 2017 notes, see “Description of the New 2017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$500,000,000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November 1, 2017.</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2017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2017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2017 notes and the 2020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2017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2017 notes and the 2020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2017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2017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2020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2017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2017 notes and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2017 notes will be secured, on an equal and ratable basis (with certain exceptions) with such guarantors’ obligations under the guarantees of our credit facilities, the 2014 notes, the old 2017 notes and the 2020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2017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2017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6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6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2017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2017 Notes— Certain Covenants—Incurrence of Indebtedness and Issuance of Disqualified Stock,” then the security interest in the golf course land may not be released without obtaining the consent of holders of at least 90% of the outstanding principal amount of the 2017 notes.</w:t>
      </w:r>
    </w:p>
    <w:p>
      <w:pPr>
        <w:spacing w:after="0" w:line="105" w:lineRule="exact"/>
        <w:rPr>
          <w:sz w:val="20"/>
          <w:szCs w:val="20"/>
          <w:color w:val="auto"/>
        </w:rPr>
      </w:pPr>
    </w:p>
    <w:p>
      <w:pPr>
        <w:ind w:left="440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6" w:lineRule="auto"/>
        <w:rPr>
          <w:sz w:val="20"/>
          <w:szCs w:val="20"/>
          <w:color w:val="auto"/>
        </w:rPr>
      </w:pPr>
      <w:r>
        <w:rPr>
          <w:rFonts w:ascii="Arial" w:cs="Arial" w:eastAsia="Arial" w:hAnsi="Arial"/>
          <w:sz w:val="18"/>
          <w:szCs w:val="18"/>
          <w:color w:val="auto"/>
        </w:rPr>
        <w:t>In addition, the indenture governing the 2017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At any time prior to November 1, 2012, we may, on one or more occasions, redeem up to 35% of</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the outstanding new 2017 notes at a redemption price of 107.875% of the principal amount, plus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at least 65% of the aggregate principal amount of 2017 notes issued under the indenture</w:t>
            </w:r>
          </w:p>
        </w:tc>
      </w:tr>
      <w:tr>
        <w:trPr>
          <w:trHeight w:val="216"/>
        </w:trPr>
        <w:tc>
          <w:tcPr>
            <w:tcW w:w="4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4"/>
              </w:rPr>
              <w:t>governing the 2017 notes remains outstanding immediately after the occurrence of such</w:t>
            </w:r>
          </w:p>
        </w:tc>
      </w:tr>
      <w:tr>
        <w:trPr>
          <w:trHeight w:val="222"/>
        </w:trPr>
        <w:tc>
          <w:tcPr>
            <w:tcW w:w="4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Except pursuant to a qualified equity offering, we cannot redeem the new 2017 notes prior to</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November 1, 2013. On or after November 1, 2013, we may redeem some or all of the new 2017</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notes at a premium declining ratably to zero,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4"/>
              </w:rPr>
              <w:t>The new 2017 notes will be subject to redemption requirements imposed by gaming laws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2017 notes at 101% of their</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0"/>
              </w:rPr>
              <w:t>we may be required to offer to repurchase the 2020 notes, the 2017 notes and the 2014 notes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The indenture governing the 2017 notes contains covenants restricting our and our restricted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161"/>
        </w:trPr>
        <w:tc>
          <w:tcPr>
            <w:tcW w:w="4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governing the 2020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governing the 2017 notes, the trustee under the indenture governing the 2014 notes, and the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for the lenders under our credit facilities have entered into an intercreditor agreement that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governs the relationship among the holders of the 2020 notes, the holders of the 2017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holders of the 2014 notes, the lenders under our credit facilities and holders of permitted senior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and junior indebtedness. Under the intercreditor agreement, the trustee on behalf of the holders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the 2020 notes, the trustee on behalf of the holders of the 2017 notes, the trustee on behalf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holders of the 2014 notes and the agent for the lenders under our credit facilities have appointed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collateral agent with respect to the collateral granted in favor of the holders of the 2020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2017 notes, the holders of the 2014 notes, and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facilities. The liens on the collateral that secure the 2017 notes rank pari passu with the liens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such collateral that secure our credit facilities, the 2020 notes, the 2014 notes and any other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permitted senior debt, and rank prior to the liens on such collateral that secure any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junior debt. Pursuant to the intercreditor agreement, as long as our credit facilities remain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outstanding or any amounts are outstanding under the 2014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2017 notes does not have the right to instruct the collateral agent with respect to</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exercise of remedies under the 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2017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19,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2017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2020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2020 notes and those of the outstanding old 2020 notes are substantially identical, except that the transfer restrictions, registration rights and liquidated damages provisions relating to the old 2020 notes do not apply to the new 2020 notes. For a more complete understanding of the new 2020 notes, see “Description of the New 2020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2020.</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2020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2020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2020 notes and the 2017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2020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2020 notes and the 2017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2020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2020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2017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2020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2020 notes and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2020 notes will be secured, on an equal and ratable basis (with certain exceptions) with such guarantors’ obligations under the guarantees of our credit facilities, the 2014 notes, the old 2020 notes and the 2017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2020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2020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lenders under each other outstanding secured debt (other than capital lease obligations, mortgage financings and purchase money indebtedness) have released their security interest in such collateral.</w:t>
      </w:r>
    </w:p>
    <w:p>
      <w:pPr>
        <w:spacing w:after="0" w:line="140"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2020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2020 Notes— Certain Covenants—Incurrence of Indebtedness and Issuance of Disqualified Stock,” then the security interest in the golf course land may not be released without obtaining the consent of holders of at least 90% of the outstanding principal amount of the 2020 notes.</w:t>
      </w:r>
    </w:p>
    <w:p>
      <w:pPr>
        <w:spacing w:after="0" w:line="105" w:lineRule="exact"/>
        <w:rPr>
          <w:sz w:val="20"/>
          <w:szCs w:val="20"/>
          <w:color w:val="auto"/>
        </w:rPr>
      </w:pPr>
    </w:p>
    <w:p>
      <w:pPr>
        <w:ind w:left="4400" w:right="240"/>
        <w:spacing w:after="0" w:line="259"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2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(other than pursuant to a refinancing) and no default or event of default exists or is continuing.</w:t>
            </w:r>
          </w:p>
        </w:tc>
      </w:tr>
      <w:tr>
        <w:trPr>
          <w:trHeight w:val="385"/>
        </w:trPr>
        <w:tc>
          <w:tcPr>
            <w:tcW w:w="412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addition, the indenture governing the 2020 notes provides for releases of the security interests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certain collateral under specified circumstances and also provides that security interests in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collateral can be released in connection with asset sales, permitted investments and other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permitted dispositions.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At any time prior to May 1, 2013, we may, on one or more occasions, redeem up to 35% of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outstanding new 2020 notes at a redemption price of 107.875% of the principal amount, plus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at least 65% of the aggregate principal amount of 2020 notes issued under the indenture</w:t>
            </w:r>
          </w:p>
        </w:tc>
      </w:tr>
      <w:tr>
        <w:trPr>
          <w:trHeight w:val="216"/>
        </w:trPr>
        <w:tc>
          <w:tcPr>
            <w:tcW w:w="412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governing the 2020 notes remains outstanding immediately after the occurrence of such</w:t>
            </w:r>
          </w:p>
        </w:tc>
      </w:tr>
      <w:tr>
        <w:trPr>
          <w:trHeight w:val="222"/>
        </w:trPr>
        <w:tc>
          <w:tcPr>
            <w:tcW w:w="41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Except pursuant to a qualified equity offering, we cannot redeem the new 2020 notes until</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May 1, 2015. On or after May 1, 2015, we may redeem some or all of the new 2020 notes at a</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premium declining ratably to zero,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The new 2020 notes will be subject to redemption requirements imposed by gaming laws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2020 notes at 101% of their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89"/>
              </w:rPr>
              <w:t>we may be required to offer to repurchase the 2020 notes, the 2017 notes and the 2014 notes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The indenture governing the 2020 notes contains covenants restricting our and our restricted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161"/>
        </w:trPr>
        <w:tc>
          <w:tcPr>
            <w:tcW w:w="412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The trustee under the indenture for the 2020 notes, the trustee under the indenture for the 2017</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notes, the trustee under the indenture for the 2014 notes, and the agent for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have entered into an intercreditor agreement that governs the relationship among</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the holders of the 2020 notes, the holders of the 2017 notes, the holders of the 2014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lenders under our credit facilities and holders of permitted senior and junior indebtedness. Under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intercreditor agreement, the trustee on behalf of the holders of the 2020 notes, the trustee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behalf of the holders of the 2017 notes, the trustee on behalf of the holders of the 2014 notes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agent for the lenders under our credit facilities have appointed a collateral agent with respect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to the collateral granted in favor of the holders of the 2020 notes, the holders of the 2017 notes,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holders of the 2014 notes, and the lenders under our credit facilities. The liens on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collateral that secure the 2020 notes rank pari passu with the liens on such collateral that secure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our credit facilities, the 2014 notes, the 2017 notes and any other permitted senior debt, and rank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prior to the liens on such collateral that secure any permitted junior debt. Pursuant to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intercreditor agreement, as long as our credit facilities remain outstanding or any amounts are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outstanding under the 2014 notes, the trustee under the indenture for the 2020 notes does not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have the right to instruct the collateral agent with respect to the exercise of remedies under the</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2020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19,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2020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March 31, 2010,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2014 notes, the 2017 notes and the 2020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37.9%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2020 Notes and the 2017 Notes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2020 notes and the 2017 notes, the value of the collateral may not be sufficient to repay the holders of 2020 notes and 2017 notes.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As of March 31, 2010, we had approximately $80.4 million outstanding under our senior secured term loan credit facility and approximately $252.7 million outstanding under our revolving credit facility. As of the same date, we had $1.7 billion of 2014 notes outstanding, which included $65.8 million of 2014 notes payable to an affiliate. Currently, as a result of the 2014/2020 exchange offer, we have approximately $1.32 billion of 2014 notes outstanding, which includes $35.8 million of 2014 notes payable to an affiliate. Under the indentures governing the 2020 notes and the 2017 notes, we may be permitted to incur additional indebtedness that could be secured by first priority liens on the collateral, which liens would, pursuant to the intercreditor agreement,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2020 notes, the 2014 notes, the 2017 notes and our credit facilities. We are also permitted to incur additional indebtedness subject to compliance with certain covenants in the indentures governing the 2020 notes, the 2014 notes and the 2017 notes and in our existing credit facilities.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2014 notes, the 2017 notes, the 2020 notes and the amounts outstanding under our credit facilities. If these proceeds were not sufficient to repay amounts outstanding under the 2020 notes and the 2017 notes, after paying any higher priority creditors and sharing pari passu with obligations under the 2014 notes and our credit facilities, then holders of the 2020 notes and the 2017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2020 note holders’ and the 2017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liens on all of the collateral securing the 2014 notes, the 2017 notes and the 2020 notes, including the golf course land, will be released if the lenders under our credit facilities release their liens on such collateral (other than in connection with a refinancing) and (i) no default or event of default has occurred and</w:t>
      </w:r>
    </w:p>
    <w:p>
      <w:pPr>
        <w:ind w:right="200" w:firstLine="8"/>
        <w:spacing w:after="0" w:line="255"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lenders under any other outstanding secured debt (other than capital lease obligations, mortgage financings and purchase money indebtedness) have released their security interest in such collateral. As of March 31, 2010, the total indebtedness outstanding under our credit facilities was $333.2 million and the total principal amount of 2014 notes and 2017 notes was $2.2 billion.</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if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indentures for the 2020 notes and the 2017 notes) for the last four full fiscal quarters.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that the security interests on all of the collateral are released, the 2020 notes and the 2017 notes will become our unsecured obligations. As our senior unsecured obligations, the 2020 notes and the 2017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future unsecured senior indebtedness of the Issuers and the guarantors. In the event that only the security interests in the golf course land and the related water rights are released, the holders of 2020 notes and the holders of 2017 notes will have a first priority lien on the assets comprising the hotel and casino, and subject to gaming approval, the equity interest of Wynn Las Vegas and the equity interest in our restricted subsidiaries.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 indentures governing the 2020 notes and 2017 notes provide for releases of the security interests in certain collateral under specified circumstances and also provide that security interests in the collateral can be released in connection with asset sales, permitted investments and other permitted dispositions.</w:t>
      </w:r>
    </w:p>
    <w:p>
      <w:pPr>
        <w:spacing w:after="0" w:line="221"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2020 notes and the holders of the 2017 notes.</w:t>
      </w:r>
    </w:p>
    <w:p>
      <w:pPr>
        <w:ind w:right="140" w:firstLine="456"/>
        <w:spacing w:after="0" w:line="289" w:lineRule="auto"/>
        <w:rPr>
          <w:sz w:val="20"/>
          <w:szCs w:val="20"/>
          <w:color w:val="auto"/>
        </w:rPr>
      </w:pPr>
      <w:r>
        <w:rPr>
          <w:rFonts w:ascii="Arial" w:cs="Arial" w:eastAsia="Arial" w:hAnsi="Arial"/>
          <w:sz w:val="16"/>
          <w:szCs w:val="16"/>
          <w:color w:val="auto"/>
        </w:rPr>
        <w:t>The security documents create liens on the collateral in favor of a collateral agent to secure our obligations under the credit facilities, the indentures, the 2014 notes, the 2017 notes and the 2020 notes. However, the intercreditor agreement grants the agent under our credit facilities certain rights that may adversely affect the interest of the holders of the 2020 notes and the holders of the 2017 notes under the security documents. The intercreditor agreement permits the agent under our credit facilities, without the consent of the holders of the 2020 notes or the holders of the 2017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2020 notes and the holders of the 2017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 $100 million and without the consent of the 2014 notes trustee or the holders of the 2014 notes, the 2017 notes trustee or holders of the 2017 notes, the 2020 notes trustee or holders of the 2020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2020 notes, the holders of the 2014 notes and the holders of the 2017 notes. Any such amendment could increase, perhaps significantly, the rights of any holders of junior debt under the intercreditor agreement to the detriment of the holders of the notes. Any such amendment could also adversely affect the ability of the 2020 notes trustee or the holders of the 2020 notes and the 2017 notes trustee or the holders of the 2017 notes to enforce remedies against the collateral and recover the proceeds thereof.</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Under the intercreditor agreement, the holders of the 2020 notes and the holders of the 2017 notes will not be able to control decisions regarding the collateral and to take enforcement actions.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intercreditor agreement provides that, except under very limited circumstances, none of the 2020 notes trustee, the holders of the 2020 notes, the 2017 notes trustee or the holders of the 2017 notes will have the right to direct the collateral agent to enforce remedies against the collateral. As long as any indebtedness is outstanding under our credit facilities and as long as any of our 2014 notes remain outstanding, the holders of a majority of the aggregate amount of loans under our credit facilities and the 2014 notes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2020 notes trustee or holders of the 2020 notes, the 2014 notes trustee or holders of the 2014 notes or the 2017 notes trustee or holders of the 2017 notes. Given that the amount of loans advanced by the lenders under our credit facilities and the outstanding amount of the 2014 notes, each may, from time to time, be substantially different than the outstanding amount of the 2020 notes and the 2017 notes, the lenders’ interests and the interests of the holders of the 2014 notes may not be aligned with those of 2020 noteholders and the 2017 noteholders and the lenders and holders of the 2014 notes may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different motives or strategies to protect their investment. As such, the lenders under our credit facilities or the holders of the 2014 notes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2020 notes and the 2017 notes. In addition, the intercreditor agreement includes certain provisions, such as waivers of certain rights or consents to certain proceedings in bankruptcy, that may not be enforceable in bankruptcy.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an exercise of remedies, the lenders under our credit facilities, and subject to the terms of the intercreditor agreement, the holders of 2014 notes, the holders of 2017 notes or the holders of 2020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2020 notes and the holders of the 2017 notes to additional risks, including, without limitation, additional restrictions on exercising rights against collateral and on otherwise pursuing or obtaining repayment of the 2020 notes and the 2017 notes. See “—Bankruptcy laws may significantly impair your rights to repossess and dispose of collateral securing the 2020 notes and the 2017 notes, and otherwise collect on any amounts due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of gaming restrictions, in any foreclosure sale of Wynn Las Vegas or Encore, the purchaser or the operator of the facility would need to be licensed to operate the resort’s casino under the Nevada gaming laws and regulations. If the 2014 notes trustee, the 2017 notes trustee or the 2020 notes trustee or the lenders under our credit facilities purchased Wynn Las Vegas or Encore at a foreclosure sale, the 2020 notes trustee, the 2017 notes trustee, the 2014 notes trustee or such lenders would not be permitted to continue gaming operations at either casino unless they retained an entity licensed under the Nevada gaming laws to conduct gaming operations at the facility. The holders of the 2020 notes and the holders of the 2017 notes may have to be licensed or found suitable in any event.</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the 2020 notes trustee and the 2017 notes trustee must obtain prior approval from, and may be required to be licensed by, the Nevada gaming authorities before the 2020 notes trustee and the 2017 notes trustee can foreclose on the pledged equity interests in our restricted subsidiaries.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2020 notes and/or the 2017 notes upon acceleration of the 2020 notes and/or the 2017 notes, and to otherwise pursue or obtain repayment of the 2020 notes and/or the 2017 notes, is likely to be significantly impaired or delayed by applicable bankruptcy law if a bankruptcy case is commenced by or against us prior to a taking of possession or disposition of the collateral securing the 2020 notes and/or the 2017 notes by the 2020 notes trustee for the benefit of the holders of the 2020 notes and/or the 2017 notes trustee for the benefit of the holders of the 2017 notes.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2020 notes and the 2017 notes and the related guarantees.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 relate back to the date on which any contractor first commenced work. Accordingly, contractors, subcontractors and suppliers providing goods and services in connection with the expansion project who after recordation of the deed of trust securing the 2020 notes and the 2017 notes otherwise comply with the applicable requirements of Nevada law may have a lien on the property senior in priority to the lien securing the 2020 notes and the 2017 notes until they are paid in full. In the event of a liquidation, proceeds from the sale of collateral will be used to pay the holders of any mechanics’ liens then in existence before holders of the 2020 notes and holders of the 2017 notes.</w:t>
      </w:r>
    </w:p>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2020 notes and the 2017 notes and to otherwise collect on any amounts due thereunder.</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2020 note collateral and/or 2017 note collateral, the right of the 2020 notes trustee and/or the 2017 notes trustee to repossess and dispose of the 2020 note collateral and/or the 2017 note collateral upon the occurrence of an event of default under the applicable indenture is likely to be significantly impaired by applicable bankruptcy law. A bankruptcy case may be commenced by us or by certain unsecured creditors as provided in the United States Bankruptcy Code.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2020 notes, the 2017 notes, the 2014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2020 note holders and/or 2017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2020 notes and/or the 2017 notes could be delayed following commencement of a bankruptcy case, whether or when the 2020 notes trustee and/or the 2017 notes trustee could repossess or dispose of the collateral or whether or to what extent, through the requirement of “adequate protection,” the holders of the 2020 notes and/or the 2017 notes would be compensated for any delay in payment or loss of value of the collateral.</w:t>
      </w:r>
    </w:p>
    <w:p>
      <w:pPr>
        <w:spacing w:after="0" w:line="12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2020 notes and/or the 2017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might bear on the recovery by the holders of the 2020 notes and/or 2017 notes in these circumstances, among others, would include:</w:t>
      </w:r>
    </w:p>
    <w:p>
      <w:pPr>
        <w:spacing w:after="0" w:line="113" w:lineRule="exact"/>
        <w:rPr>
          <w:sz w:val="20"/>
          <w:szCs w:val="20"/>
          <w:color w:val="auto"/>
        </w:rPr>
      </w:pPr>
    </w:p>
    <w:p>
      <w:pPr>
        <w:ind w:left="900" w:right="4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2020 notes and/or 2017 notes. For example, under certain circumstances, a bankruptcy court could approve our or third parties’ motions for sales of collateral on terms favorable to us, require you to accept subordinated or other securities in exchange for the 2020 notes and/or 2017 notes, or order substantive consolidation of us with Wynn Resorts in a bankruptcy in which Wynn Resorts was debtor.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2020 notes and/or 2017 notes would be made; whether or when the trustee could foreclose upon or sell the collateral; whether the terms and conditions of the 2020 notes and/or 2017 notes or any rights of the holders of 2020 notes and/or 2017 notes could be altered in a bankruptcy case without the trustee’s or your consent; whether the trustee or you would be able to enforce your rights against the subsidiary guarantors under their guarantees; and whether and to what extent holders of 2020 notes and/or 2017 notes would be compensated for any delay in payment or decline in the collateral’s value.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2020 notes and the 2017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borrowings under our credit facilities, the 2014 notes, the 2017 notes and the 2020 notes are secured by a first priority pledge of the equity interests of Wynn Las Vegas by its parent, Wynn Holdings. Wynn Holdings has agreed to secure the 2020 notes and the 2017 notes by a first priority lien on the equity interests of Wynn Las Vegas. However, such lien with respect to the equity interests of Wynn Las Vegas cannot be effective to secure the 2020 notes and the 2017 notes without the prior approval from the Nevada Gaming Commission, upon a recommendation from the Nevada State Gaming Control Board. This lien will not be effective unless and until we receive such approvals. While we have agreed to seek such approval, we cannot give any assurance that such approvals will be granted within any particular time period or at all. The delay between the issuance of the 2020 notes and the 2017 notes and the granting of any regulatory approvals necessary to establish the lien on the equity interests may result in rendering the lien subject to avoidance by a bankruptcy trustee if (i) the obligations with respect to the 2020 notes and the 2017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2020 notes and the 2017 notes (or any insider-creditor for whose benefit the transfer is made) would receive more, in light of the pledge, than they would have received in liquidation under chapter 7 of the Bankruptcy Code, if the pledge had not been granted.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2020 notes and 2017 notes have no liens on certain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the 2020 notes and 2017 notes do not have a lien on our gaming or liquor licenses, because under the Nevada gaming laws they may not be pledged as collateral. In addition, the 2020 notes, the 2017 notes, the 2014 notes and our credit facilities are not secured by any assets related to Wynn Macau, and the holders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2020 notes and the 2017 notes have no claim against those assets. The 2020 notes and the 2017 notes also are not secured by, among other things, World Travel, LLC’s aircraft. Accordingly, such assets are not available to the holders upon an exercise of remedies under the collateral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additional liens on collateral provided after the 2020 notes and 2017 notes are issued could also be avoided as preferential transfers.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2020 notes indenture and the 2017 notes indenture provide that certain future restricted subsidiaries will guarantee the 2020 notes and the 2017 notes and secure their guarantees with liens on their assets. The indentures also require us to grant liens on certain assets that we and the existing guarantors acquire after the 2020 notes and the 2017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2020 notes, 2017 notes, guarantees, and liens, and to require holders of 2020 notes and 2017 notes to return payments received from us or the guarantors.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creditors or the creditors of the guarantors could challenge the issuance of the 2020 notes and/or the 2017 notes or the guarantors’ issuance of their guarantees, and the liens on the assets that secure the 2020 notes and/or the 2017 notes and guarantees, respectively, as fraudulent conveyances or on other grounds. Under the federal bankruptcy law and similar provisions of state fraudulent transfer laws, the issuance of 2020 notes and/or the 2017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2020 notes and/or the 2017 notes or granted the liens, or the guarantor, at the time it issued the guarantee or granted the liens (or, in some jurisdictions, when payment became due under the guarantee):</w:t>
      </w:r>
    </w:p>
    <w:p>
      <w:pPr>
        <w:spacing w:after="0" w:line="37" w:lineRule="exact"/>
        <w:rPr>
          <w:sz w:val="20"/>
          <w:szCs w:val="20"/>
          <w:color w:val="auto"/>
        </w:rPr>
      </w:pPr>
    </w:p>
    <w:p>
      <w:pPr>
        <w:ind w:left="900" w:right="3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the 2020 notes and/or the 2017 notes or guarantees, as the case may be, or granted the liens with the intent to hinder, delay or defraud its existing or future creditors; or</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2020 notes and/or the 2017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insolvent or rendered insolvent at the time it issued the 2020 notes and/or the 2017 notes, issued the guarantee, or granted the liens;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court likely would find that a guarantor did not receive reasonably equivalent value or fair consideration for its guaranty or pledge of assets unless it benefited directly or indirectly from the 2020 notes and/or the 2017 notes issuance. If the guarantees were avoided or limited under fraudulent transfer or other laws, any claim you may make against the guarantors for amounts payable on the 2020 notes and/or the 2017 notes would be unenforceable to the extent of such avoidance or limitation.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collateral securing the 2020 notes and the 2017 notes includes real property and, as a result, holders of the 2020 notes and/or 2017 notes may be subject to certain environmental risks.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holders of the 2020 notes and the 2017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2020 notes and the 2017 notes may not be perfected with respect to the claims of 2020 notes and the 2017 notes if the collateral agent is not able to take the actions necessary to perfect any of these liens on or prior to the date of the indenture governing the 2020 notes and the indenture governing the 2017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2020 notes and the 2017 notes in specified collateral. There can be no assurance that the trustees or the collateral agents for the 2020 notes and the 2017 notes will monitor, or that the Issuers will inform such trustees or collateral agents of, the future acquisition of property and rights that constitute collateral, and that the necessary action will be taken to properly perfect the security interest in such after-acquired collateral. The collateral agents for the 2020 notes and the 2017 notes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no obligation to monitor the acquisition of additional property or rights that constitute collateral or the perfection of any security interest. Such failure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 in the loss of the security interest in the collateral or the priority of the security interest in favor of 2020 notes and/or the 2017 notes against third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parties. Circumstances may exist that cause liens to lose perfection or priority, such as, among other things, the passage of time, movement of collateral, changes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name or entity type.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2020 notes and the 2017 notes upon a change of control.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2020 notes and 2017 notes at 101% of their principal amount, plus accrued and unpaid interest to the date of repurchase. We cannot assure you that we will have available funds sufficient to pay the change of control purchase price for any or all of the 2020 notes and 2017 notes that might be delivered by holders of the 2020 notes and 2017 notes seeking to accept the change of control offer. Moreover, under the indentures governing the 2020 notes and the 2017 notes, certain important corporate events, such as leveraged recapitalizations that would increase the level of our indebtedness, would not constitute a “change of control” and thus would not give rise to any repurchase rights. See “Description of the New 2017 Notes—Repurchase at the Option of Holders—Change of Control” and “Description of the New 2020 Notes —Repurchase at the Option of Holders—Change of Control.”</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2020 notes and the 2017 notes under certain circumstances. If these change of control events or similar events occur at a time when we are prohibited from repurchasing the 2020 notes and the 2017 notes, we may seek the consent of our lenders to purchase the 2020 notes and the 2017 notes or could attempt to refinance the obligations that contain these prohibitions or restrictions. If we do not obtain our lenders’ consent or refinance these obligations, we will not be able to repurchase the 2020 notes and the 2017 notes. Accordingly, the holders of the 2020 notes and the 2017 notes may not receive the change of control purchase price for their 2020 notes and 2017 notes in the event of a sale or other change of control, which will give the trustees for the 2020 notes and the 2017 notes and the holders of the 2020 notes and the 2017 notes the right to declare an event of default and accelerate the repayment of the 2020 notes and 2017 notes. See “Description of the New 2017 Notes—Events of Default and Remedies” and “Description of the New 2020 Notes—Events of Default and Remedies.”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2020 notes and the 2017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2020 notes and 2017 notes should expect payments on the 2020 notes and 2017 notes to be delayed and/or reduced.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guarantors of the 2020 notes and the 2017 notes likely will not be able to contribute to any payments with respect to the 2020 notes and the 2017 notes.</w:t>
      </w:r>
    </w:p>
    <w:p>
      <w:pPr>
        <w:spacing w:after="0" w:line="1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2020 notes and the 2017 notes.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2020 notes and the 2017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2020 notes indenture and the 2017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2020 notes and the 2017 notes.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2020 notes and 2017 notes due to regulatory considerations, either as required by gaming authorities or in our discretion.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2020 notes indenture and the 2017 notes indenture grant us the power to redeem the 2020 notes and the 2017 notes that you own or control if any gaming authority requires you, or a beneficial owner of the 2020 notes and the 2017 notes, to be licensed, qualified or found suitable under any applicable gaming law and:</w:t>
      </w:r>
    </w:p>
    <w:p>
      <w:pPr>
        <w:spacing w:after="0" w:line="59" w:lineRule="exact"/>
        <w:rPr>
          <w:sz w:val="20"/>
          <w:szCs w:val="20"/>
          <w:color w:val="auto"/>
        </w:rPr>
      </w:pPr>
    </w:p>
    <w:p>
      <w:pPr>
        <w:ind w:left="900" w:right="1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or such beneficial owner is determined by a gaming authority to be unsuitable to own or control the 2020 notes or the 2017 notes.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foregoing circumstances, under the 2020 notes indenture and the 2017 notes indeture, we may redeem, and if required by the applicable gaming authority, we must redeem, your 2020 notes and 2017 notes to the extent required by the gaming authority or deemed necessary or advisable by us. The redemption price will be equal to:</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lesser of (1) the principal amount of the 2020 notes or the 2017 notes, as applicable, and (2) the price that you or the beneficial owner paid for the 2020 notes or the 2017 notes, as applicable, in either case, together with accrued and unpaid interest on the 2020 notes or the 2017 notes, as applicable.</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As a holder of the 2020 notes and/or 2017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2020 notes and/or 2017 notes be registered, licensed, qualified or found suitable, or comply with other requirements under applicable gaming laws. If you purchase, acquire or otherwise accept an interest in the 2020 notes and/or the 2017 notes, by the terms of the indentures governing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2020 notes and the 2017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62" w:lineRule="exact"/>
        <w:rPr>
          <w:sz w:val="20"/>
          <w:szCs w:val="20"/>
          <w:color w:val="auto"/>
        </w:rPr>
      </w:pPr>
    </w:p>
    <w:p>
      <w:pPr>
        <w:ind w:left="900" w:right="1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you to sell your 2020 notes and 2017 notes or beneficial interest in the 2020 notes and 2017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 your 2020 notes and/or 2017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140" w:hanging="547"/>
        <w:spacing w:after="0" w:line="33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lesser of (1) the principal amount of the 2020 notes and/or the 2017 notes, and (2) the price that you or the beneficial owner paid for the 2020 notes and/or the 2017 notes, in either case, together with accrued and unpaid interest on the 2020 notes and/or the 2017 notes.</w:t>
      </w:r>
    </w:p>
    <w:p>
      <w:pPr>
        <w:spacing w:after="0" w:line="8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will notify the 2020 notes trustee and the 2017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indentures governing the 2020 notes and the 2017 notes also provide that as soon as you are required to sell your 2020 notes and/or 2017 notes as a result of a gaming authority action, you will, to the extent required by applicable gaming laws, have no further right:</w:t>
      </w:r>
    </w:p>
    <w:p>
      <w:pPr>
        <w:spacing w:after="0" w:line="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2020 notes and/or 2017 notes;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2020 notes and/or 2017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2017 Notes—Gaming Redemption” and “Description of the New 2020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issuance of the 2020 notes, we obtained title insurance in an amount equal to the aggregate principal amount of 2020 notes. The 2020 notes indenture does not require us to obtain,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2020 notes as a result of the lack of lien or priority of the mortgages. We did not obtain a survey of the real property collateral in connection with the issuance of the 2020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2014 notes, 2017 notes or other indebtedness, but not the 2020 notes. In addition, under certain circumstances, the holders of the 2020 notes may be required to share certain proceeds of title insurance that benefit such holders with the lenders under our credit facilities, the holders of the 2014 notes, 2017 notes or other indebtedness. See “Intercreditor Agreement—Application of Proceeds.”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connection with the issuance of the 2017 notes, we obtained title insurance in an amount equal to the outstanding principal amount of our loans and commitments under the credit facilities, the 2014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2017 notes as of October 19, 2009. However, the 2017 notes indenture does not require us to modify or increase the coverage of the title insurance policy in the future, and the amount of our secured debt, including obligations under our existing or additional hedging agreements, may from time to time be greater than the amount of our title insurance obtained in connection with the 2017 notes. In addition, certain transactions that we may have entered into after the issuance of the 2017 notes or that we may enter into after the date hereof, may have an adverse effect on the coverage provided by such title insurance policy. Accordingly, the coverage afforded by the title policy obtained in connection with the 2017 notes issuance may not be adequate to cover losses or damages incurred by the note holders as a result of the lack of lien or priority of the mortgages.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new 2020 notes and the new 2017 notes are new issues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be required to recognize taxable income on the 2017 notes in a taxable year in excess of cash payments made to you on the 2017 notes.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old 2017 notes were issued with “original issue discount” for U.S. federal income tax purposes. As a result, in addition to the stated interest on the new 2017 notes, you may be required to include a portion of such original issue discount in your income as it accrues for federal income tax purposes in advance of receipt of any payment on the new 2017 notes to which the income is attributable. Each prospective investor is urged to consult its tax advisor regarding an investment in the new 2017 notes.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 the event of a bankruptcy, holders may not have a claim with respect to original issue discount on the 2017 notes constituting “unmatured interest” under the U.S. Bankruptcy Code.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U.S. bankruptcy code, the principal amount of each 2017 note in excess of its issue price is treated as unmatured interest. The claim of a holder of a 2017 note in a bankruptcy proceeding in respect of the 2017 notes with respect to this original issue discount would be limited to the portion thereof that had accreted prior to the date of the commencement of the bankruptcy case. Holders of 2017 notes would not be entitled to receive any additional portion of the original issue discount that accreted during the commencement of a bankruptcy proceeding except to the extent the notes are oversecured by their security interest in the collateral.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registered under the Securities Act and applicable state securities laws, or are offered and sold under an exemption from these requirements. We do not plan to register the old notes under the Securities Act.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446"/>
        <w:spacing w:after="0" w:line="357"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agreements. See “The Exchange Offer—Procedures for Tendering Old Notes” and “The Exchange Offer—Consequences of Exchanging or Failing to Exchange Old Notes.”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three months ended March 31, 2010 and for the years ended December 31, 2009, 2008, 2007, 2006 and 2005,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For the Three Months Ended</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2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2220" w:type="dxa"/>
            <w:vAlign w:val="bottom"/>
            <w:gridSpan w:val="2"/>
          </w:tcPr>
          <w:p>
            <w:pPr>
              <w:jc w:val="right"/>
              <w:ind w:right="480"/>
              <w:spacing w:after="0"/>
              <w:rPr>
                <w:sz w:val="20"/>
                <w:szCs w:val="20"/>
                <w:color w:val="auto"/>
              </w:rPr>
            </w:pPr>
            <w:r>
              <w:rPr>
                <w:rFonts w:ascii="Arial" w:cs="Arial" w:eastAsia="Arial" w:hAnsi="Arial"/>
                <w:sz w:val="18"/>
                <w:szCs w:val="18"/>
                <w:color w:val="auto"/>
              </w:rPr>
              <w:t>(75,715)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$(284,944)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$(195,762)</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March 31, 2010:</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as adjusted basis after giving effect to the issuance of the old 2020 notes.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March 31, 2010</w:t>
            </w: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2020 net of original issue discount of $2,642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349,368</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2017 net of original issue discount of $10,449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net of original issue discount of $5,220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1,626,368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Credit facilities (1)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Aircraft financing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Payable to affiliate (2)</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20" w:type="dxa"/>
            <w:vAlign w:val="bottom"/>
          </w:tcPr>
          <w:p>
            <w:pPr>
              <w:spacing w:after="0"/>
              <w:rPr>
                <w:sz w:val="18"/>
                <w:szCs w:val="18"/>
                <w:color w:val="auto"/>
              </w:rPr>
            </w:pPr>
          </w:p>
        </w:tc>
      </w:tr>
      <w:tr>
        <w:trPr>
          <w:trHeight w:val="221"/>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2,552,652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2,552,652</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1,306,809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20" w:type="dxa"/>
            <w:vAlign w:val="bottom"/>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3,859,461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3,859,461</w:t>
            </w: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March 31, 2010, the available undrawn commitments under the revolving credit facility are approximately $185.3 million.</w:t>
      </w:r>
    </w:p>
    <w:p>
      <w:pPr>
        <w:spacing w:after="0" w:line="9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2020 notes. Accordingly, $35.8 million of the 2014 notes and $30 million of the 2020 notes held by Wynn Resorts remain on Wynn Las Vegas’ balance sheet as a payable to affiliate within Long-term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selected data presented below as of and for the three months ended March 31, 2010 and 2009 is derived from our unaudited consolidated financial statements. The selected data presented below as of and for the years ended December 31, 2009, 2008, 2007, 2006 and 2005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6"/>
              </w:rPr>
              <w:t>March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revenues(1)</w:t>
            </w:r>
          </w:p>
        </w:tc>
        <w:tc>
          <w:tcPr>
            <w:tcW w:w="960" w:type="dxa"/>
            <w:vAlign w:val="bottom"/>
            <w:gridSpan w:val="4"/>
          </w:tcPr>
          <w:p>
            <w:pPr>
              <w:jc w:val="right"/>
              <w:ind w:right="192"/>
              <w:spacing w:after="0"/>
              <w:rPr>
                <w:sz w:val="20"/>
                <w:szCs w:val="20"/>
                <w:color w:val="auto"/>
              </w:rPr>
            </w:pPr>
            <w:r>
              <w:rPr>
                <w:rFonts w:ascii="Arial" w:cs="Arial" w:eastAsia="Arial" w:hAnsi="Arial"/>
                <w:sz w:val="18"/>
                <w:szCs w:val="18"/>
                <w:color w:val="auto"/>
                <w:w w:val="87"/>
              </w:rPr>
              <w:t>$318,607</w:t>
            </w:r>
          </w:p>
        </w:tc>
        <w:tc>
          <w:tcPr>
            <w:tcW w:w="4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$291,522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$1,230,120</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$1,099,891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$1,295,851</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$ 1,139,348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$ 722,292</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72,373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(34,485)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(58,384)</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(144,279)</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(58,616)</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199,825</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115,047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(81,692)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(95,464)</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(309,870)</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(45,274)</w:t>
            </w:r>
          </w:p>
        </w:tc>
      </w:tr>
      <w:tr>
        <w:trPr>
          <w:trHeight w:val="351"/>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2"/>
              </w:rPr>
              <w:t>As of March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76"/>
              </w:rPr>
              <w:t>2008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4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66,354</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123,315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146,521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93,820</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87,777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197,517</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394,757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23,973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865,130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214,574</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30,996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4,185,632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4,254,324</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4,584,271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3,119,888</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3,195,828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2,645,217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2,638,083</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2,897,328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2,034,603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1,678,597</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1,749,267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1,257,563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1,242,770</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1,224,829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April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Hotel Rooms &amp;</w:t>
            </w:r>
          </w:p>
        </w:tc>
        <w:tc>
          <w:tcPr>
            <w:tcW w:w="960" w:type="dxa"/>
            <w:vAlign w:val="bottom"/>
          </w:tcPr>
          <w:p>
            <w:pPr>
              <w:spacing w:after="0"/>
              <w:rPr>
                <w:sz w:val="14"/>
                <w:szCs w:val="14"/>
                <w:color w:val="auto"/>
              </w:rPr>
            </w:pPr>
          </w:p>
        </w:tc>
        <w:tc>
          <w:tcPr>
            <w:tcW w:w="21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Approximate Casino</w:t>
            </w: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Square Footage</w:t>
            </w:r>
          </w:p>
        </w:tc>
        <w:tc>
          <w:tcPr>
            <w:tcW w:w="9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1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110,000</w:t>
            </w:r>
          </w:p>
        </w:tc>
        <w:tc>
          <w:tcPr>
            <w:tcW w:w="22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3120" w:type="dxa"/>
            <w:vAlign w:val="bottom"/>
            <w:gridSpan w:val="3"/>
          </w:tcPr>
          <w:p>
            <w:pPr>
              <w:jc w:val="right"/>
              <w:ind w:right="960"/>
              <w:spacing w:after="0"/>
              <w:rPr>
                <w:sz w:val="20"/>
                <w:szCs w:val="20"/>
                <w:color w:val="auto"/>
              </w:rPr>
            </w:pPr>
            <w:r>
              <w:rPr>
                <w:rFonts w:ascii="Arial" w:cs="Arial" w:eastAsia="Arial" w:hAnsi="Arial"/>
                <w:sz w:val="18"/>
                <w:szCs w:val="18"/>
                <w:color w:val="auto"/>
              </w:rPr>
              <w:t>76,000</w:t>
            </w:r>
          </w:p>
        </w:tc>
        <w:tc>
          <w:tcPr>
            <w:tcW w:w="2260" w:type="dxa"/>
            <w:vAlign w:val="bottom"/>
            <w:gridSpan w:val="2"/>
          </w:tcPr>
          <w:p>
            <w:pPr>
              <w:jc w:val="right"/>
              <w:ind w:right="980"/>
              <w:spacing w:after="0"/>
              <w:rPr>
                <w:sz w:val="20"/>
                <w:szCs w:val="20"/>
                <w:color w:val="auto"/>
              </w:rPr>
            </w:pPr>
            <w:r>
              <w:rPr>
                <w:rFonts w:ascii="Arial" w:cs="Arial" w:eastAsia="Arial" w:hAnsi="Arial"/>
                <w:sz w:val="18"/>
                <w:szCs w:val="18"/>
                <w:color w:val="auto"/>
              </w:rPr>
              <w:t>80</w:t>
            </w: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and Forbes five-star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13" w:lineRule="exact"/>
        <w:rPr>
          <w:sz w:val="20"/>
          <w:szCs w:val="20"/>
          <w:color w:val="auto"/>
        </w:rPr>
      </w:pPr>
    </w:p>
    <w:p>
      <w:pPr>
        <w:ind w:left="5620" w:right="80" w:hanging="5166"/>
        <w:spacing w:after="0" w:line="440" w:lineRule="auto"/>
        <w:tabs>
          <w:tab w:leader="none" w:pos="8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baccarat salons and a sports book;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Approximately 142 acres of land immediately adjacent to both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 down was particularly significant in the fourth quarter of 2008 and has continued throughout 2009 and the first quarter of 2010. Based on our experience over this past year and current market conditions, we believe that Wynn Las Vegas and Encore have, and are likely to continue to experience lower than historical hotel occupancy rates,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three months ended March 31, 2010, were adversely impacted by the weakened economy and significant new supply that was added to the Las Vegas market in late 2009. In addition, we believe that our operating results at both properties for the three months ended March 31, 2010 and 2009 and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recorded a net loss for the quarter ended March 31, 2010 of $81.7 million compared to a net loss of $95.5 million recorded during the quarter ended March 31, 2009. This improvement was primarily a result of increased departmental profits, especially in the casino department, and a decrease in property charges and other, offset by increased interest expense associated with the old 2017 notes issued in October 2009.</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recorded a net loss for the year ended December 31, 2009 of $309.9 million, which represents a $180.1 million increase from the net loss of $129.8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March 31, 2010 compared to the three months ended March 31,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revenues for the three months ended March 31, 2010 are comprised of $139.5 million in casino revenues (43.8% of total net revenues) and $179.1 million of net non-casino revenues (56.2% of total net revenues). Net revenues for the three months ended March 31, 2009 were comprised of $117.5 million in casino revenues (40.3% of total net revenues) and $174 million of net non-casino revenues (59.7% of total net revenues).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$22 million (or 18.8%) to $139.5 million for the three months ended March 31, 2010, compared to $117.5 million for the three months ended March 31, 2009. During the three months ended March 31, 2010, we experienced a 7.1% increase in drop and an increase in the average table games win percentage compared to the prior year quarter. Our average table games win percentage (before discounts) of 23.2% was within the expected range of 21% to 24% for the three months ended March 31, 2010. For the three months ended March 31, 2009, our average table games win percentage (before discounts)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was 17.7%. Slot handle decreased 26.6% during the three months ended March 31, 2010 as compared to 2009, and the slot win percentage was within the expected range of 4.5% to 5.5%. This decrease in slot play is due to high volumes of slot play experienced when Encore opened last year and new supply added to the Las Vegas market in late 2009.</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March 31, 2010, room revenues were approximately $77.6 million, which represents a $7.5 million (or 8.8%) decrease over the $85.1 million generated in the three months ended March 31, 2009. We continued to experience a decrease in occupancy and room rates during the three months ended March 31, 2010, compared to the three months ended March 31,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2010 include: food and beverage revenues of approximately $95.9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$18.9 million, entertainment revenues of approximately $18.2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$14.5 million. Other non-gaming revenues for the three months ended March 31,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$96.9 million, retail revenues of approximately $19.6 million, entertainment revenues of approximately $12.8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$14 million. Entertainment revenues increased over the prior year quarter primarily due to performances by Garth Brooks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Encore Theater which started in December 2009, as well as increased revenue from our Le Reve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three months ended March 31, 2010, departmental expenses included casino expense of $76.8 million, room expense of $30.6 million, food and beverage expense of $58.0 million, and entertainment, retail and other expense of $35.9 million. Also included are general and administrative expenses of approximately $59.8 million and approximately $6.6 million charged as a provision for doubtful accounts receivable. During the three months ended March 31, 2009, departmental expenses included casino expenses of $76.0 million, room expense of $26.3 million, food and beverage expenses of $57.1 million, and entertainment, retail and other expenses of $29.5 million. Also included are general and administrative expenses of approximately $64.7 million and approximately $0.6 million charged as a provision for doubtful accounts receivable. The increase in room expenses was attributable to additional customer acquisition and marketing costs.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as noted above. General and administrative expenses decreased as a result of lower advertising expenses and our cost savings initiatives. Our provision for doubtful accounts receivable increased during the three months ended March 31, 2010, compared to the prior year’s quarter. This increase is primarily due to a reduction in the bad debt reserve taken in the prior year quarter as a result of strong collection trends as well as a higher casino revenue base for the three months ended March 31, 2010 compared to March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upon meeting certain leverage ratios and satisfying certain other criteria set forth in our credit facilities and the indenture governing the 2014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were $4.8 million for the quarter ended March 31, 2010, compared to $4.4 million for the quarter ended March 31,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2010, we incurred $0.4 million of pre-opening costs. We incurred no pre-opening costs for the three months ended March 31, 2009. Pre-opening costs incurred during the three months ended March 31, 2010, were related the Encore Beach Club which opened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2010 was $78.9 million compared to $77.4 million for the three months ended March 31, 2009. This increase was due to miscellaneous capital improvements made during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were $1.3 million compared to approximately $13.9 million for the three months ended March 31, 2009. Property charges and other for the three months ended March 31, 2010 related to miscellaneous renovations and abandonments at Wynn Las Vegas and Encore.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charges and other for the three months ended March 31, 2009, include the write-off of $13.4 million of aircraft purchase deposits. On February 19, 2009, we cancelled the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Interest expense was $45.1 million, net of capitalized interest of $0.2 million, for the three months ended March 31, 2010, compared to $36.8 million for the three months ended March 31, 2009. There was no interest capitalized during the three months ended March 31, 2009. Interest expense increased approximately $8.3 million primarily due to increased interest related to the old 2017 notes, offset by lower average borrowings outstanding on the Wynn Las Vegas credit facilities.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March 31, 2010, resulting from the decrease in the fair value of our interest rate swap from December 31, 2009 to March 31, 2010. We had no interest rate swaps during the prior year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our indentures. Management fees were $18.4 million for the year ended December 31, 2009, compared to $16.5 million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old 2017 notes issued in October 2009. These increases were offset by lower interest rates on our variable rate debt and lower average balances outstanding during 2009 compared to the prior year.</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2008</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Occupancy</w:t>
            </w:r>
          </w:p>
        </w:tc>
        <w:tc>
          <w:tcPr>
            <w:tcW w:w="3940" w:type="dxa"/>
            <w:vAlign w:val="bottom"/>
            <w:gridSpan w:val="3"/>
          </w:tcPr>
          <w:p>
            <w:pPr>
              <w:jc w:val="right"/>
              <w:ind w:right="672"/>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the prior year primarily due to an additional provision in light of global economic uncertainties.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 $152.8 million incurred in the year ended December 31, 2007. This increase related primarily to shortened estimated lives, beginning in March 2008, of certain hotel room furniture, fixtures and equipment at Wynn Las Vegas based on a planned room renovation and the opening of Encore.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2010 was $9.9 million compared to $4.7 million used in operations for the three months ended March 31, 2009. Operating cash flows were positively impacted by an improvement in operating income and benefits from ordinary working capital changes.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2010, we had approximately $46.5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March 31, 2010, we had approximately $185.3 million available to draw under our Wynn Las Vegas credit facilities.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had $185 million of availability under our senior revolving credit facility. We anticipate such funds, together with any other cash needs during 2010 in excess of what we generate from operations or additional borrowings, will be provided with capital contributions from Wynn Resorts.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scheduled quarterly payments on one note payable, we have no debt maturities until September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Capital expenditures were approximately $35.5 million for the three months ended March 31, 2010, and related primarily to the Encore Beach Club. 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March 31, 2010, we had borrowed $252.7 million under the Wynn Las Vegas Revolver. We also had $19.9 million of outstanding letters of credit that reduce our availability under the Wynn Las Vegas Revolver. Consequently, we have availability of $185.3 million under the Wynn Las Vegas Revolver as of March 31, 2010.</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26, 2010, the Issuers commenced an offer to exchange their outstanding 2014 notes for the old 2020 notes,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old 2020 notes were offered only to qualified institutional buyers and outside the United States in accordance with Rule 144A and Regulation S, respectively, under the Securities Act. As of April 23, 2010, the exchange offer expiration date, approximately $382 million of the 2014 notes were validly tendered for exchange for old 2020 notes. This includes $30 million of the 2014 notes that were purchased by Wynn Resorts in 2009. The exchange offer closed on April 28, 2010.</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2020 notes rank pari passu in right of payment with borrowings under the Wynn Las Vegas Credit Facilities, the 2014 notes and the Issuers’ 2017 notes. The 2020 notes are senior secured obligations of the Issuers, are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the Wynn Las Vegas Credit Facilities, the 2014 notes and the 2017 notes.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(b) received relief from certain financial covenants, (c) increased the Wynn Las Vegas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Revolver by $65 million, (d) repurchased $87.6 million of Wynn Las Vegas Revolver loans at a discount, and (e) used the net proceeds received from the issuance of the old 2017 notes to repay amounts outstanding, including a permanent reduction in the Wynn Las Vegas Credit Facilities of $360 million.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9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In September 2009, we entered into a fifth amendment to our Credit Agreement. This amendment, among other things, permitted the issuance of the old 2017 notes and required that 75% of the net cash proceeds from such issuance be applied to prepay loans and reduce commitments under the Credit Agreement.</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2009, the Issuers issued, in a private offering, $500 million aggregate principal amount of old 2017 notes at a price of 97.823% of the principal amount. The old 2017 notes rank pari passu with the borrowing under the Wynn Las Vegas Credit Facilities, the outstanding 2020 notes and the outstanding 2014 notes issued by the Issuers. The old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43"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2014 notes and the old notes and senior in right of payment to all of their existing and future subordinated indebtedness.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Wynn Las Vegas meets a Consolidated Leverage Ratio, as defined in the Credit Agreement, of greater than 3.5:1, such repayment is defined as 50% of Excess Cash Flow, as defined in the Credit Agreement. If the Consolidated Leverage Ratio is equal to or less 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 : 1 as of March 31, 2010. Management believes that we were in compliance with all covenants at March 31, 2010. We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2010, we had $19.9 million of outstanding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restricted under the indentures governing the 2014 notes, the 2017 notes and the 2020 notes from making certain “restricted payments” as defined in the indentures. These restricted payments include the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and Encore will fund their operations and capital requirements from operating cash flow, availability under our Credit Facilities,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March 31, 2010, December 31, 2009 and December 31, 2008, approximately 71%, 68% and 69%, respectively, of our casino accounts receivable were owed by customers from foreign countries, primarily in Asia. The collectability of markers given by foreign customers is affected by a number of factors including changes in currency exchange rates, business or economic conditions or other significant events in the customers’ home countries.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162,427</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149,786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71,448</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66,328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44.0%</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35.3%</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37.9%</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March 31, 2010, a 100 basis-point change in the allowance for doubtful accounts as a percentage of casino accounts receivable would change the provision for doubtful accounts by approximately $1.6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March 31, 2010, changes in the swap fair values are being recorded in our Consolidated Statements of Operations, as the swaps do not qualify for hedge accounting.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three months ended March 31, 2010 and 2009, the Company recorded $2.9 million and $2.2 million, respectively, in share-based compensation with a corresponding credit to contributed capital.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adoption of these new accounting standards did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3"/>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March 31, 2010, our interest rate swap had an approximate liability fair value of $6.5 million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approximately 95%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2010, an assumed 1% change in variable rates would cause our annual interest cost to change by $1.2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2009, Wynn Las Vegas, LLC owned the one share that was issued and outstanding. Wynn Capital has neither any significant net assets nor any operating activity. Its sole function is to serve as the co-issuer of the 2020 notes, the 2017 notes and the 2014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hotel occupancy rates,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Encore is located immediately adjacent to and is connected with Wynn Las Vegas and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 and AAA five-diamond awards. The Spa at Encore also earned five-star recognition from Forbes. The resort’s 12 food and beverage outlets include five restaurants, many of which feature award winning chefs. Encore also offers a night club,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Approximately 142 acres of land adjacent to both Wynn Las Vegas and Encore is currently improved with a golf course. While we may develop this property in the future, due to the economic environment and certain restrictions in our credit facilities, we have no immediate plans to do so.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quarter of 2010. Based on our experience over this past year and current market conditions, we believe that our operations will continue to experience lower than historical hotel occupancy rates,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company’s voting securities for investment purposes only. Activities which are not deemed to be inconsistent with holding voting securities for investment purposes only include:</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5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5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we had a total of approximately 12,200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covering approximately 5,800 of our employees.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us that they have recommended ratification to the affected employees. Certain other unions may seek to organize the workers at Wynn Las Vegas and Encore. Unionization, pressure to unionize, or other forms of collective bargaining could increase our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2020 notes, the 2017 notes, the 2014 notes and our credit facilities.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1,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0"/>
              </w:rPr>
              <w:t>Vice President and Chief Financial Officer, Wynn Resorts (Macau), S.A.</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 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14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67,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Resorts’s Board.</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international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43"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61,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Wynn Resorts, a position he has held since June 2002. Mr. Schorr also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of Wynn Macau and as an officer of several of Wynn Resorts’ other subsidiaries.</w:t>
      </w:r>
    </w:p>
    <w:p>
      <w:pPr>
        <w:spacing w:after="0" w:line="7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is an Executive Director of Wynn Macau and serves as the President of Wynn Resorts (Macau) S.A., a position he</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 Mr. Coughlan has a Diploma from Shannon College of Hotel Management, Ireland.</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 —Finance of Wynn Holdings.</w:t>
      </w:r>
    </w:p>
    <w:p>
      <w:pPr>
        <w:spacing w:after="0" w:line="136"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Vice President and Chief Financial Officer of Wynn Resorts (Macau), S.A.,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taking this position, from January 2007 to April 2009, Mr. Gansmo was the Director—Finance of Wynn Resorts (Macau), S.A. From November 2002 to January 2007, Mr. Gansmo was the Director of Financial Reporting for Wynn Resorts.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Seven of the eleven members of the Board of Directors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9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4"/>
              </w:rPr>
              <w:t>Audit</w:t>
            </w:r>
          </w:p>
        </w:tc>
        <w:tc>
          <w:tcPr>
            <w:tcW w:w="16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2"/>
              </w:rPr>
              <w:t>Compensation</w:t>
            </w:r>
          </w:p>
        </w:tc>
        <w:tc>
          <w:tcPr>
            <w:tcW w:w="16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w w:val="92"/>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196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Chair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Chair</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w w:val="88"/>
              </w:rPr>
              <w:t>Chair</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306"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Wynn Resorts’ total direct compensation for named executive officers generally includes (a) base salary, (b) discretionary bonuses, (c) annual cash incentive compensation, and (d) long term equity incentives. However, Wynn Resorts has not granted equity awards to Mr. Wynn, at his election. The Compensation Committee reviews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annual incentive under the Plan of 200% of Base Salary, and Mr. Wynn’s maximum annual incentive is 250% of his Base Salary. In light of the adverse economic conditions in 2009, the Compensation Committee did not establish targets or award annual incentives under the Incentive Plan in 2009.</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09"/>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hanging="454"/>
        <w:spacing w:after="0" w:line="254"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20" w:hanging="454"/>
        <w:spacing w:after="0" w:line="255"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880" w:type="dxa"/>
            <w:vAlign w:val="bottom"/>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452"/>
        <w:spacing w:after="0" w:line="25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ind w:left="460" w:right="70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June 21, 2010,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directors of Wynn Resorts and director nominees as a group. There were 123,481,682 shares outstanding as of June 21,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11,041,709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Maddox(13)</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110,333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48,290,772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3"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120" w:hanging="572"/>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(iii) 96,665 shares subject to an immediately exercisable option to purchase Wynn Resorts common stock granted pursuant to Wynn Resorts’ 2002 Stock Incentive Plan; (iv) 26,250 shares owned by Linda Chen, as trustee; and (v) 33,335 shares that vest on August 1, 2010.</w:t>
      </w:r>
    </w:p>
    <w:p>
      <w:pPr>
        <w:spacing w:after="0" w:line="3"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(ii) 2,500 unvested shares of restricted stock of Wynn Resorts’ common stock granted pursuant to Wynn Resorts’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8"/>
          <w:szCs w:val="18"/>
          <w:color w:val="auto"/>
        </w:rPr>
      </w:pPr>
    </w:p>
    <w:p>
      <w:pPr>
        <w:jc w:val="both"/>
        <w:ind w:left="580" w:right="24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Wynn Resorts’ common stock granted pursuant to Wynn Resorts’s 2002 Stock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100" w:hanging="572"/>
        <w:spacing w:after="0" w:line="295"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 30,333 shares subject to immediately exercisable options to purchase Wynn Resorts common stock pursuant to Wynn Resorts’ 2002 Stock Incentive Plan; (ii) 50,000 shares of restricted stock granted pursuant to Wynn Resorts’ 2002 Stock Purchase Plan and subject to a Restricted Stock Agreement which provides such grant will vest on December 5, 2016; and (iii) 10,000 shares of restricted stock granted pursuant to Wynn Resorts’ 2002 Stock Purchase Plan and subject to a Restricted Stock Agreement which provides such grant will vest on May 7,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40" w:hanging="572"/>
        <w:spacing w:after="0" w:line="253"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Plan and subject to a Restricted Stock Agreement which provides such grant will vest on December 5, 2016; and (ii) 100,000 shares subject to an immediately exercisable option to purchase Wynn Resorts’ common stock granted pursuant to Wynn Resorts’ 2002 Stock Incentive Plan.</w:t>
      </w:r>
    </w:p>
    <w:p>
      <w:pPr>
        <w:ind w:left="580" w:hanging="572"/>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60"/>
        <w:spacing w:after="0" w:line="250" w:lineRule="auto"/>
        <w:rPr>
          <w:rFonts w:ascii="Arial" w:cs="Arial" w:eastAsia="Arial" w:hAnsi="Arial"/>
          <w:sz w:val="16"/>
          <w:szCs w:val="16"/>
          <w:color w:val="auto"/>
        </w:rPr>
      </w:pPr>
      <w:r>
        <w:rPr>
          <w:rFonts w:ascii="Arial" w:cs="Arial" w:eastAsia="Arial" w:hAnsi="Arial"/>
          <w:sz w:val="18"/>
          <w:szCs w:val="18"/>
          <w:color w:val="auto"/>
        </w:rPr>
        <w:t>(ii) 65,000 shares subject to immediately exercisable options to purchase Wynn Resorts common stock pursuant to Wynn Resorts’ 2002 Stock Incentive Plan.</w:t>
      </w:r>
    </w:p>
    <w:p>
      <w:pPr>
        <w:ind w:left="580" w:hanging="572"/>
        <w:spacing w:after="0" w:line="281"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(i) 25,000 shares of restricted stock granted pursuant to Wynn Resorts’ 2002 Stock Plan and subject to a Restricted Stock Agreement which provides such grant will vest on December 5, 2016; (ii) 25,000 shares of restricted stock granted pursuant to Wynn Resorts’ 2002 Stock Plan and subject to a Restricted Stock Agreement which provides such grant will vest on July 31, 2011; and (iii) 25,000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493,998 shares subject to immediately exercisable stock options and 33,335 shares that will vest in the next 60 days.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24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Holdings entered into agreements with Mr. Wynn that confirm and clarify</w:t>
      </w:r>
      <w:r>
        <w:rPr>
          <w:rFonts w:ascii="Arial" w:cs="Arial" w:eastAsia="Arial" w:hAnsi="Arial"/>
          <w:sz w:val="16"/>
          <w:szCs w:val="16"/>
          <w:b w:val="1"/>
          <w:bCs w:val="1"/>
          <w:color w:val="auto"/>
        </w:rPr>
        <w:t xml:space="preserve"> </w:t>
      </w:r>
      <w:r>
        <w:rPr>
          <w:rFonts w:ascii="Arial" w:cs="Arial" w:eastAsia="Arial" w:hAnsi="Arial"/>
          <w:sz w:val="16"/>
          <w:szCs w:val="16"/>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 Wynn Holdings has sub-licensed rights to the “Wynn” name, persona and marks to Wynn Resorts.</w:t>
      </w:r>
    </w:p>
    <w:p>
      <w:pPr>
        <w:spacing w:after="0" w:line="11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w:t>
      </w:r>
    </w:p>
    <w:p>
      <w:pPr>
        <w:spacing w:after="0" w:line="50"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not withdrawn as permitted below. When we refer to the term expiration date, we mean 5:00 p.m., New York City time, , 2010.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the date of this prospectus, $500,000,000 aggregate principal amount of old 2017 notes and $382,010,000 aggregate principal amount of old 2020 notes are outstanding. We are sending this prospectus, together with the letter of transmittal, to all holders of old notes that we are aware of on the date of this prospectus.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101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5620" w:right="4900" w:hanging="5166"/>
        <w:spacing w:after="0" w:line="525" w:lineRule="auto"/>
        <w:tabs>
          <w:tab w:leader="none" w:pos="89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holder is not our “affiliate,” as defined in Rule 405 under the Securities Act; 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applicable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indentures relating to the 2017 notes and the 2020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applicable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2017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2017 notes under an indenture (the “Indenture”), dated as of October 19, 2009, among the Issuers, as joint and several obligors, the Guarantors and U.S. Bank National Association, as trustee (the “trustee”). This is the same indenture under which the old 2017 notes were issued. The terms of the new 2017 notes will include those stated in the Indenture and those made part of the Indenture by reference to the Trust Indenture Act of 1939, as amended. The Collateral Documents referred to under the caption “—Security” define the terms of the collateral that will secure the 2017 notes and the Note Guarantees. The term “2017 Notes” shall also include the new 2017 notes and the old 2017 notes and the term “Note Guarantees” shall include the guarantees of the new 2017 notes and the guarantees of the old 2017 notes.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2017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2017 Notes Versus the Old 2017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2017 notes are substantially identical to the old 2017 notes except that the transfer restrictions, registration rights and liquidated damages provisions relating to the old 2017 notes do not apply to the new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2017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2017 Notes in order to facilitate the exchange offer. We believe that certain prospective investors in the new 2017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2017 notes should not expect Wynn Capital to participate in servicing principal, interest or other amounts required to be paid on the new 2017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2017 notes:</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$500,000,000;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mature on November 1, 2017;</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May 1 and November 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2013,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2017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2017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will be secured, in the case of the 2017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and (2) subject to the prior approval of the Nevada Gaming Authorities, the pledged Equity Interests held by Wynn Holdings in Wynn Las Vegas;</w:t>
      </w:r>
    </w:p>
    <w:p>
      <w:pPr>
        <w:spacing w:after="0" w:line="39"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and Wynn Las Vegas’ water entertainment features, but excluding the Aircraft Assets and gaming and liquor licenses and other assets in which the grant of a security interest is prohibited by their terms or by law;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old 2017 notes, the 2014 Notes and the 2020 Notes, which borrowings, the old 2017 notes, the 2014 Notes and 2020 Notes are secured by a perfected first priority lien on the same assets as are subject to the lien securing the 2017 Notes and the Guarantees (subject to certain exceptions);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2017 noteholders, the lenders under the Credit Agreement, the holders of the 2014 notes, the holders of the 2020 notes,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2017 noteholders’ first priority security interest in all of the Collateral will also be released. See “—Security—Release of Collateral.”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Indenture provides that the 2017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2017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Issuers will issue up to $500,000,000 in aggregate principal amount of new 2017 notes in this exchange offer. The Issuers may issue additional 2017 Notes under the Indenture from time to time after this exchange offer. Any issuance of additional 2017 Notes is subject to all of the covenants in the Indenture, including the covenant described below under the caption “—Certain Covenants—Incurrence of Indebtedness and Issuance of Disqualified Stock.” The 2017 Notes and any additional 2017 Notes subsequently issued under the Indenture will (subject to the qualifications expressed in the third paragraph of this “Description of the New 2017 Notes”) be treated as a single class for all purposes under the Indenture, including, without limitation, waivers, amendments, redemptions and offers to purchase. It is possible, however, that any such additional 2017 Notes will not be treated as part of the same issue for United States federal income tax purposes. The Issuers will issue new 2017 notes in denominations of $2,000 and integral multiples of $1,000 in excess of $2,000. The new 2017 notes will mature on November 1, 2017.</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Interest on the new 2017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May 1 and November 1, with the first interest payment date being November 1, 2010. Interest on overdue principal and interest and Liquidated Damages, if any, will accrue at a rate that is 1% higher than the then applicable interest rate on the new 2017 notes. The Issuers will make each interest payment to the holders of record on the immediately preceding April 15 and October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2017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2017 Notes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payments on the 2017 Notes will be made at the office or agency of the paying agent and registrar within the City and State of New York unless the Issuers elect to make interest payments by check mailed to the 2017 noteholders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2017 Notes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2017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holder may transfer or exchange 2017 Notes in accordance with the provisions of the Indenture. The registrar and the trustee may require a holder, among other things, to furnish appropriate endorsements and transfer documents in connection with a transfer of 2017 Notes. Holders will be required to pay all taxes due on transfer. The Issuers will not be required to transfer or exchange any 2017 Note selected for redemption. Also, the Issuers will not be required to transfer or exchange any 2017 Note for a period of 15 days before a selection of 2017 Notes to be redeemed.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2020 Notes and the 2017 Notes.” Federal and state statutes allow courts, under specific circumstances, to void the guarantees, and require 2017 noteholders to return payments received from us or the Guarantors.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20" w:firstLine="421"/>
        <w:spacing w:after="0" w:line="306" w:lineRule="auto"/>
        <w:tabs>
          <w:tab w:leader="none" w:pos="1579"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20"/>
          </w:cols>
          <w:pgMar w:left="24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2017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2017 noteholders in the Golf Course Land and certain portions of the Golf Course Land owned by Wynn Golf may be released under the circumstances described below under the captions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2017 Notes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2017</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96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Wynn Las Vegas Resort,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Phase II Land, all improvements constructed as part of the Phase II Project, all other real property held by Wynn Las Vegas, certain personal property, including items of furniture, fixture and equipment located within the Projects,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76" w:lineRule="exact"/>
        <w:rPr>
          <w:sz w:val="20"/>
          <w:szCs w:val="20"/>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Holdings in Wynn Las Vegas; and</w:t>
      </w:r>
    </w:p>
    <w:p>
      <w:pPr>
        <w:spacing w:after="0" w:line="90"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Las Vegas Jet, LLC, World Travel, LLC, Wynn Sunrise, LLC, Wynn Show Performers, LLC, Wynn Golf and Kevyn, LLC.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2017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jc w:val="both"/>
        <w:ind w:left="460" w:right="14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one parcel of land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other existing and future assets (other than gaming and liquor licenses) of the Guarantors, provided that the Note Guarantee of World Travel, LLC is not secured by the Aircraft Assets.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2017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2017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4" w:lineRule="exact"/>
        <w:rPr>
          <w:rFonts w:ascii="Arial" w:cs="Arial" w:eastAsia="Arial" w:hAnsi="Arial"/>
          <w:sz w:val="16"/>
          <w:szCs w:val="16"/>
          <w:color w:val="auto"/>
        </w:rPr>
      </w:pPr>
    </w:p>
    <w:p>
      <w:pPr>
        <w:ind w:left="460" w:right="380" w:firstLine="443"/>
        <w:spacing w:after="0" w:line="357" w:lineRule="auto"/>
        <w:tabs>
          <w:tab w:leader="none" w:pos="1147" w:val="left"/>
        </w:tabs>
        <w:numPr>
          <w:ilvl w:val="0"/>
          <w:numId w:val="90"/>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2017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2017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2017 noteholders to secure the 2017 Notes (or, if such Person is a Guarantor, its Note Guarantee of the 2017 Notes). That security interest in favor of the trustee for the benefit of the 2017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2017 noteholders and may determine to release their liens under different circumstances, which would nevertheless result in the automatic release of the first priority liens by the 2017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302" w:lineRule="auto"/>
        <w:tabs>
          <w:tab w:leader="none" w:pos="1147" w:val="left"/>
        </w:tabs>
        <w:numPr>
          <w:ilvl w:val="1"/>
          <w:numId w:val="92"/>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5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93"/>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460"/>
        <w:spacing w:after="0"/>
        <w:rPr>
          <w:rFonts w:ascii="Arial" w:cs="Arial" w:eastAsia="Arial" w:hAnsi="Arial"/>
          <w:sz w:val="16"/>
          <w:szCs w:val="16"/>
          <w:color w:val="auto"/>
        </w:rPr>
      </w:pPr>
      <w:r>
        <w:rPr>
          <w:rFonts w:ascii="Arial" w:cs="Arial" w:eastAsia="Arial" w:hAnsi="Arial"/>
          <w:sz w:val="18"/>
          <w:szCs w:val="18"/>
          <w:color w:val="auto"/>
        </w:rPr>
        <w:t>(6) above; 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(6) 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At any time prior to November 1, 2012, the Issuers may, on any one or more occasions, redeem up to 35% of the aggregate principal amount of 2017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2017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2017 Notes will not be redeemable at the Issuers’ option prior to November 1, 2013.</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or after November 1, 2013, the Issuers may redeem all or a part of the 2017 Notes upon not less than 30 nor more than 60 days’ notice, at the redemption prices (expressed as percentages of principal amount) set forth below plus accrued and unpaid interest and Liquidated Damages, if any, on the 2017 Notes redeemed, to the applicable redemption date, if redeemed during the twelve-month period beginning on November 1 of the years indicated below, subject to the rights of holders of 2017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101.969%</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2017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2017 Notes to be licensed, qualified or found suitable under any applicable Gaming Law and the holder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59" w:lineRule="exact"/>
        <w:rPr>
          <w:sz w:val="20"/>
          <w:szCs w:val="20"/>
          <w:color w:val="auto"/>
        </w:rPr>
      </w:pPr>
    </w:p>
    <w:p>
      <w:pPr>
        <w:ind w:left="460" w:right="28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2017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20" w:firstLine="421"/>
        <w:spacing w:after="0" w:line="268" w:lineRule="auto"/>
        <w:tabs>
          <w:tab w:leader="none" w:pos="15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redeem the 2017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principal amount of the 2017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2017 Notes in either case, together with accrued and unpaid interest and Liquidated Damages, if any, on the 2017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2017 Notes will not be licensed, qualified or found suitable, the holder or beneficial owner will not have any further rights with respect to the 2017 Notes to:</w:t>
      </w:r>
    </w:p>
    <w:p>
      <w:pPr>
        <w:spacing w:after="0" w:line="51"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2017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2017 Notes, or any remuneration in any form from the Issuers for services rendered or otherwise, except the redemption price of the 2017 Notes described in this section.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2017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a Change of Control occurs, each holder of 2017 Notes will have the right to require the Issuers to repurchase all or any part (equal to $2,000 or an integral multiple of $1,000 in excess of $2,000) of that holder’s 2017 Notes pursuant to a Change of Control Offer on the terms set forth in the Indenture. In the Change of Control Offer, the Issuers will offer a payment (the “Change of Control Payment”) in cash equal to 101% of the aggregate principal amount of 2017 Notes repurchased plus accrued and unpaid interest and Liquidated Damages, if any, on the 2017 Notes repurchased to the date of purchase. Within 10 days following any Change of Control, the Issuers will mail a notice to each holder describing the transaction or transactions that constitute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Change of Control and offering to repurchase 2017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accept for payment all 2017 Notes or portions of 2017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2017 Notes or portions of 2017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2017 Notes properly accepted together with an officers’ certificate stating the aggregate principal amount of 2017 Notes or portions of 2017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2017 Notes properly tendered the Change of Control Payment for such 2017 Notes, and the trustee will promptly authenticate and mail (or cause to be transferred by book-entry) to each holder a 2017 Note equal in principal amount to any unpurchased portion of the 2017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2017 Notes to require that the Issuers repurchase or redeem the 2017 Notes in the event of a takeover, recapitalization or similar transaction.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2017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2017 Notes to require the Issuers to repurchase its 2017 Notes as a result of a sale, lease, transfer, conveyance or other disposition of less than all of the assets of Wynn Las Vegas and its Restricted Subsidiaries, taken as a whole, to another Person or group may be uncertain.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2017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firstLine="421"/>
        <w:spacing w:after="0" w:line="370" w:lineRule="auto"/>
        <w:tabs>
          <w:tab w:leader="none" w:pos="1588" w:val="left"/>
        </w:tabs>
        <w:numPr>
          <w:ilvl w:val="1"/>
          <w:numId w:val="98"/>
        </w:numPr>
        <w:rPr>
          <w:rFonts w:ascii="Arial" w:cs="Arial" w:eastAsia="Arial" w:hAnsi="Arial"/>
          <w:sz w:val="15"/>
          <w:szCs w:val="15"/>
          <w:color w:val="auto"/>
        </w:rPr>
      </w:pPr>
      <w:r>
        <w:rPr>
          <w:rFonts w:ascii="Arial" w:cs="Arial" w:eastAsia="Arial" w:hAnsi="Arial"/>
          <w:sz w:val="15"/>
          <w:szCs w:val="15"/>
          <w:color w:val="auto"/>
        </w:rPr>
        <w:t>any securities, 2017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2020 Notes and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2020 Notes and subject to other Permitted Liens and the terms of the Intercreditor Agreement) in favor of the trustee, on behalf of the holders of 2017 Notes, as security for the 2017 Notes.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“Asset Sale Offer Amount”), to make an offer (an “Asset Sale Offer”) to all holders of 2017 Notes and, to the extent required, 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2017 Notes and, to the extent required, the holders of such Pari Passu</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2020 Notes and the Collateral Documents, including, without limitation, to reduce revolving credit Indebtedness (and, if required, commitments) under the Credit Agreement. If the aggregate principal amount of 2017 Notes and such other Pari Passu Debt tendered into such Asset Sale Offer exceeds the Asset Sale Offer Amount that may be applied to the Asset Sale Offer, the trustee will select the 2017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II Project at any time prior to the completion of the Phase II Project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2017 Notes; so long as, in the case of any such Collateral with a Fair Market Value (or replacement cost, if higher) in excess of $30.0 million:</w:t>
      </w:r>
    </w:p>
    <w:p>
      <w:pPr>
        <w:spacing w:after="0" w:line="35" w:lineRule="exact"/>
        <w:rPr>
          <w:sz w:val="20"/>
          <w:szCs w:val="20"/>
          <w:color w:val="auto"/>
        </w:rPr>
      </w:pPr>
    </w:p>
    <w:p>
      <w:pPr>
        <w:ind w:left="460" w:right="420" w:firstLine="443"/>
        <w:spacing w:after="0" w:line="332"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“Event of Loss Offer Amount”), to make an offer (an “Event of Loss Offer”) to all holders of 2017 Notes and, to the extent required,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2017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2017 Notes and such other Pari Passu Debt tendered into such Event of Loss Offer exceeds the Event of Loss Offer Amount that may be applied to the Event of Loss Offer, the trustee will select the 2017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3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2017 Notes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Subsidiaries from repairing or restoring the Collateral following an Event of Loss regardless of whether that repair or restoration is permitted under the Indenture. In addition, the exercise by the holders of 2017 Notes of their rights to require Wynn Las Vegas to repurchase the 2017 Notes upon a Change of Control Offer, an Asset Sale Offer or Event of Loss Offer, as the case may be, could cause a default under these other agreements. Finally, Wynn Las Vegas’ ability to pay cash to the holders of 2017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2017 Notes upon a change of control.”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2017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2017 Notes are to be redeemed at any time, the trustee will select 2017 Notes for redemption on a pro rata basis, by lot or by any other method the trustee deems fair and appropriate, unless otherwise required by law or applicable stock exchange requirements. No 2017 Notes of $1,000 or less can be redeemed or purchased in part. However, if all of the 2017 Notes of a Holder are to be redeemed or purchased, the entire outstanding amount of 2017 Notes held by such Holder, even if not a multiple of $1,000, will be redeemed or purchased. Notices of redemption or purchase will be mailed by first class mail at least 30 but not more than 60 days before the redemption or purchase date to each Holder of 2017 Notes to be redeemed or purchased at its registered address, except that redemption or purchase notices may be mailed more than 60 days prior to a redemption or purchase date if the notice is issued in connection with a defeasance of the 2017 Notes or a satisfaction and discharge of the Indenture. Notices of redemption may not be conditional.</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2017 Note is to be redeemed in part only, the notice of redemption that relates to that 2017 Note will state the portion of the principal amount of that 2017 Note that is to be redeemed. A 2017 Note in principal amount equal to the unredeemed portion of the original 2017 Note will be issued in the name of the Holder of 2017 Notes upon cancellation of the original 2017 Note. 2017 Notes called for redemption become due on the date fixed for redemption. On and after the redemption date, interest ceases to accrue on 2017 Notes or portions of 2017 Notes called for redemption.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40" w:firstLine="443"/>
        <w:spacing w:after="0" w:line="284" w:lineRule="auto"/>
        <w:tabs>
          <w:tab w:leader="none" w:pos="114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2017 Notes or the Guarantees or that is expressly subordinated in right of payment to the 2017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00" w:firstLine="421"/>
        <w:spacing w:after="0" w:line="335" w:lineRule="auto"/>
        <w:tabs>
          <w:tab w:leader="none" w:pos="1579" w:val="left"/>
        </w:tabs>
        <w:numPr>
          <w:ilvl w:val="2"/>
          <w:numId w:val="105"/>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July 1, 2005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200" w:firstLine="421"/>
        <w:spacing w:after="0" w:line="303" w:lineRule="auto"/>
        <w:tabs>
          <w:tab w:leader="none" w:pos="1588" w:val="left"/>
        </w:tabs>
        <w:numPr>
          <w:ilvl w:val="2"/>
          <w:numId w:val="105"/>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December 14, 2004 as a contribution to its common equity capital, excluding (i) any such net cash proceeds received by Wynn Las Vegas subsequent to December 14, 2004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(14) of the covenant described below under the caption “—Incurrence of Indebtedness and Issuance of Disqualified Stock”; plus</w:t>
      </w:r>
    </w:p>
    <w:p>
      <w:pPr>
        <w:spacing w:after="0" w:line="12" w:lineRule="exact"/>
        <w:rPr>
          <w:sz w:val="20"/>
          <w:szCs w:val="20"/>
          <w:color w:val="auto"/>
        </w:rPr>
      </w:pPr>
    </w:p>
    <w:p>
      <w:pPr>
        <w:jc w:val="both"/>
        <w:ind w:left="920" w:right="100" w:firstLine="420"/>
        <w:spacing w:after="0" w:line="303" w:lineRule="auto"/>
        <w:rPr>
          <w:sz w:val="20"/>
          <w:szCs w:val="20"/>
          <w:color w:val="auto"/>
        </w:rPr>
      </w:pPr>
      <w:r>
        <w:rPr>
          <w:rFonts w:ascii="Arial" w:cs="Arial" w:eastAsia="Arial" w:hAnsi="Arial"/>
          <w:sz w:val="15"/>
          <w:szCs w:val="15"/>
          <w:color w:val="auto"/>
        </w:rPr>
        <w:t>(c)(i) to the extent that any Restricted Investment that was made after December 14, 2004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w:t>
      </w:r>
    </w:p>
    <w:p>
      <w:pPr>
        <w:spacing w:after="0" w:line="1" w:lineRule="exact"/>
        <w:rPr>
          <w:sz w:val="20"/>
          <w:szCs w:val="20"/>
          <w:color w:val="auto"/>
        </w:rPr>
      </w:pPr>
    </w:p>
    <w:p>
      <w:pPr>
        <w:ind w:left="920" w:right="420" w:firstLine="1"/>
        <w:spacing w:after="0" w:line="302" w:lineRule="auto"/>
        <w:tabs>
          <w:tab w:leader="none" w:pos="116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28" w:lineRule="exact"/>
        <w:rPr>
          <w:rFonts w:ascii="Arial" w:cs="Arial" w:eastAsia="Arial" w:hAnsi="Arial"/>
          <w:sz w:val="16"/>
          <w:szCs w:val="16"/>
          <w:color w:val="auto"/>
        </w:rPr>
      </w:pPr>
    </w:p>
    <w:p>
      <w:pPr>
        <w:ind w:left="920" w:right="80" w:firstLine="421"/>
        <w:spacing w:after="0" w:line="306" w:lineRule="auto"/>
        <w:tabs>
          <w:tab w:leader="none" w:pos="158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December 14, 2004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firstLine="421"/>
        <w:spacing w:after="0" w:line="256" w:lineRule="auto"/>
        <w:tabs>
          <w:tab w:leader="none" w:pos="157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December 14, 2004 (other than the Completion Guarantor) is redesignated as a Restricted Subsidiary after December 14, 2004, the lesser of (i) the Fair Market Value of Wynn Las Vegas’ Investment in such Subsidiary as of the date of such redesignation or (ii) such Fair Market Value as of the date on which such Subsidiary was originally designated as an Unrestricted Subsidiary; 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2017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332"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00" w:firstLine="8"/>
        <w:spacing w:after="0" w:line="315" w:lineRule="auto"/>
        <w:tabs>
          <w:tab w:leader="none" w:pos="24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2017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holders of the 2017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88" w:val="left"/>
        </w:tabs>
        <w:numPr>
          <w:ilvl w:val="2"/>
          <w:numId w:val="114"/>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 w:lineRule="exact"/>
        <w:rPr>
          <w:sz w:val="20"/>
          <w:szCs w:val="20"/>
          <w:color w:val="auto"/>
        </w:rPr>
      </w:pPr>
    </w:p>
    <w:p>
      <w:pPr>
        <w:ind w:left="1580" w:hanging="239"/>
        <w:spacing w:after="0"/>
        <w:tabs>
          <w:tab w:leader="none" w:pos="15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8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2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460" w:right="440" w:firstLine="443"/>
        <w:spacing w:after="0" w:line="332" w:lineRule="auto"/>
        <w:tabs>
          <w:tab w:leader="none" w:pos="12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20" w:firstLine="443"/>
        <w:spacing w:after="0" w:line="289" w:lineRule="auto"/>
        <w:tabs>
          <w:tab w:leader="none" w:pos="12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2017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2017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2017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8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2017 Notes, the Indenture, the 2014 Notes, the 2014 Notes Indenture, the 2020 Notes, the 2020 Notes Indenture, the Note Guarantees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cover any Person or the property or assets of any Person other than the Person acquired or the property or assets of the Person acquired;</w:t>
      </w:r>
    </w:p>
    <w:p>
      <w:pPr>
        <w:spacing w:after="0" w:line="113" w:lineRule="exact"/>
        <w:rPr>
          <w:sz w:val="20"/>
          <w:szCs w:val="20"/>
          <w:color w:val="auto"/>
        </w:rPr>
      </w:pPr>
    </w:p>
    <w:p>
      <w:pPr>
        <w:ind w:left="460" w:right="28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2017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2017 Notes to obtain a Gaming License or be qualified or found suitable under the law of any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2017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2017 Notes would be required to be licensed as a result thereof, except that this sentence will not prohibit any entity from conducting a Permitted Business in any jurisdiction that does not require the licensing or qualification of all the holders of 2017 Notes, but reserves the discretionary right to require the licensing or qualification of any holders of 2017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right="42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2017 noteholders’ security interests in the Golf Course Land),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80" w:firstLine="443"/>
        <w:spacing w:after="0" w:line="357" w:lineRule="auto"/>
        <w:tabs>
          <w:tab w:leader="none" w:pos="114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Holders—Events of Loss,”</w:t>
      </w: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100" w:firstLine="443"/>
        <w:spacing w:after="0" w:line="256"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7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58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2017 Notes to receive payments pursuant to the 2017 Notes and the Guarantees. Under this agreement, Management Fees will be payable semi-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in arrears on the tenth business day following the date on which interest payments are payable on the 2017 Notes. Management Fees may be paid only if, among other things, the interest payable on the 2017 Notes through the applicable interest payment date and the interest payable on the loans under the Credit Agreement through such interest payment date has been paid in full.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8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2017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Golf Course Land,” “—Security—Release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38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2017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2017 Notes, and (iii) replacement 2017 Notes for the 2017 Notes previously issued by the Issuer that was so reorganized as a subchapter “C” corporation to be issued to the holders upon request and the concurrent return by such holders of the 2017 Notes previously issued to them by such Issuer that was so reorganized as a “C”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20" w:firstLine="421"/>
        <w:spacing w:after="0" w:line="332" w:lineRule="auto"/>
        <w:tabs>
          <w:tab w:leader="none" w:pos="157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2017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2017 Notes for or as an inducement to any consent, waiver or amendment of any of the terms or provisions of the Indenture, the 2017 Notes or the Collateral Documents unless such consideration is offered to be paid and is paid to all Holders of 2017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Wynn Las Vegas or one or more of Wynn Las Vegas’ Wholly Owned Restricted Subsidiaries other than Wynn Capital. At all times while 2017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Whether or not required by the rules and regulations of the SEC, so long as any 2017 Notes are outstanding, the Issuers will furnish to the Holders of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2017 Notes, within the time periods specified in the SEC’s rules and regulations:</w:t>
      </w:r>
    </w:p>
    <w:p>
      <w:pPr>
        <w:spacing w:after="0" w:line="84" w:lineRule="exact"/>
        <w:rPr>
          <w:sz w:val="20"/>
          <w:szCs w:val="20"/>
          <w:color w:val="auto"/>
        </w:rPr>
      </w:pPr>
    </w:p>
    <w:p>
      <w:pPr>
        <w:ind w:left="460" w:right="4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2017 Notes remain outstanding, if at any time they are not required to file with the SEC the reports required by the preceding paragraphs, they will furnish to the holders of 2017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2017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2017</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firstLine="421"/>
        <w:spacing w:after="0" w:line="332" w:lineRule="auto"/>
        <w:tabs>
          <w:tab w:leader="none" w:pos="158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2017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2017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2017 Notes will become due and payable immediately without further action or notice. If any other Event of Default occurs and is continuing, the trustee or the holders of at least 25% in aggregate principal amount of the then outstanding 2017 Notes may declare all the 2017 Notes to be due and payable immediately.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Holders of the 2017 Notes may not enforce the Indenture or the 2017 Notes except as provided in the Indenture, the Intercreditor Agreement and the other Collateral Documents. Subject to certain limitations, holders of a majority in aggregate principal amount of the then outstanding 2017 Notes may direct the trustee in its exercise of any trust or power. The trustee may withhold from holders of the 2017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2017 Notes unless such holders have offered to the trustee reasonable indemnity or security against any loss, liability or expense. Except to enforce the right to receive payment of principal, interest or premium, if any, or Liquidated Damages, if any, when due, no holder of a 2017 Note may pursue any remedy with respect to the Indenture or the 2017 Notes unless:</w:t>
      </w:r>
    </w:p>
    <w:p>
      <w:pPr>
        <w:spacing w:after="0" w:line="62"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2017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2017 Notes have not given the trustee a direction inconsistent with such request within such 60-day period.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by notice to the trustee may, on behalf of the holders of all of the 2017 Notes, rescind an acceleration or waive any existing Default or Event of Default and its consequences under the Indenture, except a continuing Default or Event of Default in the payment of interest or premium, if any, or Liquidated Damages, if any, on, or the principal of, the 2017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2017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2017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2017 Notes would not share in the profits or losses of gaming operations. In addition, if the trustee acquires and operates the Collateral, the trustee and the holders of the 2017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 and the 2017 Notes—Bankruptcy laws may significantly impair your rights to repossess and dispose of collateral securing the 2017 Notes, and otherwise collect on any amounts due thereunder” and “Risk Factors —Risks Related to the 2020 Notes and the 2017 Notes—In the event that a bankruptcy court orders the substantive consolidation of us with certain affiliated parties, payments on the 2017 Notes could be delayed or reduced.”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2017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2017 Notes, the Indenture, the Note Guarantees, the Collateral Documents or for any claim based on, in respect of, or by reason of, such obligations or their creation. Each holder of 2017 Notes by accepting a 2017 Note waives and releases all such liability. The waiver and release are part of the consideration for issuance of the 2017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2017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rights of holders of outstanding 2017 Notes to receive payments in respect of the principal of, or interest or premium and Liquidated Damages, if any, on, such 2017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Issuers’ obligations with respect to the 2017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2017 Notes. In the event Covenant Defeasance occurs, certain events (not including non-payment, bankruptcy, receivership, rehabilitation and insolvency events) described under the caption “—Events of Default and Remedies” will no longer constitute an Event of Default with respect to the 2017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2017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2017 Notes on the stated date for payment thereof or on the applicable redemption date, as the case may be, and the Issuers must specify whether the 2017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2017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2017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2017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2017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2017 Notes, the Note Guarantees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next three succeeding paragraphs, the Indenture, the 2017 Notes, the Note Guarantees or, subject to the terms of the Intercreditor Agreement, the Collateral Documents may be amended or supplemented with the consent of the holders of at least a majority in aggregate principal amount of the 2017 Notes then outstanding (including, without limitation, consents obtained in connection with a purchase of, or tender offer or exchange offer for, 2017 Notes), and any existing Default or Event of Default or compliance with any provision of the Indenture, the 2017 Notes, the Note Guarantees or, subject to the terms of the Intercreditor Agreement, the Collateral Documents may be waived with the consent of the holders of a majority in aggregate principal amount of the then outstanding 2017 Notes (including, without limitation, consents obtained in connection with a purchase of, or tender offer or exchange offer for, 2017 Notes).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2017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2017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2017 noteholders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2017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2017 Notes, so long as such amendment only affects the subordination provisions in respect of any junior Indebtedness but does not affect the provisions governing the relationship between the lenders under the Credit Agreement and the holders of the 2017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2017 Notes affected or, in the case of clauses (8), (9) and (10) below only, without the consent of the holders of at least 95% in the aggregate principal amount of the 2017 Notes then outstanding, an amendment, supplement or waiver may not (with respect to any 2017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reduce the principal amount of 2017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2017 Note or alter the provisions with respect to the redemption of the 2017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2017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2017 Notes (except a rescission of acceleration of the 2017 Notes by the holders of at least a majority in aggregate principal amount of the then outstanding 2017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2017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2017 Notes to receive payments of principal of, or interest, premium or Liquidated Damages, if any, on, the 2017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waive a redemption payment with respect to any 2017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2017 Notes, the Issuers, the Restricted Subsidiaries, the Guarantors and the trustee may amend or supplement the Indenture, the 2017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2017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2017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provide for the issuance of additional 2017 Notes in accordance with the limitations set forth in the Indenture as of the date of the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2017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2017 Notes issued thereunder, when:</w:t>
      </w:r>
    </w:p>
    <w:p>
      <w:pPr>
        <w:spacing w:after="0" w:line="113"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60" w:firstLine="421"/>
        <w:spacing w:after="0" w:line="332" w:lineRule="auto"/>
        <w:tabs>
          <w:tab w:leader="none" w:pos="157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2017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2017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2017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2017 Notes at maturity or on the redemption date, as the case may be.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conduct of his/her own affairs. Subject to such provisions, the trustee will be under no obligation to exercise any of its rights or powers under the Indenture at the request of any holder of 2017 Notes, unless such holder has offered to the trustee security and indemnity satisfactory to it against any loss, liability or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2017 Notes, any Guarantees of the 2017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2017 Notes, the Indenture, any Guarantees of the 2017 Notes or the Collateral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new 2017 notes will be issued in the form of one or more notes in global form (the “Global Notes”). The new 2017 notes will be issued in minimum denominations of $2,000 and integral multiples of $1,000 in excess thereof. 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2017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2017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DTC has advised the Issuers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2017 notes registered in their names, will not receive physical delivery of new 2017 notes in certificated form and will not be considered the registered owners or “holders” thereof under the indenture for any purpose.</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2017 Notes, including the Global Notes, are registered as the owners of the 2017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42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2017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2017 Notes will be governed by standing instructions and customary practices and will be the responsibility of the Participants or the Indirect Participants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will not be the responsibility of DTC, the trustee or the Issuers. Neither the Issuers nor the trustee will be liable for any delay by DTC or any of the Participants or the Indirect Participants in identifying the beneficial owners of the 2017 Notes, and the Issuers and the trustee may conclusively rely on and will be protected in relying on instructions from DTC or its nominee for all purposes.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2017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2017 Notes only at the direction of one or more Participants to whose account DTC has credited the interests in the Global Notes and only in respect of such portion of the aggregate principal amount of the 2017 Notes as to which such Participant or Participants has or have given such direction. However, if there is an Event of Default under the 2017 Notes, DTC reserves the right to exchange the Global Notes for legended 2017 Notes in certificated form, and to distribute such 2017 Notes to its Participants.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2017 Notes.</w:t>
      </w:r>
    </w:p>
    <w:p>
      <w:pPr>
        <w:spacing w:after="0" w:line="171"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2017 Notes represented by the Global Notes (including principal, premium, if any, and interest and Liquidated Damages, if any), by wire transfer of immediately available funds to the accounts specified by DTC or its nominee. The Issuers will make all payments of principal, premium, if any, and interest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2017 Notes represented by the Global Notes are expected to be eligible to trade in The PORTAL Alliance and to trade in DTC’s Same-Day Funds Settlement System, and any permitted secondary market trading activity in such 2017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Covenants—Amendments to Certain Agreements.”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5580" w:right="5580" w:hanging="4677"/>
        <w:spacing w:after="0" w:line="576" w:lineRule="auto"/>
        <w:tabs>
          <w:tab w:leader="none" w:pos="114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sale, lease, conveyance or other disposition of any assets; and 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164"/>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23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26" w:lineRule="exact"/>
        <w:rPr>
          <w:sz w:val="20"/>
          <w:szCs w:val="20"/>
          <w:color w:val="auto"/>
        </w:rPr>
      </w:pPr>
    </w:p>
    <w:p>
      <w:pPr>
        <w:ind w:left="460" w:right="20" w:firstLine="443"/>
        <w:spacing w:after="0" w:line="256" w:lineRule="auto"/>
        <w:tabs>
          <w:tab w:leader="none" w:pos="12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160" w:firstLine="421"/>
        <w:spacing w:after="0" w:line="306" w:lineRule="auto"/>
        <w:tabs>
          <w:tab w:leader="none" w:pos="158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2"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2017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“Completion Guarantor” </w:t>
      </w:r>
      <w:r>
        <w:rPr>
          <w:rFonts w:ascii="Arial" w:cs="Arial" w:eastAsia="Arial" w:hAnsi="Arial"/>
          <w:sz w:val="18"/>
          <w:szCs w:val="18"/>
          <w:color w:val="auto"/>
        </w:rPr>
        <w:t>means Wynn Completion Guarantor, LLC, a Nevada limited liability company.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6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respective amounts reported on such Person’s balance sheet as of such date with respect to any series of preferred stock (other than Disqualified Stock) that by its terms is not entitled to the payment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dividends unless such dividends may be declared and paid only out of net earnings in respect of the year of such declaration and payment, but only to the extent of any cash received by such Person upon issuance of such preferred equity.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and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2017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as agent for (1) the administrative agent for the lenders under the Credit Agreement, (2) the trustee on behalf of the noteholders of the 2014 Notes and (3) the trustee on behalf of the noteholders of the 2017 Notes in accordance with the provisions of the Indenture and the Collateral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2017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 or “holder</w:t>
      </w:r>
      <w:r>
        <w:rPr>
          <w:rFonts w:ascii="Arial" w:cs="Arial" w:eastAsia="Arial" w:hAnsi="Arial"/>
          <w:sz w:val="16"/>
          <w:szCs w:val="16"/>
          <w:color w:val="auto"/>
        </w:rPr>
        <w:t>” means any registered holder, from time to time, of the 2017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December 14, 2004, among the trustee for the 2014 Notes, the trustee for the 2017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2017 Notes or the Note Guarantees) permitted under the Indenture that is secured by a Permitted Lien on the asset or assets that were the subject of such Event of Loss that ranks prior to the security interest of the trustee in those assets, after giving effect to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in the Collateral Documents and the Intercreditor Agreement as to the relative ranking of security interests,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2017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2017 Notes, executed pursuant to the provisions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2017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Indenture, the 2017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2017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firstLine="443"/>
        <w:spacing w:after="0" w:line="332" w:lineRule="auto"/>
        <w:tabs>
          <w:tab w:leader="none" w:pos="122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2017 Notes or is secured by Liens with a lower priority than the Liens securing the 2017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2017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2017 Notes securing the obligations under the 2017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including the 2014 Notes,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55"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2017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firstLine="443"/>
        <w:spacing w:after="0" w:line="289" w:lineRule="auto"/>
        <w:tabs>
          <w:tab w:leader="none" w:pos="123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2017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2017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2017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59" w:lineRule="exact"/>
        <w:rPr>
          <w:sz w:val="20"/>
          <w:szCs w:val="20"/>
          <w:color w:val="auto"/>
        </w:rPr>
      </w:pPr>
    </w:p>
    <w:p>
      <w:pPr>
        <w:ind w:left="1580" w:hanging="239"/>
        <w:spacing w:after="0"/>
        <w:tabs>
          <w:tab w:leader="none" w:pos="15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335" w:lineRule="auto"/>
        <w:tabs>
          <w:tab w:leader="none" w:pos="123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2017 Notes;</w:t>
      </w:r>
    </w:p>
    <w:p>
      <w:pPr>
        <w:spacing w:after="0" w:line="7" w:lineRule="exact"/>
        <w:rPr>
          <w:rFonts w:ascii="Arial" w:cs="Arial" w:eastAsia="Arial" w:hAnsi="Arial"/>
          <w:sz w:val="15"/>
          <w:szCs w:val="15"/>
          <w:color w:val="auto"/>
        </w:rPr>
      </w:pPr>
    </w:p>
    <w:p>
      <w:pPr>
        <w:jc w:val="both"/>
        <w:ind w:left="460" w:firstLine="443"/>
        <w:spacing w:after="0" w:line="298" w:lineRule="auto"/>
        <w:tabs>
          <w:tab w:leader="none" w:pos="123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00" w:firstLine="443"/>
        <w:spacing w:after="0" w:line="259" w:lineRule="auto"/>
        <w:tabs>
          <w:tab w:leader="none" w:pos="12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right="400" w:firstLine="443"/>
        <w:spacing w:after="0" w:line="306" w:lineRule="auto"/>
        <w:tabs>
          <w:tab w:leader="none" w:pos="114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secured by a Lien described in clause (10) of the definition of “Permitted Liens,” the principal amount, or accreted value will not exceed the then current Fair Market Value of the asset so encumbered;</w:t>
      </w:r>
    </w:p>
    <w:p>
      <w:pPr>
        <w:spacing w:after="0" w:line="51" w:lineRule="exact"/>
        <w:rPr>
          <w:sz w:val="20"/>
          <w:szCs w:val="20"/>
          <w:color w:val="auto"/>
        </w:rPr>
      </w:pPr>
    </w:p>
    <w:p>
      <w:pPr>
        <w:ind w:left="460" w:right="20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60" w:firstLine="443"/>
        <w:spacing w:after="0" w:line="298" w:lineRule="auto"/>
        <w:tabs>
          <w:tab w:leader="none" w:pos="1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2017 Notes or the Note Guarantees, such Permitted Refinancing Indebtedness has a final maturity date later than the final maturity date of, and is subordinated in right of payment to, the 2017 Notes or the Note Guarantees, as applicable, on terms at least as favorable, taken as a whole, to the Holders of 2017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the Phase II Project.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the Phase II Project and the Macau Project shall count as separate projects.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2017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213"/>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Amended and Restated Project Administrative Services Agreement, dated as of December 14, 2004,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2020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2020 notes under an indenture (the “Indenture”), dated as of April 28, 2010, among the Issuers, as joint and several obligors, the Guarantors and U.S. Bank National Association, as trustee (the “trustee”). This is the same indenture under which the old 2020 notes were issued. The terms of the new 2020 notes will include those stated in the Indenture and those made part of the Indenture by reference to the Trust Indenture Act of 1939, as amended. The Collateral Documents referred to under the caption “—Security” define the terms of the collateral that will secure the new 2020 Notes and the Note Guarantees. The term “2020 Notes” shall also include the new 2020 notes and the old 2020 notes and the term “Note Guarantees” shall also include the guarantees of the new 2020 notes and the guarantees of the old 2020 notes.</w:t>
      </w:r>
    </w:p>
    <w:p>
      <w:pPr>
        <w:spacing w:after="0" w:line="12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2020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2020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2020 Notes Versus the Old 2020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2020 notes are substantially identical to the old 2020 notes except that the transfer restrictions, registration rights and liquidated damages provisions relating to the old 2020 notes do not apply to the new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2020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2020 Notes in order to facilitate the exchange offer. We believe that certain prospective investors in the new 2020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2020 notes should not expect Wynn Capital to participate in servicing principal, interest or other amounts required to be paid on the new 2020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2020 notes:</w:t>
      </w:r>
    </w:p>
    <w:p>
      <w:pPr>
        <w:spacing w:after="0" w:line="90"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$382,010,000;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will mature on May 1, 2020;</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2020 Notes offered hereby, payable in arrears each November 1 and May 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May 1, 2015, at a premium declining ratably to par;</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2020 notes will be guaranteed by all of the Domestic Subsidiaries other than the Completion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2020 notes and the Note Guarantees offered hereby:</w:t>
      </w:r>
    </w:p>
    <w:p>
      <w:pPr>
        <w:spacing w:after="0" w:line="90"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will be secured, in the case of the 2020 Notes, by a perfected first priority lien on (1) substantially all of the existing and future assets of Wynn Las Vegas other than gaming and liquor licenses and other assets in which the grant of a security interest is restricted by their terms or by law, and</w:t>
      </w:r>
    </w:p>
    <w:p>
      <w:pPr>
        <w:ind w:left="900"/>
        <w:spacing w:after="0"/>
        <w:rPr>
          <w:rFonts w:ascii="Arial" w:cs="Arial" w:eastAsia="Arial" w:hAnsi="Arial"/>
          <w:sz w:val="16"/>
          <w:szCs w:val="16"/>
          <w:color w:val="auto"/>
        </w:rPr>
      </w:pPr>
      <w:r>
        <w:rPr>
          <w:rFonts w:ascii="Arial" w:cs="Arial" w:eastAsia="Arial" w:hAnsi="Arial"/>
          <w:sz w:val="16"/>
          <w:szCs w:val="16"/>
          <w:color w:val="auto"/>
        </w:rPr>
        <w:t>(2) subject to the prior approval of the Nevada Gaming Authorities, the pledged Equity Interests held by Wynn Resorts Holdings in Wynn Las Vegas;</w:t>
      </w:r>
    </w:p>
    <w:p>
      <w:pPr>
        <w:spacing w:after="0" w:line="106"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pari passu with Wynn Las Vegas’ borrowings under the Credit Agreement, the 2014 Notes and the 2017 Notes, which borrowings, 2014 Notes and 2017 Notes are secured by a perfected first priority lien on the same assets as are subject to the lien securing the 2020 Notes and the Note Guarantees (subject to certain exceptions); and</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has entered into the Intercreditor Agreement to govern the relations between the holders of the 2014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2020 Notes and the Note Guarantees under specified circumstances. Pursuant to the Intercreditor Agreement, as long as any Indebtedness is outstanding under our credit facilities or any of the 2014 Notes remain outstanding, the holders of the 2020 Notes will not have any right to direct the collateral agent to enforce remedies against the Collateral. All proceeds of the Collateral must be shared on a pari passu basis with the lenders under our Credit Agreement, the holders of the 2014 Notes, the holders of the 2017 Notes and any other Pari Passu Debt in accordance with the sharing provisions of the Intercreditor Agreement. See “Intercreditor Agreement.”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provides that under certain circumstances if (i) the lenders under the Credit Agreement release their first priority security interest in all of the Collateral and (ii) the lenders under all other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2020 Notes’ first priority security interest in all of the Collateral will also be released. See “—Security—Release of Collateral.”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2020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2020 Notes then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Issuers will issue up to $382,010,000 in aggregate principal amount of new 2020 notes in this exchange offer. The Issuers may issue additional 2020 Notes under the Indenture from time to time after this exchange offer. Any issuance of additional 2020 Notes is subject to all of the covenants in the Indenture, including the covenant described below under the caption “—Certain Covenants—Incurrence of Indebtedness and Issuance of Disqualified Stock.” The 2020 Notes and any additional 2020 Notes subsequently issued under the Indenture will (subject to the qualifications expressed in the third paragraph of this “Description of the 2020 Notes”) be treated as a single class for all purposes under the Indenture, including, without limitation, waivers, amendments, redemptions and offers to purchase. It is possible, however, that any such additional 2020 Notes will not be treated as part of the same issue for United States federal income tax purposes. The Issuers will issue new 2020 notes in denominations of $2,000 and integral multiples of $1,000 in excess of $2,000. The new 2020 notes will mature on May 1, 2020.</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Interest on the new 2020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November 1 and May 1, with the first interest payment date being November 1, 2010. Interest on overdue principal and interest and Liquidated Damages, if any, will accrue at a rate that is 1% higher than the then applicable interest rate on the new 2020 notes. The Issuers will make each interest payment to the holders of record on the immediately preceding October 15 and April 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2020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Receiving Payments on the 2020 Notes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payments on the 2020 Notes will be made at the office or agency of the paying agent and registrar within the City and State of New York unless the Issuers elect to make interest payments by check mailed to the holders of the 2020 Notes at their addresses set forth in the register of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 and Registrar for the 2020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2020 Notes, and either or both of the Issuers or any of their respective Subsidiaries may act as paying agent or registrar.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Exchange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holder may transfer or exchange 2020 Notes in accordance with the provisions of the Indenture. The registrar and the trustee may require a holder, among other things, to furnish appropriate endorsements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 documents in connection with a transfer of 2020 Notes. Holders will be required to pay all taxes due on transfer. The Issuers will not be required to transfer or exchange any 2020 Note selected for redemption. Also, the Issuers will not be required to transfer or exchange any 2020 Note for a period of 15 days before a selection of 2020 Notes to be redeemed.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 conveyance under applicable law. See “Risk Factors—Risks Related to the 2020 Notes and the 2017 Notes.” Federal and state statutes allow courts, under specific circumstances, to void the guarantees, and require holders of the 2020 Notes to return payments received from us or the Guarantors.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Note Guarantees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2020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460" w:right="78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4" w:lineRule="exact"/>
        <w:rPr>
          <w:sz w:val="20"/>
          <w:szCs w:val="20"/>
          <w:color w:val="auto"/>
        </w:rPr>
      </w:pPr>
    </w:p>
    <w:p>
      <w:pPr>
        <w:ind w:left="460" w:right="200" w:firstLine="443"/>
        <w:spacing w:after="0" w:line="259"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New 2020 Notes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2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2020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Note Guarantees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2020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2020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57" w:lineRule="auto"/>
        <w:tabs>
          <w:tab w:leader="none" w:pos="114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interests,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2020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Portions of the Golf Course Land</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2020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2020 Notes to secure the 2020 Notes (or, if such Person is a Guarantor, its Note Guarantee of the 2020 Notes). That security interest in favor of the trustee for the benefit of the holders of the 2020 Notes will be a first priority security interest pari passu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2020 Notes and may determine to release their liens under different circumstances, which would nevertheless result in the automatic release of the first priority liens by the holders of the 2020 Notes.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At any time prior to May 1, 2013, the Issuers may, on any one or more occasions, redeem up to 35% of the aggregate principal amount of 2020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2020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2020 Notes will not be redeemable at the Issuers’ option prior to May 1, 2015.</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or after May 1, 2015, the Issuers may redeem all or a part of the 2020 Notes upon not less than 30 nor more than 60 days’ notice, at the redemption prices (expressed as percentages of principal amount) set forth below plus accrued and unpaid interest and Liquidated Damages, if any, on the 2020 Notes redeemed,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applicable redemption date, if redeemed during the twelve-month period beginning on May 1 of the years indicated below, subject to the rights of holders of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on the relevant record date to receive interest on the relevant interest payment date: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102.625%</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101.313%</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2020 Notes or portions thereof called for redemption on the applicable redemption date.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2020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280" w:firstLine="443"/>
        <w:spacing w:after="0" w:line="268"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2020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58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redeem the 2020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principal amount of the 2020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2020 Notes in either case, together with accrued and unpaid interest and Liquidated Damages, if any, on the 2020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2020 Notes will not be licensed, qualified or found suitable, the holder or beneficial owner will not have any further rights with respect to the 2020 Notes to:</w:t>
      </w:r>
    </w:p>
    <w:p>
      <w:pPr>
        <w:spacing w:after="0" w:line="51" w:lineRule="exact"/>
        <w:rPr>
          <w:sz w:val="20"/>
          <w:szCs w:val="20"/>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2020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2020 Notes, or any remuneration in any form from the Issuers for services rendered or otherwise, except the redemption price of the 2020 Notes described in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2020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2020 Notes will have the right to require the Issuers to repurchase all or any part (equal to $2,000 or an integral multiple of $1,000 in excess of $2,000) of that holder’s 2020 Notes pursuant to a Change of Control Offer on the terms set forth in the Indenture. In the Change of Control Offer, the Issuers will offer a payment (the “Change of Control Payment”) in cash equal to 101% of the aggregate principal amount of 2020 Notes repurchased plus accrued and unpaid interest and Liquidated Damages, if any, on the 2020 Notes repurchased to the date of purchase. Within 10 days following any Change of Control, the Issuers will mail a notice to each holder describing the transaction or transactions that constitute the Change of Control and offering to repurchase 2020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accept for payment all 2020 Notes or portions of 2020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2020 Notes or portions of 2020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2020 Notes properly accepted together with an officers’ certificate stating the aggregate principal amount of 2020 Notes or portions of 2020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2020 Notes properly tendered the Change of Control Payment for such 2020 Notes, and the trustee will promptly authenticate and mail (or cause to be transferred by book-entry) to each holder a 2020 Note equal in principal amount to any unpurchased portion of the 2020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2020 Notes to require that the Issuers repurchase or redeem the 2020 Notes in the event of a takeover, recapitalization or similar transaction.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2020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2020 Notes to require the Issuers to repurchase its 2020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40" w:firstLine="421"/>
        <w:spacing w:after="0" w:line="256" w:lineRule="auto"/>
        <w:tabs>
          <w:tab w:leader="none" w:pos="1579"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2020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20" w:firstLine="421"/>
        <w:spacing w:after="0" w:line="370" w:lineRule="auto"/>
        <w:tabs>
          <w:tab w:leader="none" w:pos="1588" w:val="left"/>
        </w:tabs>
        <w:numPr>
          <w:ilvl w:val="1"/>
          <w:numId w:val="231"/>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and the 2017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2017 Notes, and subject to other Permitted Liens and the terms of the Intercreditor Agreement) in favor of the trustee, on behalf of the holders of 2020 Notes, as security for the 2020 Notes.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“Asset Sale Offer Amount”), to make an offer (an “Asset Sale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2020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Asset Sale Offer exceeds the Asset Sale Offer Amount that may be applied to the Asset Sale Offer, the trustee will select the 2020 Notes and such other Pari Passu Debt to be purchased as described below under the caption “—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2020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“Event of Loss Offer Amount”), to make an offer (an “Event of Loss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2020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Event of Loss Offer exceeds the Event of Loss Offer Amount that may be applied to the Event of Loss Offer, the trustee will select the 2020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or the 2017 Notes shall be required to be made to the holders of the 2020 Notes, as holders of Pari Passu Debt (as defined in those indentures).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9" w:lineRule="auto"/>
        <w:tabs>
          <w:tab w:leader="none" w:pos="24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first priority security interest for the benefit of the Holders (equal and ratable with the perfected security interest securing the Credit Agreement, the 2014 Notes, the 2017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600" w:firstLine="443"/>
        <w:spacing w:after="0" w:line="268" w:lineRule="auto"/>
        <w:tabs>
          <w:tab w:leader="none" w:pos="11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Repurchase of 2020 Notes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2020 Notes of their rights to require Wynn Las Vegas to repurchase the 2020 Notes upon a Change of Control Offer, an Asset Sale Offer or Event of Loss Offer, as the case may be, could cause a default under these other agreements. Finally, Wynn Las Vegas’ ability to pay cash to the holders of 2020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2020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2020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Selection and Notice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less than all of the 2020 Notes are to be redeemed at any time, the trustee will select 2020 Notes for redemption on a pro rata basis, by lot or by any other method the trustee deems fair and appropriate, unless otherwise required by law or applicable stock exchange requirements. No 2020 Notes of $1,000 or less can be redeemed or purchased in part. However, if all of the 2020 Notes of a Holder are to be redeemed or purchased,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entire outstanding amount of 2020 Notes held by such Holder, even if not a multiple of $1,000, will be redeemed or purchased. Notices of redemption or purchase will be mailed by first class mail at least 30 but not more than 60 days before the redemption or purchase date to each Holder of 2020 Notes to be redeemed or purchased at its registered address, except that redemption or purchase notices may be mailed more than 60 days prior to a redemption or purchase date if the notice is issued in connection with a defeasance of the 2020 Notes or a satisfaction and discharge of the Indenture. Notices of redemption may not be conditional.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any 2020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2020 Notes upon cancellation of the original note. 2020 Notes called for redemption become due on the date fixed for redemption. On and after the redemption date, interest ceases to accrue on 2020 Notes or portions of 2020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2020 Notes or the Guarantees or that is expressly subordinated in right of payment to the 2020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20" w:firstLine="421"/>
        <w:spacing w:after="0" w:line="268" w:lineRule="auto"/>
        <w:tabs>
          <w:tab w:leader="none" w:pos="157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50% of the Consolidated Net Income of Wynn Las Vegas and its Restricted Subsidiaries for the period (taken as one accounting period) from the beginning of January 1, 2010 to the end of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Las Vegas’ most recently ended fiscal quarter for which internal financial statements are available at the time of such Restricted Payment (or, if such Consolidated Net Income for such period is a deficit, less 100% of such deficit); plus</w:t>
      </w:r>
    </w:p>
    <w:p>
      <w:pPr>
        <w:spacing w:after="0" w:line="51" w:lineRule="exact"/>
        <w:rPr>
          <w:sz w:val="20"/>
          <w:szCs w:val="20"/>
          <w:color w:val="auto"/>
        </w:rPr>
      </w:pPr>
    </w:p>
    <w:p>
      <w:pPr>
        <w:jc w:val="both"/>
        <w:ind w:left="920" w:right="460" w:firstLine="421"/>
        <w:spacing w:after="0" w:line="303" w:lineRule="auto"/>
        <w:tabs>
          <w:tab w:leader="none" w:pos="1588" w:val="left"/>
        </w:tabs>
        <w:numPr>
          <w:ilvl w:val="1"/>
          <w:numId w:val="240"/>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(16) of the covenant described below under the caption “—Incurrence of Indebtedness and Issuance of Disqualified Stock”; plus</w:t>
      </w:r>
    </w:p>
    <w:p>
      <w:pPr>
        <w:spacing w:after="0" w:line="12"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2020 Notes or to any Note Guarantee with the net cash proceeds from a substantially concurrent incurrence of Permitted Refinancing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90"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20" w:firstLine="8"/>
        <w:spacing w:after="0" w:line="295" w:lineRule="auto"/>
        <w:tabs>
          <w:tab w:leader="none" w:pos="24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forma basis, including a pro forma application of the net proceeds therefrom, as if the additional Indebtedness had been incurred or the Disqualified Stock had been issued, as the case may be, at the beginning of such four-quarter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247"/>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or (14)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2020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440" w:firstLine="443"/>
        <w:spacing w:after="0" w:line="259" w:lineRule="auto"/>
        <w:tabs>
          <w:tab w:leader="none" w:pos="11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2" w:lineRule="exact"/>
        <w:rPr>
          <w:sz w:val="20"/>
          <w:szCs w:val="20"/>
          <w:color w:val="auto"/>
        </w:rPr>
      </w:pPr>
    </w:p>
    <w:p>
      <w:pPr>
        <w:ind w:left="1160" w:hanging="257"/>
        <w:spacing w:after="0"/>
        <w:tabs>
          <w:tab w:leader="none" w:pos="116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2020 Notes continue to have a perfected first priority security interest in the Golf Course Land;</w:t>
      </w:r>
    </w:p>
    <w:p>
      <w:pPr>
        <w:spacing w:after="0" w:line="28"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00" w:firstLine="443"/>
        <w:spacing w:after="0" w:line="289" w:lineRule="auto"/>
        <w:tabs>
          <w:tab w:leader="none" w:pos="1235"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2020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 xml:space="preserve">/3%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(16)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2020 Notes are first issued and authenticated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2020 Notes under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Liens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 of Wynn Las Vegas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40" w:firstLine="443"/>
        <w:spacing w:after="0" w:line="332" w:lineRule="auto"/>
        <w:tabs>
          <w:tab w:leader="none" w:pos="114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00" w:firstLine="443"/>
        <w:spacing w:after="0" w:line="268"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2020 Notes, the 2020 Notes Indenture, the 2014 Notes, the 2014 Notes Indenture, the 2017 Notes, the 2017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2020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2020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00" w:firstLine="443"/>
        <w:spacing w:after="0" w:line="268"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2020 Notes would be required to be licensed as a result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that this sentence will not prohibit any entity from conducting a Permitted Business in any jurisdiction that does not require the licensing or qualification of all the holders of 2020 Notes, but reserves the discretionary right to require the licensing or qualification of any holders of 2020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79"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2020 Notes to receive payments pursuant to the 2020 Notes and the Guarantees. Under this agreement, Management Fees will be payable semi-annually in arrears on the tenth business day following the date on which interest payments are payable on the 2020 Notes. Management Fees may be paid only if, among other things, the interest payable on the 2020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4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2020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180" w:firstLine="443"/>
        <w:spacing w:after="0" w:line="298"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43"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500" w:firstLine="397"/>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2020 Notes by executing and delivering to the trustee a supplemental indenture in the form of an exhibit to the Indenture; or</w:t>
      </w:r>
    </w:p>
    <w:p>
      <w:pPr>
        <w:spacing w:after="0" w:line="59" w:lineRule="exact"/>
        <w:rPr>
          <w:sz w:val="20"/>
          <w:szCs w:val="20"/>
          <w:color w:val="auto"/>
        </w:rPr>
      </w:pPr>
    </w:p>
    <w:p>
      <w:pPr>
        <w:ind w:left="1500" w:right="20" w:firstLine="389"/>
        <w:spacing w:after="0" w:line="291" w:lineRule="auto"/>
        <w:tabs>
          <w:tab w:leader="none" w:pos="2146" w:val="left"/>
        </w:tabs>
        <w:numPr>
          <w:ilvl w:val="2"/>
          <w:numId w:val="265"/>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2020 Notes, and (iii) replacement notes for the 2020 Notes previously issued by the Issuer that was so reorganized as a subchapter “C” corporation to be issued to the holders upon request and the concurrent return by such holders of the 2020 Notes previously issued to them by such Issuer that was so reorganized as a “C” corporation;</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1500" w:right="580" w:firstLine="389"/>
        <w:spacing w:after="0" w:line="357" w:lineRule="auto"/>
        <w:tabs>
          <w:tab w:leader="none" w:pos="2136" w:val="left"/>
        </w:tabs>
        <w:numPr>
          <w:ilvl w:val="2"/>
          <w:numId w:val="266"/>
        </w:numPr>
        <w:rPr>
          <w:rFonts w:ascii="Arial" w:cs="Arial" w:eastAsia="Arial" w:hAnsi="Arial"/>
          <w:sz w:val="15"/>
          <w:szCs w:val="15"/>
          <w:color w:val="auto"/>
        </w:rPr>
      </w:pPr>
      <w:r>
        <w:rPr>
          <w:rFonts w:ascii="Arial" w:cs="Arial" w:eastAsia="Arial" w:hAnsi="Arial"/>
          <w:sz w:val="15"/>
          <w:szCs w:val="15"/>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ind w:left="2140" w:hanging="251"/>
        <w:spacing w:after="0"/>
        <w:tabs>
          <w:tab w:leader="none" w:pos="214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6" w:lineRule="exact"/>
        <w:rPr>
          <w:sz w:val="20"/>
          <w:szCs w:val="20"/>
          <w:color w:val="auto"/>
        </w:rPr>
      </w:pPr>
    </w:p>
    <w:p>
      <w:pPr>
        <w:ind w:left="920" w:right="320" w:firstLine="421"/>
        <w:spacing w:after="0" w:line="259"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owned by such subchapter “C” corporation naming such subchapter “C” corporation as an additional insured under such insurance;</w:t>
      </w:r>
    </w:p>
    <w:p>
      <w:pPr>
        <w:spacing w:after="0" w:line="90" w:lineRule="exact"/>
        <w:rPr>
          <w:sz w:val="20"/>
          <w:szCs w:val="20"/>
          <w:color w:val="auto"/>
        </w:rPr>
      </w:pPr>
    </w:p>
    <w:p>
      <w:pPr>
        <w:ind w:left="460" w:right="40" w:firstLine="443"/>
        <w:spacing w:after="0" w:line="256"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2020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5580" w:right="5440" w:hanging="4677"/>
        <w:spacing w:after="0" w:line="525" w:lineRule="auto"/>
        <w:tabs>
          <w:tab w:leader="none" w:pos="114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carry out more effectively the purposes of the Collateral Documents; 205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2020 Notes for or as an inducement to any consent, waiver or amendment of any of the terms or provisions of the Indenture, the 2020 Notes or the Collateral Documents unless such consideration is offered to be paid and is paid to all Holders of 2020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2020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Whether or not required by the rules and regulations of the SEC, so long as any 2020 Notes are outstanding, the Issuers will furnish to the Holders of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2020 Notes, within the time periods specified in the SEC’s rules and regulations:</w:t>
      </w:r>
    </w:p>
    <w:p>
      <w:pPr>
        <w:spacing w:after="0" w:line="84" w:lineRule="exact"/>
        <w:rPr>
          <w:sz w:val="20"/>
          <w:szCs w:val="20"/>
          <w:color w:val="auto"/>
        </w:rPr>
      </w:pPr>
    </w:p>
    <w:p>
      <w:pPr>
        <w:ind w:left="460" w:firstLine="443"/>
        <w:spacing w:after="0" w:line="268"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Operations” and, with respect to the annual report only, a report on the annual financial statements by Wynn Las Vegas’ and the Restricted Subsidiaries’ certified independent accountants; and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2020 Notes remain outstanding, if at any time they are not required to file with the SEC the reports required by the preceding paragraphs, they will furnish to the holders of 2020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2020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2020</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80" w:firstLine="421"/>
        <w:spacing w:after="0" w:line="332" w:lineRule="auto"/>
        <w:tabs>
          <w:tab w:leader="none" w:pos="158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2020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from the trustee or the holders of at least 25% in aggregate principal amount of the 2020 Notes then outstanding voting as a single class to comply with any of its agreements, as applicable, in any Collateral Document;</w:t>
      </w:r>
    </w:p>
    <w:p>
      <w:pPr>
        <w:spacing w:after="0" w:line="51" w:lineRule="exact"/>
        <w:rPr>
          <w:sz w:val="20"/>
          <w:szCs w:val="20"/>
          <w:color w:val="auto"/>
        </w:rPr>
      </w:pPr>
    </w:p>
    <w:p>
      <w:pPr>
        <w:ind w:left="460" w:right="40" w:firstLine="443"/>
        <w:spacing w:after="0" w:line="256"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2020 Notes will become due and payable immediately without further action or notice. If any other Event of Default occurs and is continuing, the trustee or the holders of at least 25% in aggregate principal amount of the then outstanding 2020 Notes may declare all the 2020 Notes to be due and payable immediately.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the 2020 Notes may not enforce the Indenture or the 2020 Notes except as provided in the Indenture, the Intercreditor Agreement and the other Collateral Documents. Subject to certain limitations, holders of a majority in aggregate principal amount of the then outstanding 2020 Notes may direct the trustee in its exercise of any trust or power. The trustee may withhold from holders of the 2020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2020 Notes unless such holders have offered to the trustee reasonable indemnity or security against any loss, liability or expense. Except to enforce the right to receive payment of principal, interest or premium, if any, or Liquidated Damages, if any, when due, no holder of a 2020 Note may pursue any remedy with respect to the Indenture or the 2020 Notes unless:</w:t>
      </w:r>
    </w:p>
    <w:p>
      <w:pPr>
        <w:spacing w:after="0" w:line="62" w:lineRule="exact"/>
        <w:rPr>
          <w:sz w:val="20"/>
          <w:szCs w:val="20"/>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2020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2020 Notes have not given the trustee a direction inconsistent with such request within such 60-day period.</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2020 Notes by notice to the trustee may, on behalf of the holders of all of the 2020 Notes, rescind an acceleration or waive any existing Default or Event of Default and its consequences under the Indenture, except a continuing Default or Event of Default in the payment of interest or premium, if any, or Liquidated Damages, if any, on, or the principal of, the 2020 Notes.</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Remedies upon Default Under the 2020 Notes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340"/>
          </w:cols>
          <w:pgMar w:left="240" w:top="460" w:right="3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as long as any Indebtedness is outstanding under our credit facilities or any of the 2014 Notes remain outstanding, the holders of the 2020 Notes will not have right to direct the collateral agent to enforce remedies against the Collateral. All proceeds of the Collateral must be shared on a pari passu basis with the lenders under our Credit Agreement,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“—Bankruptcy Limitations on Foreclosure” and “—Real Property Collateral.”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277"/>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2020 Notes with respect to the Collateral, including the ability to amend or modify the Collateral Documents and the ability to release the Collateral. See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2020 Notes would not share in the profits or losses of gaming operations. In addition, if the trustee acquires and operates the Collateral, the trustee and the holders of the 2020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Notes—Bankruptcy laws may significantly impair your rights to repossess and dispose of collateral securing the 2020 Notes, and otherwise collect on any amounts due thereunder” and “—In the event that a bankruptcy court orders the substantive consolidation of us with certain affiliated parties, payments on the 2020 Notes could be delayed or reduced.”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2020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2020 Notes, the Indenture, the Note Guarantees, the Collateral Documents or for any claim based on, in respect of, or by reason of, such obligations or their creation. Each holder of 2020 Notes by accepting a 2020 Note waives and releases all such liability. The waiver and release are part of the consideration for issuance of the 2020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2020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rights of holders of outstanding 2020 Notes to receive payments in respect of the principal of, or interest or premium and Liquidated Damages, if any, on, such 2020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Issuers’ obligations with respect to the 2020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2020 Notes. In the event Covenant Defeasance occurs, certain events (not including non-payment, bankruptcy, receivership, rehabilitation and insolvency events) described under the caption “—Events of Default and Remedies” will no longer constitute an Event of Default with respect to the 2020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2020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2020 Notes on the stated date for payment thereof or on the applicable redemption date, as the case may be, and the Issuers must specify whether the 2020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2020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2020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2020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2020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2020 Notes, the Note Guarantees and the Collateral Documents;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Except as provided in the next three succeeding paragraphs, the Indenture, the 2020 Notes, the Note Guarantees or, subject to the terms of the Intercreditor Agreement and the Indenture, the Collateral Documents may be amended or supplemented with the consent of the holders of at least a majority in aggregate principal amount of the 2020 Notes then outstanding (including, without limitation, consents obtained in connection with a purchase of, or tender offer or exchange offer for, 2020 Notes), and any existing Default or Event of Default or compliance with any provision of the Indenture, the 2020 Notes, the Note Guarantees or, subject to the terms of the Intercreditor Agreement, the Collateral Documents may be waived with the consent of the holders of a majority in aggregate principal amount of the then outstanding 2020 Notes (including, without limitation, consents obtained in connection with a purchase of, or tender offer or exchange offer for, 2020 Notes).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2020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2020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holders of the 2020 Notes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holders of the 2020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2020 Notes, so long as such amendment only affects the subordination provisions in respect of any junior Indebtedness but does not affect the provisions governing the relationship between the lenders under the Credit Agreement and the holders of the 2020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2020 Notes affected or, in the case of clauses (8), (9) and (10) below only, without the consent of the holders of at least 95% in the aggregate principal amount of the 2020 Notes then outstanding, an amendment, supplement or waiver may not (with respect to any 2020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reduce the principal amount of 2020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2020 Note or alter the provisions with respect to the redemption of the 2020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2020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2020 Notes (except a rescission of acceleration of the 2020 Notes by the holders of at least a majority in aggregate principal amount of the then outstanding 2020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any 2020 Note payable in money other than that stated in the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2020 Notes to receive payments of principal of, or interest, premium or Liquidated Damages, if any, on, the 2020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waive a redemption payment with respect to any 2020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2020 Notes, the Issuers, the Restricted Subsidiaries, the Guarantors and the trustee may amend or supplement the Indenture, the 2020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provide for uncertificated 2020 Notes in addition to or in place of certificated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2020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98" w:lineRule="auto"/>
        <w:tabs>
          <w:tab w:leader="none" w:pos="114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2020 Notes or that does not adversely affect the legal rights under the Indenture of any such holder, including any amendment or modification to the Intercreditor Agreement that gives or provides for any additional rights to the holders of the 2020 Notes to direct the collateral agent to enforce remedies against the Collateral and/or participate in other decisions regarding collateral and/or the enforcement of security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provide for the issuance of additional 2020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2020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2020 Notes issued thereunder, when:</w:t>
      </w:r>
    </w:p>
    <w:p>
      <w:pPr>
        <w:spacing w:after="0" w:line="113" w:lineRule="exact"/>
        <w:rPr>
          <w:sz w:val="20"/>
          <w:szCs w:val="20"/>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firstLine="421"/>
        <w:spacing w:after="0" w:line="332" w:lineRule="auto"/>
        <w:tabs>
          <w:tab w:leader="none" w:pos="1579"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all 2020 Notes that have been authenticated, except lost, stolen or destroyed 2020 Notes that have been replaced or paid and 2020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right="20" w:firstLine="421"/>
        <w:spacing w:after="0" w:line="291" w:lineRule="auto"/>
        <w:tabs>
          <w:tab w:leader="none" w:pos="1588"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all 2020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2020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2020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2020 Notes will have the right to direct the time, method and place of conducting any proceeding for exercising any remedy available to the trustee, subject to certain exceptions. However, as long as any Indebtedness is outstanding under our credit facilities and as long as any of the 2014 Notes remain outstanding, the holders of the 2020 Notes will not have any right to direct the collateral agent to enforce remedies against the Collateral. The Indenture provides that in case an Event of Default occurs and is continuing, the trustee will be required, in the exercise of its power, to use the degree of care of a prudent person in the conduct of his/her own affairs.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2020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2020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2020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new 2020 notes will be issued in the form of one or more notes in global form (the “Gobal Notes”). The new 2020 notes will be issued in minimum denominations of $2,000 and integral multiples of $1,000 in excess thereof.</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2020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20" w:firstLine="443"/>
        <w:spacing w:after="0" w:line="268" w:lineRule="auto"/>
        <w:tabs>
          <w:tab w:leader="none" w:pos="11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2020 notes registered in their names, will not receive physical delivery of new 2020 notes in certificated form and will not be considered the registered owners or “holders” thereof under the indenture for any purpose.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2020 Notes, including the Global Notes, are registered as the owners of the 2020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380" w:firstLine="443"/>
        <w:spacing w:after="0" w:line="259"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other matter relating to the actions and practices of DTC or any of its Participants or Indirect Participants.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2020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2020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2020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2020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2020 Notes only at the direction of one or more Participants to whose account DTC has credited the interests in the Global Notes and only in respect of such portion of the aggregate principal amount of the 2020 Notes as to which such Participant or Participants has or have given such direction. However, if there is an Event of Default under the 2020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2020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2020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2020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xml:space="preserve">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7"/>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297"/>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297"/>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2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right="20" w:firstLine="443"/>
        <w:spacing w:after="0" w:line="256" w:lineRule="auto"/>
        <w:tabs>
          <w:tab w:leader="none" w:pos="12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(x) Elaine P. Wynn, so long as the Stockholders Agreement, as in effect on the date of the Indenture, remains in full force and effect, and (y)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2020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xml:space="preserve"> means Wynn Completion Guarantor, LLC, a Nevada limited liability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0" w:lineRule="exact"/>
        <w:rPr>
          <w:sz w:val="20"/>
          <w:szCs w:val="20"/>
          <w:color w:val="auto"/>
        </w:rPr>
      </w:pPr>
    </w:p>
    <w:p>
      <w:pPr>
        <w:ind w:left="460" w:right="26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308"/>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5580" w:right="1720" w:hanging="4677"/>
        <w:spacing w:after="0" w:line="440" w:lineRule="auto"/>
        <w:tabs>
          <w:tab w:leader="none" w:pos="114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 228</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2020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2020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 after giving effect to the exchange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2020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80"/>
          </w:cols>
          <w:pgMar w:left="240" w:top="460" w:right="2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Agreement</w:t>
      </w:r>
      <w:r>
        <w:rPr>
          <w:rFonts w:ascii="Arial" w:cs="Arial" w:eastAsia="Arial" w:hAnsi="Arial"/>
          <w:sz w:val="16"/>
          <w:szCs w:val="16"/>
          <w:color w:val="auto"/>
        </w:rPr>
        <w:t>” means the Intercreditor Agreement, dated as of December 14, 2004, among the trustee for the 2014 Notes, the trustee for the 2017 Notes, the trustee for the 2020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xml:space="preserve"> “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2020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2020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2020 Notes, executed pursuant to the provisions of the Indenture.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petition in bankruptcy, or the commencement of any insolvency, reorganization or like proceeding, relating to any debtor under such documentation, whether or not a claim for post-filing or post-petition interest is allowed in such proceeding).</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2020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Indenture, the 2020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380"/>
          </w:cols>
          <w:pgMar w:left="240" w:top="459" w:right="2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2020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32" w:lineRule="auto"/>
        <w:tabs>
          <w:tab w:leader="none" w:pos="122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2020 Notes or is secured by Liens with a lower priority than the Liens securing the 2020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336"/>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2020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2020 Notes securing the obligations under the 2020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2020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2020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2020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37"/>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firstLine="421"/>
        <w:spacing w:after="0" w:line="268" w:lineRule="auto"/>
        <w:tabs>
          <w:tab w:leader="none" w:pos="158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2020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(16)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00" w:firstLine="443"/>
        <w:spacing w:after="0" w:line="332"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35" w:lineRule="auto"/>
        <w:tabs>
          <w:tab w:leader="none" w:pos="1235" w:val="left"/>
        </w:tabs>
        <w:numPr>
          <w:ilvl w:val="0"/>
          <w:numId w:val="340"/>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2020 Notes;</w:t>
      </w:r>
    </w:p>
    <w:p>
      <w:pPr>
        <w:spacing w:after="0" w:line="7"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(15)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100" w:firstLine="443"/>
        <w:spacing w:after="0" w:line="298" w:lineRule="auto"/>
        <w:tabs>
          <w:tab w:leader="none" w:pos="114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2020 Notes or the Note Guarantees, such Permitted Refinancing Indebtedness has a final maturity date later than the final maturity date of, and is subordinated in right of payment to, the 2020 Notes or the Note Guarantees, as applicable, on terms at least as favorable, taken as a whole, to the Holders of 2020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xml:space="preserve"> “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2020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20" w:firstLine="443"/>
        <w:spacing w:after="0" w:line="268"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(1) with respect to any of Wynn Las Vegas, the Completion Guarantor or any of the Restricted Subsidiaries that is a Pass Through Entity and in the case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/8%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/8%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“UEC” </w:t>
      </w:r>
      <w:r>
        <w:rPr>
          <w:rFonts w:ascii="Arial" w:cs="Arial" w:eastAsia="Arial" w:hAnsi="Arial"/>
          <w:sz w:val="18"/>
          <w:szCs w:val="18"/>
          <w:color w:val="auto"/>
        </w:rPr>
        <w:t>means Universal Entertainment Corporation, a Japanese public corporation.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347"/>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300"/>
          </w:cols>
          <w:pgMar w:left="240" w:top="460" w:right="3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As of December 31, 2009, the credit facilities consisted of a $457.9 million revolving credit facility and a $80.4 million term loan facility. The maturity date of the term loan facility is August 15, 2013 and the maturity date for the revolving credit facility is July 15, 2013.</w:t>
      </w:r>
    </w:p>
    <w:p>
      <w:pPr>
        <w:spacing w:after="0" w:line="143" w:lineRule="exact"/>
        <w:rPr>
          <w:sz w:val="20"/>
          <w:szCs w:val="20"/>
          <w:color w:val="auto"/>
        </w:rPr>
      </w:pPr>
    </w:p>
    <w:p>
      <w:pPr>
        <w:ind w:right="80" w:firstLine="456"/>
        <w:spacing w:after="0" w:line="261" w:lineRule="auto"/>
        <w:rPr>
          <w:sz w:val="20"/>
          <w:szCs w:val="20"/>
          <w:color w:val="auto"/>
        </w:rPr>
      </w:pPr>
      <w:r>
        <w:rPr>
          <w:rFonts w:ascii="Arial" w:cs="Arial" w:eastAsia="Arial" w:hAnsi="Arial"/>
          <w:sz w:val="17"/>
          <w:szCs w:val="17"/>
          <w:color w:val="auto"/>
        </w:rPr>
        <w:t xml:space="preserve">For purposes of calculating interest, loans under the credit facilities will be designated, at our election, as Eurodollar Loans or, in certain circumstances, Base Rate Loans. Eurodollar Loans bear interest at the Eurodollar rate plus 3.000% in the case of our revolving loans, and the Eurodollar rate plus 1.875% in the case of our term loans.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w:t>
      </w:r>
      <w:r>
        <w:rPr>
          <w:rFonts w:ascii="Arial" w:cs="Arial" w:eastAsia="Arial" w:hAnsi="Arial"/>
          <w:sz w:val="11"/>
          <w:szCs w:val="11"/>
          <w:color w:val="auto"/>
        </w:rPr>
        <w:t>1</w:t>
      </w:r>
      <w:r>
        <w:rPr>
          <w:rFonts w:ascii="Arial" w:cs="Arial" w:eastAsia="Arial" w:hAnsi="Arial"/>
          <w:sz w:val="17"/>
          <w:szCs w:val="17"/>
          <w:color w:val="auto"/>
        </w:rPr>
        <w:t xml:space="preserve"> /</w:t>
      </w:r>
      <w:r>
        <w:rPr>
          <w:rFonts w:ascii="Arial" w:cs="Arial" w:eastAsia="Arial" w:hAnsi="Arial"/>
          <w:sz w:val="21"/>
          <w:szCs w:val="21"/>
          <w:color w:val="auto"/>
          <w:vertAlign w:val="subscript"/>
        </w:rPr>
        <w:t>2</w:t>
      </w:r>
      <w:r>
        <w:rPr>
          <w:rFonts w:ascii="Arial" w:cs="Arial" w:eastAsia="Arial" w:hAnsi="Arial"/>
          <w:sz w:val="17"/>
          <w:szCs w:val="17"/>
          <w:color w:val="auto"/>
        </w:rPr>
        <w:t xml:space="preserve"> of 1% per annum and (iii) in the case of the revolving loans, the Eurodollar rate for a one month interest period plus 1.00%; plus, in each case (b) a borrowing margin of 2.000% for our revolving loans and 0.875% in the case of our term loans. Interest on Base Rate Loans is payable quarterly in arrears. We also pay, quarterly in arrears, a fee equal to 1.000% per annum on the daily average of unborrowed availability under the revolving facility.</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credit facilities are guaranteed by each of our subsidiaries, other than Wynn Completion Guarantor, LLC. Subject to the intercreditor agreement, and certain exceptions, our obligations and each of the guarantees 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2014 notes, the 2017 notes and the 2020 notes and ranks senior in right of payment to all of their existing and future subordinated indebtedness.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380"/>
          </w:cols>
          <w:pgMar w:left="240" w:top="459" w:right="2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covenants include maintaining a Consolidated Leverage Ratio, as defined, not greater than 6.50 to 1, 6.25 to 1 and 6.00 to 1 for each of the reporting periods ending June 30, 2011, September 30, 2011 and on and after December 31, 2011,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financial covenants also include maintaining a Consolidated Interest Coverage Ratio of no less than 1.25 to 1 for the reporting periods ending June 30, 2009 through and including March 31, 2011, and 1.75 to 1 from and after June 30, 2011. Our management believes that Wynn Las Vegas, LLC was in compliance with such covenant as of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On December 14, 2004, we issued $1.3 billion aggregate principal amount of 2014 notes. On November 6, 2007, we issued, in a private offering, an additional $400 million aggregate principal amount of 2014 notes at a price of 97.25% of the principal amount. The outstanding principal aggregate amount of 2014 notes was reduced by $382,010,000 on April 28, 2010 as a result of a private placement exchange offer whereby we exchanged 2014 notes for 2020 notes. The 2014 notes mature on December 1, 2014 and bear interest at the rate of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per year. We pay interest on the 2014 notes on June 1st and December 1st of each year. Commencing December 1, 2009, the 2014 notes became redeemable at our option at a price equal to 103.313% of the principal amount redeemed and declining ratably on December 1st of each year thereafter to 100.000% on or after December 1, 2012.</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2014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2014 notes are our obligations, guaranteed by each of our subsidiaries, other than Wynn Completion Guarantor, LLC. Wynn Resorts does not guarantee our obligations under the 2014 notes. Subject to the intercreditor agreement and certain exceptions, the 2014 notes and the guarantees thereof are secured by: (1) a first priority pledge of all of the member’s interests owned by Wynn Las Vegas, LLC in its subsidiaries and of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2014 notes rank equal to the right of payment with our existing and future senior secured indebtedness, including indebtedness with respect to our credit facilities described above and the 2017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On April 28, 2010, we issued $382,010,000 aggregate principal amount of 2020 notes in exchange for 2014 notes. The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2020 notes on May 1st and November 1st of each year. Commencing May 1, 2015, the 2020 notes will become redeemable at our option at a price equal to 103.938% of the principal amount redeemed and declining ratably on May 1st of each year thereafter to 100.000% on or after May 1, 2018.</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indentures governing the 2017 notes and the 2020 notes contain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2017 notes and the 2020 notes are our obligations, guaranteed by each of our subsidiaries, other than Wynn Completion Guarantor, LLC. Wynn Resorts does not guarantee our obligations under the 2017 notes and the 2020 notes. Subject to the intercreditor agreement and certain exceptions, the 2017 notes and the 2020 notes and the guarantees thereof are secured by: (1) a first priority pledge of all of the member’s interests owned by Wynn Las Vegas, LLC in its subsidiaries and of Wynn Holdings’ 100% member’s interest in Wynn Las Vegas, LLC, subject to the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and the 2020 notes rank equal to the right of payment with our existing and future senior secured indebtedness, including indebtedness with respect to our credit facilities described above and the 2014 notes, and rank senior in right of payment to all of our existing and future subordinated indebtedness.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2014 note holders, the trustee on behalf of the 2017 note holders, the trustee on behalf of the 2020 note holders and Deutsche Bank Trust Company Americas, in its capacity a collateral agent for each of the parties, may be joined in the future by the representative of any future first lien indebtedness permitted to be incurred which is secured by any collateral (together with indebtedness under the credit facilities, the 2014 notes, the 2017 notes and the 2020 notes, the “senior debt”) and the representative of any future second lien indebtedness permitted to be incurred which is secured by any collateral (together with any remaining second mortgage notes, the “junior debt”). By accepting the 2017 notes, the 2017 noteholders, in addition to the 2017 notes trustee, are bound by the terms of the intercreditor agreement and by accepting the 2020 notes, the 2020 note holders, in addition to the 2020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holders of 2014 notes, the holders of the 2017 notes, the holders of the 2020 notes,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80" w:hanging="446"/>
        <w:spacing w:after="0" w:line="318" w:lineRule="auto"/>
        <w:tabs>
          <w:tab w:leader="none" w:pos="90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to the extent that our indebtedness represented by the notes is permitted to be incurred and secured on a first lien basis by the credit facilities, the 2014 notes, the 2017 notes and the 2020 notes, the liens granted for the benefit of the 2020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2014 notes, the liens granted for the benefit of the holders of the 2017 notes and the permitted liens on such assets that may be granted for the benefit of any other senior debt holders; and</w:t>
      </w:r>
    </w:p>
    <w:p>
      <w:pPr>
        <w:spacing w:after="0" w:line="18" w:lineRule="exact"/>
        <w:rPr>
          <w:rFonts w:ascii="Arial" w:cs="Arial" w:eastAsia="Arial" w:hAnsi="Arial"/>
          <w:sz w:val="15"/>
          <w:szCs w:val="15"/>
          <w:color w:val="auto"/>
        </w:rPr>
      </w:pPr>
    </w:p>
    <w:p>
      <w:pPr>
        <w:ind w:left="900" w:right="80" w:hanging="446"/>
        <w:spacing w:after="0" w:line="332" w:lineRule="auto"/>
        <w:tabs>
          <w:tab w:leader="none" w:pos="9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liens on such assets granted for the benefit of the junior debt holders are junior to the liens on such assets granted for the benefit of the 2020 note holders, the holders of the 2014 notes, the holders of the 2017 notes, the lenders under the credit facilities and any other senior debt holder;</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2014 notes, the trustee under the indenture for the 2017 notes,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trustee under the indenture for the 2020 notes, any holder of 2014 notes, any holder of 2017 notes, any holder of 2020 notes,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intercreditor agreement provides that the collateral agent has the sole and exclusive right to exercise rights and enforce remedies under the security documents to which it is a party. As long as any indebtedness remains outstanding under our credit facilities or any of our 2014 notes remain outstanding, none of the 2020 notes trustee, the 2020 note holders, the 2017 notes trustee or the 2017 note holders will have the right to direct the collateral agent to enforce remedies against the collateral.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39" w:lineRule="exact"/>
        <w:rPr>
          <w:sz w:val="20"/>
          <w:szCs w:val="20"/>
          <w:color w:val="auto"/>
        </w:rPr>
      </w:pPr>
    </w:p>
    <w:p>
      <w:pPr>
        <w:ind w:left="900" w:hanging="446"/>
        <w:spacing w:after="0"/>
        <w:tabs>
          <w:tab w:leader="none" w:pos="9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60" w:right="80" w:hanging="547"/>
        <w:spacing w:after="0" w:line="256" w:lineRule="auto"/>
        <w:tabs>
          <w:tab w:leader="none" w:pos="14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2014 notes or (ii) an acceleration of the 2014 notes, then holders of the majority of the aggregate outstanding amount of the 2014 notes and loans under the credit facilities shall constitute the required secured creditors for purposes of causing the collateral agent to commence enforcement proceedings pursuant to the security documents; and</w:t>
      </w:r>
    </w:p>
    <w:p>
      <w:pPr>
        <w:spacing w:after="0" w:line="62" w:lineRule="exact"/>
        <w:rPr>
          <w:rFonts w:ascii="Arial" w:cs="Arial" w:eastAsia="Arial" w:hAnsi="Arial"/>
          <w:sz w:val="18"/>
          <w:szCs w:val="18"/>
          <w:color w:val="auto"/>
        </w:rPr>
      </w:pPr>
    </w:p>
    <w:p>
      <w:pPr>
        <w:ind w:left="1460" w:hanging="547"/>
        <w:spacing w:after="0" w:line="290" w:lineRule="auto"/>
        <w:tabs>
          <w:tab w:leader="none" w:pos="146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 a payment event of default with respect to the 2014 notes or (ii) the acceleration of the 2014 notes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the holders of the majority of the aggregate outstanding amount of 2014 notes and loans under the credit facilities shall constitute the required secured creditors;</w:t>
      </w:r>
    </w:p>
    <w:p>
      <w:pPr>
        <w:spacing w:after="0" w:line="37" w:lineRule="exact"/>
        <w:rPr>
          <w:rFonts w:ascii="Arial" w:cs="Arial" w:eastAsia="Arial" w:hAnsi="Arial"/>
          <w:sz w:val="16"/>
          <w:szCs w:val="16"/>
          <w:color w:val="auto"/>
        </w:rPr>
      </w:pPr>
    </w:p>
    <w:p>
      <w:pPr>
        <w:ind w:left="1460" w:right="260" w:hanging="547"/>
        <w:spacing w:after="0" w:line="259" w:lineRule="auto"/>
        <w:tabs>
          <w:tab w:leader="none" w:pos="14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60" w:right="60" w:hanging="547"/>
        <w:spacing w:after="0" w:line="357" w:lineRule="auto"/>
        <w:tabs>
          <w:tab w:leader="none" w:pos="146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ind w:left="1460" w:right="180" w:hanging="547"/>
        <w:spacing w:after="0" w:line="318" w:lineRule="auto"/>
        <w:tabs>
          <w:tab w:leader="none" w:pos="146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2014 notes, the holders of the 2017 notes, the holders of the 2020 notes and the lenders under the credit facilities or, if no such joint committee has been formed, by the trustee under the indenture governing the 2014 notes and the agent on behalf of the lenders under the credit facilities, acting together, who shall constitute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282" w:lineRule="auto"/>
        <w:rPr>
          <w:sz w:val="20"/>
          <w:szCs w:val="20"/>
          <w:color w:val="auto"/>
        </w:rPr>
      </w:pPr>
      <w:r>
        <w:rPr>
          <w:rFonts w:ascii="Arial" w:cs="Arial" w:eastAsia="Arial" w:hAnsi="Arial"/>
          <w:sz w:val="16"/>
          <w:szCs w:val="16"/>
          <w:color w:val="auto"/>
        </w:rPr>
        <w:t>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the trustee under the indenture governing the 2014 notes and the agent on behalf of the lenders under the credit facilities, acting together, shall constitute the required secured creditors. If such trustees and the agent for the lenders under the credit facilities have all failed to respond to the collateral agent’s request for instructions or if the collateral agent receives conflicting instructions from such trustee and the agent for the lenders under the credit facilities, the collateral agent shall not act under the requested instructions until a non-conflicting instruction is received from either (i) the trustee under the indenture governing the 2014 notes and the agent for the lenders under the credit facilities or</w:t>
      </w:r>
    </w:p>
    <w:p>
      <w:pPr>
        <w:spacing w:after="0" w:line="6" w:lineRule="exact"/>
        <w:rPr>
          <w:sz w:val="20"/>
          <w:szCs w:val="20"/>
          <w:color w:val="auto"/>
        </w:rPr>
      </w:pPr>
    </w:p>
    <w:p>
      <w:pPr>
        <w:ind w:left="1480"/>
        <w:spacing w:after="0" w:line="295" w:lineRule="auto"/>
        <w:tabs>
          <w:tab w:leader="none" w:pos="173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holders of a majority of the then outstanding indebtedness under the indenture governing the 2014 notes and the credit facilities. If the trustee under the indenture governing the 2014 notes or the agent for the lenders under the credit facilities responds with instructions to the collateral agent within ten business days but one or more of the others fails to respond during such time period, then the required secured creditors under such circumstances shall constitute the parties who responded during such time frame;</w:t>
      </w:r>
    </w:p>
    <w:p>
      <w:pPr>
        <w:spacing w:after="0" w:line="34" w:lineRule="exact"/>
        <w:rPr>
          <w:rFonts w:ascii="Arial" w:cs="Arial" w:eastAsia="Arial" w:hAnsi="Arial"/>
          <w:sz w:val="16"/>
          <w:szCs w:val="16"/>
          <w:color w:val="auto"/>
        </w:rPr>
      </w:pPr>
    </w:p>
    <w:p>
      <w:pPr>
        <w:ind w:left="900" w:right="20" w:hanging="446"/>
        <w:spacing w:after="0" w:line="284" w:lineRule="auto"/>
        <w:tabs>
          <w:tab w:leader="none" w:pos="90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2014 notes, the holders of the 2014 notes, the trustee under the indenture governing the 2017 notes, the holders of the 2017 notes, the trustee under the indenture governing the 2020 notes, the holders of the 2020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2014 notes, the 2017 notes and the 2020 notes. In addition, none of the trustee under the indenture governing the 2020 notes, the holders of the 2020 notes, the trustee under the indenture governing the 2017 notes or the holders of 2017 notes shall have any right to amend or modify any provisions of the security documents. Notwithstanding the foregoing, unless such amendment, modification, variance or waiver is expressly permitted to occur without the consent of the trustee under the indenture governing the 2020 notes, the trustee under the indenture governing the 2014 notes, the trustee under the indenture governing the 2017 notes, the trustee under the indenture governing the 2017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2014 notes, the trustee under the indenture governing the 2017 notes and the trustee under the indenture governing the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security document by reason of a default under the indenture governing the 2014 notes, the indenture governing the 2017 notes, the indenture governing the 2020 notes, the indenture or the instrument governing any senior or junior debt may only be waived by the trustee under the indenture governing the 2014 notes, the trustee under the indenture governing the 2017 notes, the trustee under the indenture governing the 2020 notes, or the representative of any senior or junior debt,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 under the indenture governing the 2014 notes;</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2014 notes have been paid in full and all of our obligations under the credit facilities have been paid in full and the commitments of the lenders under the credit facilities have terminated, then the required secured creditors at such times shall be the trustee under the indenture governing the 2017 notes, the trustee under the indenture governing the 2020 notes, and the representative of each other class of senior debt outstanding; and</w:t>
      </w:r>
    </w:p>
    <w:p>
      <w:pPr>
        <w:spacing w:after="0" w:line="62"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if at the time of an action by the required secured creditors, all of our obligations under the 2020 notes, all of our obligations under the 2017 notes, all of our obligations under the 2014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indenture governing the 2020 notes provides that the consent of the 2020 notes trustee will not be required for any amendment to the intercreditor agreement providing the 2020 notes trustee greater rights to participate in decisions regarding collateral and/or the enforcement of security documents.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2020 notes, the trustee under the indenture governing the 2017 notes and the trustee under the indenture governing the 2014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jc w:val="both"/>
        <w:ind w:left="900" w:right="660" w:hanging="446"/>
        <w:spacing w:after="0" w:line="357" w:lineRule="auto"/>
        <w:tabs>
          <w:tab w:leader="none" w:pos="90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2014 notes, the holders of the 2017 notes, the holders of the 2020 notes or the holders of any other senior debt);</w:t>
      </w:r>
    </w:p>
    <w:p>
      <w:pPr>
        <w:ind w:left="900" w:right="180" w:hanging="446"/>
        <w:spacing w:after="0" w:line="268"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2020 notes, the 2017 notes or the 2014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2020 notes or the trustee under the indenture governing the 2020 notes, or the holders of the 2017 notes or the trustee under the indenture governing the 2017 notes, or the holders of the 2014 notes or the trustee under the indenture governing the 2014 notes), pro rata among the senior debt based on the outstanding amounts thereof;</w:t>
      </w:r>
    </w:p>
    <w:p>
      <w:pPr>
        <w:spacing w:after="0" w:line="16"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intercreditor agreement provides that certain non-pro rata payments received by any 2020 note holder, any 2017 note holder, any 2014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 (i) proceeds of any exercise of any lender, any 2014 note holder, any 2017 note holder or any 2020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jc w:val="both"/>
        <w:ind w:left="900" w:right="60" w:hanging="446"/>
        <w:spacing w:after="0" w:line="335" w:lineRule="auto"/>
        <w:tabs>
          <w:tab w:leader="none" w:pos="90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challenge the liens of the lenders under the credit facilities, the holders of the 2020 notes, the holders of the 2017 notes, the holders of the 2014 notes or the holders of other senior debt (and the lenders, the holders of the 2020 notes, the holders of the 2017 notes, the holders of the 2014 notes and the holders of other senior debt correspondingly shall agree not to take any action challenging the liens in favor of any such junior debt holders);</w:t>
      </w:r>
    </w:p>
    <w:p>
      <w:pPr>
        <w:spacing w:after="0" w:line="7" w:lineRule="exact"/>
        <w:rPr>
          <w:rFonts w:ascii="Arial" w:cs="Arial" w:eastAsia="Arial" w:hAnsi="Arial"/>
          <w:sz w:val="15"/>
          <w:szCs w:val="15"/>
          <w:color w:val="auto"/>
        </w:rPr>
      </w:pPr>
    </w:p>
    <w:p>
      <w:pPr>
        <w:jc w:val="both"/>
        <w:ind w:left="900" w:right="220" w:hanging="446"/>
        <w:spacing w:after="0" w:line="256"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2020 notes, the trustee under the indenture governing the 2017 notes, the trustee under the indenture governing the 2014 notes or any representative of other senior debt holders for relief from the automatic stay or any injunction against foreclosure or enforcement of the credit facilities, the 2020 notes, the 2017 notes, the 2014 notes or other senior debt;</w:t>
      </w:r>
    </w:p>
    <w:p>
      <w:pPr>
        <w:spacing w:after="0" w:line="62"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2020 notes, the 2017 notes, the 2014 notes or other senior debt at any foreclosure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2020 notes, the trustee under the indenture governing the 2017 notes, the trustee under the indenture governing the 2014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60" w:right="300" w:hanging="547"/>
        <w:spacing w:after="0" w:line="268" w:lineRule="auto"/>
        <w:tabs>
          <w:tab w:leader="none" w:pos="14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and the holders of the 2020 notes collectively holding two-thirds of the aggregate outstanding amount of the 2020 notes and holders of the 2017 notes collectively holding two-thirds of the aggregate outstanding amount of the 2017 notes and the holders of the 2014 notes collectively holding two-thirds of the aggregate outstanding amount of the 2014 notes have voted to accept such plan.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2014 note holders and/or the 2017 note holders and/or the 2020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446"/>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60" w:right="20" w:hanging="547"/>
        <w:spacing w:after="0" w:line="357" w:lineRule="auto"/>
        <w:tabs>
          <w:tab w:leader="none" w:pos="146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the disbursement of any funds under the credit facilities, the indenture governing the 2014 notes, the indenture governing the 2017 notes, the indenture governing the 2020 notes or any other senior debt agreement (even if conditions to any such advances have not been satisfied);</w:t>
      </w:r>
    </w:p>
    <w:p>
      <w:pPr>
        <w:ind w:left="1460" w:right="200" w:hanging="547"/>
        <w:spacing w:after="0" w:line="268" w:lineRule="auto"/>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2014 notes, the indenture governing the 2017 notes, the indenture governing the 2020 notes or any other senior debt agreement;</w:t>
      </w:r>
    </w:p>
    <w:p>
      <w:pPr>
        <w:spacing w:after="0" w:line="50" w:lineRule="exact"/>
        <w:rPr>
          <w:rFonts w:ascii="Arial" w:cs="Arial" w:eastAsia="Arial" w:hAnsi="Arial"/>
          <w:sz w:val="18"/>
          <w:szCs w:val="18"/>
          <w:color w:val="auto"/>
        </w:rPr>
      </w:pPr>
    </w:p>
    <w:p>
      <w:pPr>
        <w:jc w:val="both"/>
        <w:ind w:left="1460" w:right="280" w:hanging="547"/>
        <w:spacing w:after="0" w:line="259" w:lineRule="auto"/>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2014 notes, the 2017 notes, the 2020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2020 notes,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60"/>
          </w:cols>
          <w:pgMar w:left="240" w:top="459" w:right="2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trustee under the indenture governing the 2017 notes, the trustee under the indenture governing the 2014 notes or any representative of other senior debt, other than gross negligence or willful misconduct, to the maximum extent permitted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2020 notes (on behalf of itself and the holders of the 2020 notes), the trustee under the indenture governing the 2017 notes (on behalf of itself and the holders of the 2017 notes), the trustee under the indenture governing the 2014 notes (on behalf of itself and the holders of the 2014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2020 notes, the 2017 notes, the 2014 notes,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2020 notes or the holders of the 2020 notes, or the trustee under the indenture for the 2017 notes or the holders of the 2017 notes, or the trustee under the indenture for the 2014 notes or the holders of the 2014 notes, so long as such amendment only affects the subordination provisions in respect of any junior debt but does not affect the provisions governing the relationship between the lenders under the credit facilities, the holders of the 2017 notes, the holders of the 2014 notes and the holders of the 2020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2014 notes, the 2017 notes or the 2020 notes, (ii) any additional senior debt permitted under the credit facilities, the indenture governing the 2014 notes, the indenture governing the 2017 notes and the indenture governing the 2020 notes and (iii) any additional junior debt permitted under the credit facilities, the indenture governing the 2014 notes, the indenture governing the 2017 notes and the indenture governing the 2020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380"/>
          </w:cols>
          <w:pgMar w:left="240" w:top="460" w:right="2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2010,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indentures governing the 2017 notes and the 2020 notes require that we file reports under the Exchange Act with the SEC (unless the SEC will not accept such filings) and furnish information to the trustee and holders of the notes. See “Description of the New 2017 Notes—Certain Covenants—Reports” and “Description of the New 2020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09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March 31, 2010 and 2009</w:t>
            </w: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940" w:type="dxa"/>
            <w:vAlign w:val="bottom"/>
            <w:gridSpan w:val="13"/>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12"/>
          </w:tcPr>
          <w:p>
            <w:pPr>
              <w:spacing w:after="0" w:line="184" w:lineRule="exact"/>
              <w:rPr>
                <w:rFonts w:ascii="Arial" w:cs="Arial" w:eastAsia="Arial" w:hAnsi="Arial"/>
                <w:sz w:val="18"/>
                <w:szCs w:val="18"/>
                <w:color w:val="0000EE"/>
              </w:rPr>
            </w:pPr>
            <w:hyperlink w:anchor="page268">
              <w:r>
                <w:rPr>
                  <w:rFonts w:ascii="Arial" w:cs="Arial" w:eastAsia="Arial" w:hAnsi="Arial"/>
                  <w:sz w:val="18"/>
                  <w:szCs w:val="18"/>
                  <w:color w:val="0000EE"/>
                </w:rPr>
                <w:t>Condensed Consolidated Balance Sheets – March 31, 2010 (unaudited) and December 31, 2009</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Condensed Consolidated Statements of Operations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Condensed Consolidated Statements of Cash Flows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271">
              <w:r>
                <w:rPr>
                  <w:rFonts w:ascii="Arial" w:cs="Arial" w:eastAsia="Arial" w:hAnsi="Arial"/>
                  <w:sz w:val="18"/>
                  <w:szCs w:val="18"/>
                  <w:color w:val="0000EE"/>
                  <w:w w:val="87"/>
                </w:rPr>
                <w:t>Notes to Condensed Consolidated Financial Statements (unaudited)</w:t>
              </w:r>
            </w:hyperlink>
          </w:p>
        </w:tc>
        <w:tc>
          <w:tcPr>
            <w:tcW w:w="3220" w:type="dxa"/>
            <w:vAlign w:val="bottom"/>
            <w:tcBorders>
              <w:top w:val="single" w:sz="8" w:color="0000EE"/>
            </w:tcBorders>
            <w:gridSpan w:val="3"/>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940" w:type="dxa"/>
            <w:vAlign w:val="bottom"/>
            <w:gridSpan w:val="13"/>
          </w:tcPr>
          <w:p>
            <w:pPr>
              <w:spacing w:after="0"/>
              <w:rPr>
                <w:sz w:val="20"/>
                <w:szCs w:val="20"/>
                <w:color w:val="auto"/>
              </w:rPr>
            </w:pPr>
            <w:r>
              <w:rPr>
                <w:rFonts w:ascii="Arial" w:cs="Arial" w:eastAsia="Arial" w:hAnsi="Arial"/>
                <w:sz w:val="18"/>
                <w:szCs w:val="18"/>
                <w:b w:val="1"/>
                <w:bCs w:val="1"/>
                <w:color w:val="auto"/>
                <w:w w:val="90"/>
              </w:rPr>
              <w:t>Audited Consolidated Financial Statements at December 31, 2009 and 2008, and for each of the three years in the period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1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285">
              <w:r>
                <w:rPr>
                  <w:rFonts w:ascii="Arial" w:cs="Arial" w:eastAsia="Arial" w:hAnsi="Arial"/>
                  <w:sz w:val="18"/>
                  <w:szCs w:val="18"/>
                  <w:color w:val="0000EE"/>
                  <w:w w:val="89"/>
                </w:rPr>
                <w:t>Report of Independent Registered Public Accounting Firm</w:t>
              </w:r>
            </w:hyperlink>
          </w:p>
        </w:tc>
        <w:tc>
          <w:tcPr>
            <w:tcW w:w="6380" w:type="dxa"/>
            <w:vAlign w:val="bottom"/>
            <w:gridSpan w:val="5"/>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86">
              <w:r>
                <w:rPr>
                  <w:rFonts w:ascii="Arial" w:cs="Arial" w:eastAsia="Arial" w:hAnsi="Arial"/>
                  <w:sz w:val="18"/>
                  <w:szCs w:val="18"/>
                  <w:color w:val="0000EE"/>
                  <w:w w:val="85"/>
                </w:rPr>
                <w:t>Consolidated Balance Sheets</w:t>
              </w:r>
            </w:hyperlink>
          </w:p>
        </w:tc>
        <w:tc>
          <w:tcPr>
            <w:tcW w:w="84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Consolidated Statements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Consolidated Statements of Member’s Equity</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89">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3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90">
              <w:r>
                <w:rPr>
                  <w:rFonts w:ascii="Arial" w:cs="Arial" w:eastAsia="Arial" w:hAnsi="Arial"/>
                  <w:sz w:val="18"/>
                  <w:szCs w:val="18"/>
                  <w:color w:val="0000EE"/>
                  <w:w w:val="87"/>
                </w:rPr>
                <w:t>Notes to Consolidated Financial Statements</w:t>
              </w:r>
            </w:hyperlink>
          </w:p>
        </w:tc>
        <w:tc>
          <w:tcPr>
            <w:tcW w:w="74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317">
              <w:r>
                <w:rPr>
                  <w:rFonts w:ascii="Arial" w:cs="Arial" w:eastAsia="Arial" w:hAnsi="Arial"/>
                  <w:sz w:val="18"/>
                  <w:szCs w:val="18"/>
                  <w:color w:val="0000EE"/>
                  <w:w w:val="90"/>
                </w:rPr>
                <w:t>* Schedule II—Valuation and Qualifying Accounts</w:t>
              </w:r>
            </w:hyperlink>
          </w:p>
        </w:tc>
        <w:tc>
          <w:tcPr>
            <w:tcW w:w="6900" w:type="dxa"/>
            <w:vAlign w:val="bottom"/>
            <w:gridSpan w:val="6"/>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00" w:right="580" w:hanging="446"/>
        <w:spacing w:after="0" w:line="268"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118,716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3,808,409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39,854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24,193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22,928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2,551,602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2,551,520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2,878,823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2,868,771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1,915,094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(608,285)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1,306,809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-3845560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-3845560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-3845560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-3845560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-3845560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-3845560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404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(46,068)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(34,485)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(45,076)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(2,278)</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(47,207)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5"/>
              </w:rPr>
              <w:t>$ (81,692)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tcPr>
          <w:p>
            <w:pPr>
              <w:ind w:left="22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00" w:type="dxa"/>
            <w:vAlign w:val="bottom"/>
          </w:tcPr>
          <w:p>
            <w:pPr>
              <w:ind w:left="5580"/>
              <w:spacing w:after="0"/>
              <w:rPr>
                <w:sz w:val="20"/>
                <w:szCs w:val="20"/>
                <w:color w:val="auto"/>
              </w:rPr>
            </w:pPr>
            <w:r>
              <w:rPr>
                <w:rFonts w:ascii="Arial" w:cs="Arial" w:eastAsia="Arial" w:hAnsi="Arial"/>
                <w:sz w:val="18"/>
                <w:szCs w:val="18"/>
                <w:color w:val="auto"/>
              </w:rPr>
              <w:t>F-3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-557530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-557530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6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w w:val="82"/>
              </w:rPr>
              <w:t>$ (81,692)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(35,458)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6,473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(29,367)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2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$ 46,506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60" w:type="dxa"/>
            <w:vAlign w:val="bottom"/>
          </w:tcPr>
          <w:p>
            <w:pPr>
              <w:ind w:left="5580"/>
              <w:spacing w:after="0"/>
              <w:rPr>
                <w:sz w:val="20"/>
                <w:szCs w:val="20"/>
                <w:color w:val="auto"/>
              </w:rPr>
            </w:pPr>
            <w:r>
              <w:rPr>
                <w:rFonts w:ascii="Arial" w:cs="Arial" w:eastAsia="Arial" w:hAnsi="Arial"/>
                <w:sz w:val="18"/>
                <w:szCs w:val="18"/>
                <w:color w:val="auto"/>
              </w:rPr>
              <w:t>F-4</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-557530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99" w:lineRule="exact"/>
        <w:rPr>
          <w:sz w:val="20"/>
          <w:szCs w:val="20"/>
          <w:color w:val="auto"/>
        </w:rPr>
      </w:pPr>
    </w:p>
    <w:p>
      <w:pPr>
        <w:ind w:left="240" w:right="7900" w:hanging="232"/>
        <w:spacing w:after="0" w:line="398" w:lineRule="auto"/>
        <w:tabs>
          <w:tab w:leader="none" w:pos="187" w:val="left"/>
        </w:tabs>
        <w:numPr>
          <w:ilvl w:val="0"/>
          <w:numId w:val="3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2010 and December 31, 2009, approximately 71%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60325</wp:posOffset>
            </wp:positionV>
            <wp:extent cx="10636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Food and beverage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7274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jc w:val="both"/>
        <w:ind w:right="700" w:firstLine="456"/>
        <w:spacing w:after="0" w:line="335" w:lineRule="auto"/>
        <w:rPr>
          <w:sz w:val="20"/>
          <w:szCs w:val="20"/>
          <w:color w:val="auto"/>
        </w:rPr>
      </w:pPr>
      <w:r>
        <w:rPr>
          <w:rFonts w:ascii="Arial" w:cs="Arial" w:eastAsia="Arial" w:hAnsi="Arial"/>
          <w:sz w:val="15"/>
          <w:szCs w:val="15"/>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$9.7 million and $8.7 million for the three months ended March 31, 2010 and 2009, respectively.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2010 and 2009, advertising costs totaled approximately $3.5 million and $6.9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2010 and 2009, the Company recorded $2.9 million and $2.2 million, respectively, in share based compensation with a corresponding credit to contributed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 paid for the three months ended March 31, 2010 and 2009 totaled approximately $4.3 million and $6.2 million, respectively. Interest capitalized for the three months ended March 31, 2010 totaled approximately $0.2 million. There was no interest capitalized during the three months ended March 31, 2009.</w:t>
      </w:r>
    </w:p>
    <w:p>
      <w:pPr>
        <w:spacing w:after="0" w:line="7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During the three months ended March 31, 2010 and 2009, capital expenditures include a decrease of approximately $2 million and an increase of approximately $95 million, respectively, in construction payables and retention recorded through amounts due to affiliates.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Hotel</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18,390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191,126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178,266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200" w:type="dxa"/>
            <w:vAlign w:val="bottom"/>
            <w:gridSpan w:val="4"/>
          </w:tcPr>
          <w:p>
            <w:pPr>
              <w:jc w:val="right"/>
              <w:ind w:right="300"/>
              <w:spacing w:after="0"/>
              <w:rPr>
                <w:sz w:val="20"/>
                <w:szCs w:val="20"/>
                <w:color w:val="auto"/>
              </w:rPr>
            </w:pPr>
            <w:r>
              <w:rPr>
                <w:rFonts w:ascii="Arial" w:cs="Arial" w:eastAsia="Arial" w:hAnsi="Arial"/>
                <w:sz w:val="18"/>
                <w:szCs w:val="18"/>
                <w:color w:val="auto"/>
              </w:rPr>
              <w:t>(72,410)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$ 118,716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0" w:type="dxa"/>
            <w:vAlign w:val="bottom"/>
            <w:gridSpan w:val="4"/>
          </w:tcPr>
          <w:p>
            <w:pPr>
              <w:jc w:val="right"/>
              <w:ind w:right="3780"/>
              <w:spacing w:after="0"/>
              <w:rPr>
                <w:sz w:val="20"/>
                <w:szCs w:val="20"/>
                <w:color w:val="auto"/>
              </w:rPr>
            </w:pPr>
            <w:r>
              <w:rPr>
                <w:rFonts w:ascii="Arial" w:cs="Arial" w:eastAsia="Arial" w:hAnsi="Arial"/>
                <w:sz w:val="18"/>
                <w:szCs w:val="18"/>
                <w:color w:val="auto"/>
              </w:rPr>
              <w:t>F-7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4"/>
                <w:szCs w:val="14"/>
                <w:color w:val="auto"/>
              </w:rPr>
            </w:pPr>
          </w:p>
        </w:tc>
        <w:tc>
          <w:tcPr>
            <w:tcW w:w="1520" w:type="dxa"/>
            <w:vAlign w:val="bottom"/>
            <w:gridSpan w:val="10"/>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692,677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2,559,798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2,554,224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1,334,502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1,325,677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4,670,795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4,640,805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00" w:type="dxa"/>
            <w:vAlign w:val="bottom"/>
            <w:gridSpan w:val="5"/>
          </w:tcPr>
          <w:p>
            <w:pPr>
              <w:jc w:val="right"/>
              <w:ind w:right="20"/>
              <w:spacing w:after="0"/>
              <w:rPr>
                <w:sz w:val="20"/>
                <w:szCs w:val="20"/>
                <w:color w:val="auto"/>
              </w:rPr>
            </w:pPr>
            <w:r>
              <w:rPr>
                <w:rFonts w:ascii="Arial" w:cs="Arial" w:eastAsia="Arial" w:hAnsi="Arial"/>
                <w:sz w:val="18"/>
                <w:szCs w:val="18"/>
                <w:color w:val="auto"/>
              </w:rPr>
              <w:t>(862,386)</w:t>
            </w:r>
          </w:p>
        </w:tc>
        <w:tc>
          <w:tcPr>
            <w:tcW w:w="1400" w:type="dxa"/>
            <w:vAlign w:val="bottom"/>
            <w:gridSpan w:val="8"/>
          </w:tcPr>
          <w:p>
            <w:pPr>
              <w:jc w:val="right"/>
              <w:ind w:right="80"/>
              <w:spacing w:after="0"/>
              <w:rPr>
                <w:sz w:val="20"/>
                <w:szCs w:val="20"/>
                <w:color w:val="auto"/>
              </w:rPr>
            </w:pPr>
            <w:r>
              <w:rPr>
                <w:rFonts w:ascii="Arial" w:cs="Arial" w:eastAsia="Arial" w:hAnsi="Arial"/>
                <w:sz w:val="18"/>
                <w:szCs w:val="18"/>
                <w:color w:val="auto"/>
              </w:rPr>
              <w:t>(789,137)</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$ 3,808,409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$ 3,851,668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6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6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Long-term debt consisted of the following (amounts in thousands):</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24"/>
                <w:szCs w:val="24"/>
                <w:color w:val="auto"/>
              </w:rPr>
            </w:pPr>
          </w:p>
        </w:tc>
        <w:tc>
          <w:tcPr>
            <w:tcW w:w="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gridSpan w:val="4"/>
          </w:tcPr>
          <w:p>
            <w:pPr>
              <w:spacing w:after="0"/>
              <w:rPr>
                <w:sz w:val="8"/>
                <w:szCs w:val="8"/>
                <w:color w:val="auto"/>
              </w:rPr>
            </w:pPr>
          </w:p>
        </w:tc>
        <w:tc>
          <w:tcPr>
            <w:tcW w:w="220" w:type="dxa"/>
            <w:vAlign w:val="bottom"/>
            <w:tcBorders>
              <w:bottom w:val="single" w:sz="8" w:color="808080"/>
            </w:tcBorders>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 xml:space="preserve">6 </w:t>
            </w:r>
            <w:r>
              <w:rPr>
                <w:rFonts w:ascii="Arial" w:cs="Arial" w:eastAsia="Arial" w:hAnsi="Arial"/>
                <w:sz w:val="11"/>
                <w:szCs w:val="11"/>
                <w:color w:val="auto"/>
                <w:w w:val="93"/>
              </w:rPr>
              <w:t>5</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December 1, 2014, net of original issue discount of $7,862 at March 31, 2010 and $8,214 at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$1,626,368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November 1, 2017, net of original issue discount of $10,449 at March 31, 2010 and $10,529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at December 31, 2009</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489,551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252,717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LIBOR plus 1.875%</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2,552,652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(1,050)</w:t>
            </w:r>
          </w:p>
        </w:tc>
        <w:tc>
          <w:tcPr>
            <w:tcW w:w="1300" w:type="dxa"/>
            <w:vAlign w:val="bottom"/>
            <w:gridSpan w:val="7"/>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$2,551,602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$ 2,551,520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-2970530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-2970530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-2970530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-2970530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-2970530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-2970530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$39.3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$10.6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net book value of the 2014 Notes and the 2017 Notes at March 31, 2010 and December 31, 2009, was approximately $2.18 billion. The estimated fair value of the First Mortgage Notes based upon most recent trades at March 31, 2010 and December 31, 2009, was approximately $2.2 billion and $2.1 billion, respectively. The net book value of the Company’s other debt instruments was $371 million and the approximate fair value of such debt was approximately $361 million as of March 31,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2010 and December 31, 2009, the fair value of this interest rate swap was a liability of $ 6.5 million and $4.2 million, respectively.</w:t>
      </w:r>
    </w:p>
    <w:p>
      <w:pPr>
        <w:spacing w:after="0" w:line="96" w:lineRule="exact"/>
        <w:rPr>
          <w:sz w:val="20"/>
          <w:szCs w:val="20"/>
          <w:color w:val="auto"/>
        </w:rPr>
      </w:pPr>
    </w:p>
    <w:p>
      <w:pPr>
        <w:ind w:left="240" w:right="8760" w:hanging="232"/>
        <w:spacing w:after="0" w:line="398" w:lineRule="auto"/>
        <w:tabs>
          <w:tab w:leader="none" w:pos="187" w:val="left"/>
        </w:tabs>
        <w:numPr>
          <w:ilvl w:val="0"/>
          <w:numId w:val="3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March 31, 2010, the Company’s current Due to affiliates was primarily comprised of construction payables of approximately $17.8 million, construction retention of approximately $3.4 million and other net amounts due to affiliates totaling $1.7 million (including corporate allocations discussed below). The long-term Due to affiliates is management fees of approximately $87.1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to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three months ended March 31, 2010 and 2009, approximately $6.8 million and $5.8 million, respectively, were charged to the Company for such corporate allocations.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60"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March 31, 2010, and December 31, 2009, Wynn Resorts owed Mr. Wynn and the other officers and directors approximately $402,139 and $789,095,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Wynn and Elaine P. Wynn, who is also a director of Wynn Resorts, each lease from year to year a villa suite in the Wynn Las Vegas resort. Pursuant to a lease agreement, as of July 1, 2008, the rent was $520,000 per year for a villa suite. In March 2009, this lease was amended to add an additional unit with no change in rent due to due to the significant deterioration in the Las Vegas rental market.</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the prior agreement.</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and 2009 were $1.3 million and $13.9 million, respectively. Property charges generally include costs related to the retirement of assets for remodels and asset abandonments. Property charges and other for the three months ended March 31, 2010, related to miscellaneous renovations and abandonments at Wynn Las Vegas and Encore.</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Property charges and other for the three months ended March 31, 2009, include the write-off of $13.4 million of an aircraft purchase deposit. On February 19, 2009, the Company cancelled the agreement to purchase this aircraft. The deposit on the aircraft was refundable to the extent another buyer was found. Due to the uncertainty as to the recoverability of this deposit, the Company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23" w:lineRule="exact"/>
        <w:rPr>
          <w:sz w:val="20"/>
          <w:szCs w:val="20"/>
          <w:color w:val="auto"/>
        </w:rPr>
      </w:pPr>
    </w:p>
    <w:p>
      <w:pPr>
        <w:ind w:right="8640" w:firstLine="8"/>
        <w:spacing w:after="0" w:line="332" w:lineRule="auto"/>
        <w:tabs>
          <w:tab w:leader="none" w:pos="263"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2010, the Company had not recorded a receivable related to this matter.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2010 and December 31, 2009, and for the three months ended March 31, 2010 and 2009.</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19,104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3,611,674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196,735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3,808,409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(17,300)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40,957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17,183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(162,571)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193,380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195,688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2,514,852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36,750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2,654,266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232,438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2,878,823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1,915,094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1,915,094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(608,285)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(37,716)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(608,285)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1,306,809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(25,186)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1,306,809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$139,510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77,558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95,943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51,683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364,694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(46,068)</w:t>
            </w:r>
          </w:p>
        </w:tc>
        <w:tc>
          <w:tcPr>
            <w:tcW w:w="200" w:type="dxa"/>
            <w:vAlign w:val="bottom"/>
          </w:tcPr>
          <w:p>
            <w:pPr>
              <w:spacing w:after="0"/>
              <w:rPr>
                <w:sz w:val="19"/>
                <w:szCs w:val="19"/>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318,626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76,827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57,986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60,269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77,779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352,356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(33,730)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(44,916)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(47,962)</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 (81,692)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(81,692)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60" w:type="dxa"/>
            <w:vAlign w:val="bottom"/>
            <w:gridSpan w:val="6"/>
          </w:tcPr>
          <w:p>
            <w:pPr>
              <w:jc w:val="right"/>
              <w:ind w:right="960"/>
              <w:spacing w:after="0"/>
              <w:rPr>
                <w:sz w:val="20"/>
                <w:szCs w:val="20"/>
                <w:color w:val="auto"/>
              </w:rPr>
            </w:pPr>
            <w:r>
              <w:rPr>
                <w:rFonts w:ascii="Arial" w:cs="Arial" w:eastAsia="Arial" w:hAnsi="Arial"/>
                <w:sz w:val="18"/>
                <w:szCs w:val="18"/>
                <w:color w:val="auto"/>
              </w:rPr>
              <w:t>F-15</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ind w:left="50"/>
              <w:spacing w:after="0"/>
              <w:rPr>
                <w:sz w:val="20"/>
                <w:szCs w:val="20"/>
                <w:color w:val="auto"/>
              </w:rPr>
            </w:pPr>
            <w:r>
              <w:rPr>
                <w:rFonts w:ascii="Arial" w:cs="Arial" w:eastAsia="Arial" w:hAnsi="Arial"/>
                <w:sz w:val="14"/>
                <w:szCs w:val="14"/>
                <w:b w:val="1"/>
                <w:bCs w:val="1"/>
                <w:color w:val="auto"/>
              </w:rPr>
              <w:t>Entries</w:t>
            </w:r>
          </w:p>
        </w:tc>
        <w:tc>
          <w:tcPr>
            <w:tcW w:w="400" w:type="dxa"/>
            <w:vAlign w:val="bottom"/>
          </w:tcPr>
          <w:p>
            <w:pPr>
              <w:spacing w:after="0"/>
              <w:rPr>
                <w:sz w:val="15"/>
                <w:szCs w:val="15"/>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59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9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96,909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345,581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2220" w:type="dxa"/>
            <w:vAlign w:val="bottom"/>
            <w:gridSpan w:val="4"/>
          </w:tcPr>
          <w:p>
            <w:pPr>
              <w:jc w:val="right"/>
              <w:ind w:right="420"/>
              <w:spacing w:after="0"/>
              <w:rPr>
                <w:sz w:val="20"/>
                <w:szCs w:val="20"/>
                <w:color w:val="auto"/>
              </w:rPr>
            </w:pPr>
            <w:r>
              <w:rPr>
                <w:rFonts w:ascii="Arial" w:cs="Arial" w:eastAsia="Arial" w:hAnsi="Arial"/>
                <w:sz w:val="18"/>
                <w:szCs w:val="18"/>
                <w:color w:val="auto"/>
              </w:rPr>
              <w:t>(54,310)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59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291,271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75,984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57,141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65,127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w w:val="79"/>
              </w:rPr>
              <w:t>251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335,837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(44,566)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(13,818)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(36,548)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60" w:type="dxa"/>
            <w:vAlign w:val="bottom"/>
          </w:tcPr>
          <w:p>
            <w:pPr>
              <w:spacing w:after="0"/>
              <w:rPr>
                <w:sz w:val="18"/>
                <w:szCs w:val="18"/>
                <w:color w:val="auto"/>
              </w:rPr>
            </w:pPr>
          </w:p>
        </w:tc>
        <w:tc>
          <w:tcPr>
            <w:tcW w:w="11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ind w:left="3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(14,362)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(50,898)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59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(95,464)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59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40" w:type="dxa"/>
            <w:vAlign w:val="bottom"/>
            <w:gridSpan w:val="5"/>
          </w:tcPr>
          <w:p>
            <w:pPr>
              <w:ind w:left="66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-325755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-325755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Non-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Issuers</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w w:val="82"/>
              </w:rPr>
              <w:t>$ (81,692)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(850)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850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(81,692)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77,779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4,426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(850)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6,640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40" w:type="dxa"/>
            <w:vAlign w:val="bottom"/>
          </w:tcPr>
          <w:p>
            <w:pPr>
              <w:jc w:val="right"/>
              <w:spacing w:after="0"/>
              <w:rPr>
                <w:sz w:val="20"/>
                <w:szCs w:val="20"/>
                <w:color w:val="auto"/>
              </w:rPr>
            </w:pPr>
            <w:r>
              <w:rPr>
                <w:rFonts w:ascii="Arial" w:cs="Arial" w:eastAsia="Arial" w:hAnsi="Arial"/>
                <w:sz w:val="18"/>
                <w:szCs w:val="18"/>
                <w:color w:val="auto"/>
              </w:rPr>
              <w:t>2,278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(14,496)</w:t>
            </w: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(1,672)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(35,458)</w:t>
            </w: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40" w:type="dxa"/>
            <w:vAlign w:val="bottom"/>
          </w:tcPr>
          <w:p>
            <w:pPr>
              <w:jc w:val="right"/>
              <w:spacing w:after="0"/>
              <w:rPr>
                <w:sz w:val="20"/>
                <w:szCs w:val="20"/>
                <w:color w:val="auto"/>
              </w:rPr>
            </w:pPr>
            <w:r>
              <w:rPr>
                <w:rFonts w:ascii="Arial" w:cs="Arial" w:eastAsia="Arial" w:hAnsi="Arial"/>
                <w:sz w:val="18"/>
                <w:szCs w:val="18"/>
                <w:color w:val="auto"/>
              </w:rPr>
              <w:t>4,562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(31,278)</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gridSpan w:val="4"/>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(19,737)</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$ 46,261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700" w:type="dxa"/>
            <w:vAlign w:val="bottom"/>
            <w:tcBorders>
              <w:bottom w:val="single" w:sz="8" w:color="808080"/>
            </w:tcBorders>
            <w:gridSpan w:val="3"/>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60" w:type="dxa"/>
            <w:vAlign w:val="bottom"/>
            <w:gridSpan w:val="4"/>
          </w:tcPr>
          <w:p>
            <w:pPr>
              <w:jc w:val="right"/>
              <w:ind w:right="900"/>
              <w:spacing w:after="0"/>
              <w:rPr>
                <w:sz w:val="20"/>
                <w:szCs w:val="20"/>
                <w:color w:val="auto"/>
              </w:rPr>
            </w:pPr>
            <w:r>
              <w:rPr>
                <w:rFonts w:ascii="Arial" w:cs="Arial" w:eastAsia="Arial" w:hAnsi="Arial"/>
                <w:sz w:val="18"/>
                <w:szCs w:val="18"/>
                <w:color w:val="auto"/>
                <w:w w:val="91"/>
              </w:rPr>
              <w:t>F-17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-325755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45847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Non-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46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(95,464)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(14,362)</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(32,231)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85"/>
              </w:rPr>
              <w:t>(114,968)</w:t>
            </w:r>
          </w:p>
        </w:tc>
        <w:tc>
          <w:tcPr>
            <w:tcW w:w="14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(2,755)</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Net cash provided by (used in)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5"/>
              </w:rPr>
              <w:t>(122,792)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8"/>
              </w:rPr>
              <w:t>(50,000)</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(26,546)</w:t>
            </w: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20" w:type="dxa"/>
            <w:vAlign w:val="bottom"/>
            <w:gridSpan w:val="6"/>
          </w:tcPr>
          <w:p>
            <w:pPr>
              <w:jc w:val="right"/>
              <w:ind w:right="1000"/>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45847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80"/>
          </w:cols>
          <w:pgMar w:left="240" w:top="460" w:right="3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-4193540</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-4193540</wp:posOffset>
            </wp:positionV>
            <wp:extent cx="3873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(185,982)</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(144,279)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(157,228)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(165,591)</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(309,870)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124,219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429,490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$ 1,385,553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vMerge w:val="restart"/>
          </w:tcPr>
          <w:p>
            <w:pPr>
              <w:jc w:val="center"/>
              <w:ind w:left="8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color w:val="auto"/>
                <w:w w:val="91"/>
              </w:rPr>
              <w:t>F-22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(309,870)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(129,794)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(245,040)</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(1,129,525)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Due to affliates, net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(249,188)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(1,032,451)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(929,909)</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649,481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412,951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138,787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(183,842)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-781685</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-781685</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-781685</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$ 27,292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53,006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$ 90,325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gridSpan w:val="2"/>
          </w:tcPr>
          <w:p>
            <w:pPr>
              <w:jc w:val="right"/>
              <w:ind w:right="174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-325755</wp:posOffset>
            </wp:positionV>
            <wp:extent cx="42418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12"/>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$149,786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$142,515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17,490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163,696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6"/>
          </w:tcPr>
          <w:p>
            <w:pPr>
              <w:jc w:val="right"/>
              <w:ind w:right="240"/>
              <w:spacing w:after="0"/>
              <w:rPr>
                <w:sz w:val="20"/>
                <w:szCs w:val="20"/>
                <w:color w:val="auto"/>
              </w:rPr>
            </w:pPr>
            <w:r>
              <w:rPr>
                <w:rFonts w:ascii="Arial" w:cs="Arial" w:eastAsia="Arial" w:hAnsi="Arial"/>
                <w:sz w:val="18"/>
                <w:szCs w:val="18"/>
                <w:color w:val="auto"/>
              </w:rPr>
              <w:t>(67,406)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$ 110,860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98,282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12"/>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2,554,224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2,557,489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1,325,677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1,301,182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4,640,805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4,602,978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(789,137)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$3,851,668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$ 4,108,953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-2567940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-2567940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-2567940</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-2567940</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-2567940</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0" w:type="dxa"/>
            <w:vAlign w:val="bottom"/>
            <w:gridSpan w:val="5"/>
          </w:tcPr>
          <w:p>
            <w:pPr>
              <w:ind w:left="224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6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Golf memberships</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$ 77,969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60" w:type="dxa"/>
            <w:vAlign w:val="bottom"/>
            <w:gridSpan w:val="3"/>
          </w:tcPr>
          <w:p>
            <w:pPr>
              <w:jc w:val="right"/>
              <w:ind w:right="3872"/>
              <w:spacing w:after="0"/>
              <w:rPr>
                <w:sz w:val="20"/>
                <w:szCs w:val="20"/>
                <w:color w:val="auto"/>
              </w:rPr>
            </w:pPr>
            <w:r>
              <w:rPr>
                <w:rFonts w:ascii="Arial" w:cs="Arial" w:eastAsia="Arial" w:hAnsi="Arial"/>
                <w:sz w:val="18"/>
                <w:szCs w:val="18"/>
                <w:color w:val="auto"/>
              </w:rPr>
              <w:t>F-29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05029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502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6 </w:t>
            </w:r>
            <w:r>
              <w:rPr>
                <w:rFonts w:ascii="Arial" w:cs="Arial" w:eastAsia="Arial" w:hAnsi="Arial"/>
                <w:sz w:val="11"/>
                <w:szCs w:val="11"/>
                <w:color w:val="auto"/>
                <w:w w:val="98"/>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December 1, 2014, net of original issue discount of $8,214 and $9,561,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$1,626,016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$ 1,690,439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 xml:space="preserve">7 </w:t>
            </w:r>
            <w:r>
              <w:rPr>
                <w:rFonts w:ascii="Arial" w:cs="Arial" w:eastAsia="Arial" w:hAnsi="Arial"/>
                <w:sz w:val="11"/>
                <w:szCs w:val="11"/>
                <w:color w:val="auto"/>
                <w:w w:val="98"/>
              </w:rPr>
              <w:t>7</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November 1, 2017, net of original issue discount of $10,529 at 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Revolving Credit Facility; due July 15, 2013; interest at LIBOR plus 3.0% and 1.625% (approximately 3.24% and 2.2%),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Term Loan Facility; $40.2 million due September 30, 2012 with the remaining $40.2 million due August 15, 2013; interest at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LIBOR plus 1.875% (approximately 2.12% and 3.1%,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$42 million Note Payable; due April 1, 2017; interest at LIBOR plus 1.25% (approximately 1.8% and, 3.0%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80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$ 2,833,423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20" w:firstLine="8"/>
        <w:spacing w:after="0" w:line="323" w:lineRule="auto"/>
        <w:tabs>
          <w:tab w:leader="none" w:pos="24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60" w:right="31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294,339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1,701,400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531,500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83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2,571,312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83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36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3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1,484,466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employees from affiliate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2,174,592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2,022,615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3873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3873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center"/>
              <w:ind w:left="97"/>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42418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F-38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3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60" w:type="dxa"/>
            <w:vAlign w:val="bottom"/>
            <w:gridSpan w:val="2"/>
          </w:tcPr>
          <w:p>
            <w:pPr>
              <w:jc w:val="right"/>
              <w:ind w:right="3920"/>
              <w:spacing w:after="0"/>
              <w:rPr>
                <w:sz w:val="20"/>
                <w:szCs w:val="20"/>
                <w:color w:val="auto"/>
              </w:rPr>
            </w:pPr>
            <w:r>
              <w:rPr>
                <w:rFonts w:ascii="Arial" w:cs="Arial" w:eastAsia="Arial" w:hAnsi="Arial"/>
                <w:sz w:val="18"/>
                <w:szCs w:val="18"/>
                <w:color w:val="auto"/>
              </w:rPr>
              <w:t>F-39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60" w:right="2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-3962400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-3962400</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-3962400</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-3962400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-3962400</wp:posOffset>
            </wp:positionV>
            <wp:extent cx="2159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-3962400</wp:posOffset>
            </wp:positionV>
            <wp:extent cx="3873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-3962400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-3962400</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-3962400</wp:posOffset>
            </wp:positionV>
            <wp:extent cx="3873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-3962400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-3962400</wp:posOffset>
            </wp:positionV>
            <wp:extent cx="2159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-3962400</wp:posOffset>
            </wp:positionV>
            <wp:extent cx="3873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-3962400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21,465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3,906,460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2,794,923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3,092,692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(216,723)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19,816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F-43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-3825240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-3825240</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-3825240</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-3825240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-3825240</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-3825240</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-3825240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-3825240</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-3825240</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-3825240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-3825240</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-3825240</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-3825240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-3825240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-3825240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1,415,600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1,229,618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1,366,105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840"/>
              <w:spacing w:after="0"/>
              <w:rPr>
                <w:sz w:val="20"/>
                <w:szCs w:val="20"/>
                <w:color w:val="auto"/>
              </w:rPr>
            </w:pPr>
            <w:r>
              <w:rPr>
                <w:rFonts w:ascii="Arial" w:cs="Arial" w:eastAsia="Arial" w:hAnsi="Arial"/>
                <w:sz w:val="18"/>
                <w:szCs w:val="18"/>
                <w:color w:val="auto"/>
              </w:rPr>
              <w:t>F-44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-325755</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(79,518)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Non-guarantor</w:t>
            </w:r>
          </w:p>
        </w:tc>
        <w:tc>
          <w:tcPr>
            <w:tcW w:w="3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Subsidiaries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113,225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459" w:right="23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59" w:right="239" w:bottom="1440" w:gutter="0" w:footer="0" w:header="0"/>
          <w:type w:val="continuous"/>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$ 124,219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(6,109)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Deposits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964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543,460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52,731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$ 146,556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40" w:type="dxa"/>
            <w:vAlign w:val="bottom"/>
            <w:gridSpan w:val="4"/>
          </w:tcPr>
          <w:p>
            <w:pPr>
              <w:jc w:val="right"/>
              <w:ind w:right="1000"/>
              <w:spacing w:after="0"/>
              <w:rPr>
                <w:sz w:val="20"/>
                <w:szCs w:val="20"/>
                <w:color w:val="auto"/>
              </w:rPr>
            </w:pPr>
            <w:r>
              <w:rPr>
                <w:rFonts w:ascii="Arial" w:cs="Arial" w:eastAsia="Arial" w:hAnsi="Arial"/>
                <w:sz w:val="18"/>
                <w:szCs w:val="18"/>
                <w:color w:val="auto"/>
              </w:rPr>
              <w:t>F-49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gridSpan w:val="2"/>
          </w:tcPr>
          <w:p>
            <w:pPr>
              <w:ind w:left="1940"/>
              <w:spacing w:after="0"/>
              <w:rPr>
                <w:sz w:val="20"/>
                <w:szCs w:val="20"/>
                <w:color w:val="auto"/>
              </w:rPr>
            </w:pPr>
            <w:r>
              <w:rPr>
                <w:rFonts w:ascii="Arial" w:cs="Arial" w:eastAsia="Arial" w:hAnsi="Arial"/>
                <w:sz w:val="18"/>
                <w:szCs w:val="18"/>
                <w:color w:val="auto"/>
              </w:rPr>
              <w:t>F-51</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LLC. (1)</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20" w:type="dxa"/>
            <w:vAlign w:val="bottom"/>
            <w:gridSpan w:val="2"/>
          </w:tcPr>
          <w:p>
            <w:pPr>
              <w:ind w:left="780"/>
              <w:spacing w:after="0"/>
              <w:rPr>
                <w:sz w:val="20"/>
                <w:szCs w:val="20"/>
                <w:color w:val="auto"/>
              </w:rPr>
            </w:pPr>
            <w:r>
              <w:rPr>
                <w:rFonts w:ascii="Arial" w:cs="Arial" w:eastAsia="Arial" w:hAnsi="Arial"/>
                <w:sz w:val="18"/>
                <w:szCs w:val="18"/>
                <w:color w:val="auto"/>
                <w:w w:val="88"/>
              </w:rPr>
              <w:t>Second Amended and Restated Articles of Organization of Wynn Las Vegas,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92"/>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89"/>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3"/>
          </w:tcPr>
          <w:p>
            <w:pPr>
              <w:ind w:left="51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Supplemental Indenture, dated as of December 14, 2004,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Second Supplemental Indenture, dated as of July 29, 2005, among Wynn Las Vegas, LLC, Wynn Las Vegas Capital Corp., the Guarantors set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c>
          <w:tcPr>
            <w:tcW w:w="0" w:type="dxa"/>
            <w:vAlign w:val="bottom"/>
          </w:tcPr>
          <w:p>
            <w:pPr>
              <w:spacing w:after="0"/>
              <w:rPr>
                <w:sz w:val="1"/>
                <w:szCs w:val="1"/>
                <w:color w:val="auto"/>
              </w:rPr>
            </w:pPr>
          </w:p>
        </w:tc>
      </w:tr>
      <w:tr>
        <w:trPr>
          <w:trHeight w:val="2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October 19, 2009,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542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4"/>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lenders named therein. (7)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10.16</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0"/>
              </w:rPr>
              <w:t>Third Amended and Restated Art Rental and Licensing Agreement,</w:t>
            </w:r>
          </w:p>
        </w:tc>
        <w:tc>
          <w:tcPr>
            <w:tcW w:w="7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76"/>
              </w:rPr>
              <w:t>dated as of</w:t>
            </w:r>
          </w:p>
        </w:tc>
        <w:tc>
          <w:tcPr>
            <w:tcW w:w="48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0"/>
              </w:rPr>
              <w:t>August 6, 2004, by and between Stephen A. Wynn and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2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10.32</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88"/>
              </w:rPr>
              <w:t>First Amendment to Amended and Restated Credit Agreement dated</w:t>
            </w:r>
          </w:p>
        </w:tc>
        <w:tc>
          <w:tcPr>
            <w:tcW w:w="7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April 9,</w:t>
            </w: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88"/>
              </w:rPr>
              <w:t>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of Lease made as of March 17, 2010, by and between Wynn Las Vegas, LLC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Elaine P. Wynn. (26)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10.40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(26)</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3"/>
          </w:tcPr>
          <w:p>
            <w:pPr>
              <w:ind w:left="51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2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 (28)</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Powers of Attorney. (25)</w:t>
            </w: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459" w:right="51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S-4 (File No. 333-166563) filed by the Registrant on May 6,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right="300" w:hanging="572"/>
        <w:spacing w:after="0" w:line="250" w:lineRule="auto"/>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Registration Statement on Form S-4 (File No. 333-166563) filed by the Registrant on July 2, 2010.</w:t>
      </w: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37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3"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80" w:firstLine="443"/>
        <w:spacing w:after="0" w:line="256" w:lineRule="auto"/>
        <w:tabs>
          <w:tab w:leader="none" w:pos="11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9" w:right="2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39" w:lineRule="exact"/>
        <w:rPr>
          <w:sz w:val="20"/>
          <w:szCs w:val="20"/>
          <w:color w:val="auto"/>
        </w:rPr>
      </w:pPr>
    </w:p>
    <w:p>
      <w:pPr>
        <w:jc w:val="both"/>
        <w:ind w:left="460" w:right="80" w:firstLine="443"/>
        <w:spacing w:after="0" w:line="255" w:lineRule="auto"/>
        <w:tabs>
          <w:tab w:leader="none" w:pos="11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2"/>
          <w:numId w:val="37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2"/>
          <w:numId w:val="37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2"/>
          <w:numId w:val="37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37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right="100" w:firstLine="443"/>
        <w:spacing w:after="0" w:line="312" w:lineRule="auto"/>
        <w:tabs>
          <w:tab w:leader="none" w:pos="1147" w:val="left"/>
        </w:tabs>
        <w:numPr>
          <w:ilvl w:val="1"/>
          <w:numId w:val="376"/>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 w:lineRule="exact"/>
        <w:rPr>
          <w:rFonts w:ascii="Arial" w:cs="Arial" w:eastAsia="Arial" w:hAnsi="Arial"/>
          <w:sz w:val="15"/>
          <w:szCs w:val="15"/>
          <w:color w:val="auto"/>
        </w:rPr>
      </w:pPr>
    </w:p>
    <w:p>
      <w:pPr>
        <w:ind w:left="460" w:right="20" w:firstLine="443"/>
        <w:spacing w:after="0" w:line="256" w:lineRule="auto"/>
        <w:tabs>
          <w:tab w:leader="none" w:pos="114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II-10</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60"/>
          </w:cols>
          <w:pgMar w:left="240" w:top="459" w:right="799" w:bottom="1440" w:gutter="0" w:footer="0" w:header="0"/>
        </w:sectPr>
      </w:pPr>
    </w:p>
    <w:p>
      <w:pPr>
        <w:spacing w:after="0" w:line="222" w:lineRule="exact"/>
        <w:rPr>
          <w:sz w:val="20"/>
          <w:szCs w:val="20"/>
          <w:color w:val="auto"/>
        </w:rPr>
      </w:pPr>
    </w:p>
    <w:p>
      <w:pPr>
        <w:jc w:val="right"/>
        <w:ind w:right="1360"/>
        <w:spacing w:after="0"/>
        <w:tabs>
          <w:tab w:leader="none" w:pos="26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00" w:lineRule="exact"/>
        <w:rPr>
          <w:sz w:val="20"/>
          <w:szCs w:val="20"/>
          <w:color w:val="auto"/>
        </w:rPr>
      </w:pPr>
    </w:p>
    <w:p>
      <w:pPr>
        <w:spacing w:after="0" w:line="265"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President (Principal Executive Officer)</w:t>
      </w:r>
      <w:r>
        <w:rPr>
          <w:sz w:val="20"/>
          <w:szCs w:val="20"/>
          <w:color w:val="auto"/>
        </w:rPr>
        <w:tab/>
      </w:r>
      <w:r>
        <w:rPr>
          <w:rFonts w:ascii="Arial" w:cs="Arial" w:eastAsia="Arial" w:hAnsi="Arial"/>
          <w:sz w:val="15"/>
          <w:szCs w:val="15"/>
          <w:color w:val="auto"/>
        </w:rPr>
        <w:t>July 26,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Senior Vice President and Chief Financial Officer</w:t>
      </w:r>
      <w:r>
        <w:rPr>
          <w:sz w:val="20"/>
          <w:szCs w:val="20"/>
          <w:color w:val="auto"/>
        </w:rPr>
        <w:tab/>
      </w:r>
      <w:r>
        <w:rPr>
          <w:rFonts w:ascii="Arial" w:cs="Arial" w:eastAsia="Arial" w:hAnsi="Arial"/>
          <w:sz w:val="15"/>
          <w:szCs w:val="15"/>
          <w:color w:val="auto"/>
        </w:rPr>
        <w:t>July 26, 2010</w:t>
      </w:r>
    </w:p>
    <w:p>
      <w:pPr>
        <w:spacing w:after="0" w:line="15"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II-11</w:t>
      </w:r>
    </w:p>
    <w:p>
      <w:pPr>
        <w:sectPr>
          <w:pgSz w:w="11900" w:h="16838" w:orient="portrait"/>
          <w:cols w:equalWidth="0" w:num="2">
            <w:col w:w="4540" w:space="720"/>
            <w:col w:w="5600"/>
          </w:cols>
          <w:pgMar w:left="240" w:top="459" w:right="799" w:bottom="1440" w:gutter="0" w:footer="0" w:header="0"/>
          <w:type w:val="continuous"/>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II-12</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60"/>
          </w:cols>
          <w:pgMar w:left="240" w:top="459" w:right="79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ARC</w:t>
            </w:r>
            <w:r>
              <w:rPr>
                <w:rFonts w:ascii="Arial" w:cs="Arial" w:eastAsia="Arial" w:hAnsi="Arial"/>
                <w:sz w:val="18"/>
                <w:szCs w:val="18"/>
                <w:color w:val="auto"/>
                <w:w w:val="97"/>
              </w:rPr>
              <w:t xml:space="preserve"> D. S</w:t>
            </w:r>
            <w:r>
              <w:rPr>
                <w:rFonts w:ascii="Arial" w:cs="Arial" w:eastAsia="Arial" w:hAnsi="Arial"/>
                <w:sz w:val="14"/>
                <w:szCs w:val="14"/>
                <w:color w:val="auto"/>
                <w:w w:val="97"/>
              </w:rPr>
              <w:t>CHORR</w:t>
            </w:r>
          </w:p>
        </w:tc>
      </w:tr>
      <w:tr>
        <w:trPr>
          <w:trHeight w:val="169"/>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2"/>
              </w:rPr>
              <w:t>Marc D. Schorr</w:t>
            </w:r>
          </w:p>
        </w:tc>
      </w:tr>
      <w:tr>
        <w:trPr>
          <w:trHeight w:val="419"/>
        </w:trPr>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69"/>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3"/>
              </w:rPr>
              <w:t>Matt Maddox</w:t>
            </w:r>
          </w:p>
        </w:tc>
      </w:tr>
      <w:tr>
        <w:trPr>
          <w:trHeight w:val="454"/>
        </w:trPr>
        <w:tc>
          <w:tcPr>
            <w:tcW w:w="1740" w:type="dxa"/>
            <w:vAlign w:val="bottom"/>
            <w:gridSpan w:val="2"/>
          </w:tcPr>
          <w:p>
            <w:pPr>
              <w:spacing w:after="0"/>
              <w:rPr>
                <w:sz w:val="20"/>
                <w:szCs w:val="20"/>
                <w:color w:val="auto"/>
              </w:rPr>
            </w:pPr>
            <w:r>
              <w:rPr>
                <w:rFonts w:ascii="Arial" w:cs="Arial" w:eastAsia="Arial" w:hAnsi="Arial"/>
                <w:sz w:val="18"/>
                <w:szCs w:val="18"/>
                <w:color w:val="auto"/>
              </w:rPr>
              <w:t>* By:</w:t>
            </w: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r>
      <w:tr>
        <w:trPr>
          <w:trHeight w:val="136"/>
        </w:trPr>
        <w:tc>
          <w:tcPr>
            <w:tcW w:w="5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40" w:type="dxa"/>
            <w:vAlign w:val="bottom"/>
            <w:tcBorders>
              <w:top w:val="single" w:sz="8" w:color="auto"/>
            </w:tcBorders>
          </w:tcPr>
          <w:p>
            <w:pPr>
              <w:jc w:val="center"/>
              <w:ind w:right="1326"/>
              <w:spacing w:after="0" w:line="136" w:lineRule="exact"/>
              <w:rPr>
                <w:sz w:val="20"/>
                <w:szCs w:val="20"/>
                <w:color w:val="auto"/>
              </w:rPr>
            </w:pPr>
            <w:r>
              <w:rPr>
                <w:rFonts w:ascii="Arial" w:cs="Arial" w:eastAsia="Arial" w:hAnsi="Arial"/>
                <w:sz w:val="14"/>
                <w:szCs w:val="14"/>
                <w:b w:val="1"/>
                <w:bCs w:val="1"/>
                <w:color w:val="auto"/>
                <w:w w:val="92"/>
              </w:rPr>
              <w:t>Kim Sinatra</w:t>
            </w:r>
          </w:p>
        </w:tc>
        <w:tc>
          <w:tcPr>
            <w:tcW w:w="46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0"/>
              </w:rPr>
              <w:t>Attorney-in-fact</w:t>
            </w: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Chief Operating Officer (Principal Executive Officer)</w:t>
      </w:r>
      <w:r>
        <w:rPr>
          <w:sz w:val="20"/>
          <w:szCs w:val="20"/>
          <w:color w:val="auto"/>
        </w:rPr>
        <w:tab/>
      </w:r>
      <w:r>
        <w:rPr>
          <w:rFonts w:ascii="Arial" w:cs="Arial" w:eastAsia="Arial" w:hAnsi="Arial"/>
          <w:sz w:val="15"/>
          <w:szCs w:val="15"/>
          <w:color w:val="auto"/>
        </w:rPr>
        <w:t>July 26,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Chief Financial Officer and Treasurer (Principal</w:t>
      </w:r>
      <w:r>
        <w:rPr>
          <w:sz w:val="20"/>
          <w:szCs w:val="20"/>
          <w:color w:val="auto"/>
        </w:rPr>
        <w:tab/>
      </w:r>
      <w:r>
        <w:rPr>
          <w:rFonts w:ascii="Arial" w:cs="Arial" w:eastAsia="Arial" w:hAnsi="Arial"/>
          <w:sz w:val="15"/>
          <w:szCs w:val="15"/>
          <w:color w:val="auto"/>
        </w:rPr>
        <w:t>July 26, 2010</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II-13</w:t>
      </w:r>
    </w:p>
    <w:p>
      <w:pPr>
        <w:sectPr>
          <w:pgSz w:w="11900" w:h="16838" w:orient="portrait"/>
          <w:cols w:equalWidth="0" w:num="2">
            <w:col w:w="5040" w:space="220"/>
            <w:col w:w="5600"/>
          </w:cols>
          <w:pgMar w:left="240" w:top="459" w:right="799" w:bottom="1440" w:gutter="0" w:footer="0" w:header="0"/>
          <w:type w:val="continuous"/>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II-14</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II-15</w:t>
      </w:r>
    </w:p>
    <w:p>
      <w:pPr>
        <w:sectPr>
          <w:pgSz w:w="11900" w:h="16838" w:orient="portrait"/>
          <w:cols w:equalWidth="0" w:num="1">
            <w:col w:w="10860"/>
          </w:cols>
          <w:pgMar w:left="240" w:top="459" w:right="79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II-16</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202"/>
        </w:trPr>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gridSpan w:val="3"/>
          </w:tcPr>
          <w:p>
            <w:pPr>
              <w:jc w:val="center"/>
              <w:ind w:right="202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2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color w:val="auto"/>
              </w:rPr>
              <w:t>II-17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II-18</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36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202"/>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20" w:type="dxa"/>
            <w:vAlign w:val="bottom"/>
            <w:gridSpan w:val="3"/>
          </w:tcPr>
          <w:p>
            <w:pPr>
              <w:jc w:val="center"/>
              <w:ind w:right="202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60" w:type="dxa"/>
            <w:vAlign w:val="bottom"/>
            <w:gridSpan w:val="4"/>
          </w:tcPr>
          <w:p>
            <w:pPr>
              <w:jc w:val="center"/>
              <w:ind w:right="1600"/>
              <w:spacing w:after="0"/>
              <w:rPr>
                <w:sz w:val="20"/>
                <w:szCs w:val="20"/>
                <w:color w:val="auto"/>
              </w:rPr>
            </w:pPr>
            <w:r>
              <w:rPr>
                <w:rFonts w:ascii="Arial" w:cs="Arial" w:eastAsia="Arial" w:hAnsi="Arial"/>
                <w:sz w:val="14"/>
                <w:szCs w:val="14"/>
                <w:b w:val="1"/>
                <w:bCs w:val="1"/>
                <w:color w:val="auto"/>
                <w:w w:val="90"/>
              </w:rPr>
              <w:t>Attroney-in-fact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color w:val="auto"/>
              </w:rPr>
              <w:t>II-19</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II-20</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0860"/>
          </w:cols>
          <w:pgMar w:left="240" w:top="459" w:right="79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II-22</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202"/>
        </w:trPr>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1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gridSpan w:val="3"/>
          </w:tcPr>
          <w:p>
            <w:pPr>
              <w:jc w:val="center"/>
              <w:ind w:right="210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2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color w:val="auto"/>
              </w:rPr>
              <w:t>II-23</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860"/>
          </w:cols>
          <w:pgMar w:left="240" w:top="460" w:right="79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4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5"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40"/>
              <w:spacing w:after="0"/>
              <w:rPr>
                <w:sz w:val="20"/>
                <w:szCs w:val="20"/>
                <w:color w:val="auto"/>
              </w:rPr>
            </w:pPr>
            <w:r>
              <w:rPr>
                <w:rFonts w:ascii="Arial" w:cs="Arial" w:eastAsia="Arial" w:hAnsi="Arial"/>
                <w:sz w:val="18"/>
                <w:szCs w:val="18"/>
                <w:color w:val="auto"/>
                <w:w w:val="85"/>
              </w:rPr>
              <w:t>July 26,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40" w:type="dxa"/>
            <w:vAlign w:val="bottom"/>
          </w:tcPr>
          <w:p>
            <w:pPr>
              <w:ind w:left="500"/>
              <w:spacing w:after="0"/>
              <w:rPr>
                <w:sz w:val="20"/>
                <w:szCs w:val="20"/>
                <w:color w:val="auto"/>
              </w:rPr>
            </w:pPr>
            <w:r>
              <w:rPr>
                <w:rFonts w:ascii="Arial" w:cs="Arial" w:eastAsia="Arial" w:hAnsi="Arial"/>
                <w:sz w:val="18"/>
                <w:szCs w:val="18"/>
                <w:color w:val="auto"/>
              </w:rPr>
              <w:t>II-24</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52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July 26,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II-25</w:t>
      </w:r>
    </w:p>
    <w:p>
      <w:pPr>
        <w:sectPr>
          <w:pgSz w:w="11900" w:h="16838" w:orient="portrait"/>
          <w:cols w:equalWidth="0" w:num="1">
            <w:col w:w="10860"/>
          </w:cols>
          <w:pgMar w:left="240" w:top="459" w:right="79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86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Second Amended and Restated Articles of Organization of Wynn Las Vegas,</w:t>
            </w:r>
          </w:p>
        </w:tc>
        <w:tc>
          <w:tcPr>
            <w:tcW w:w="4700" w:type="dxa"/>
            <w:vAlign w:val="bottom"/>
          </w:tcPr>
          <w:p>
            <w:pPr>
              <w:spacing w:after="0"/>
              <w:rPr>
                <w:sz w:val="20"/>
                <w:szCs w:val="20"/>
                <w:color w:val="auto"/>
              </w:rPr>
            </w:pPr>
            <w:r>
              <w:rPr>
                <w:rFonts w:ascii="Arial" w:cs="Arial" w:eastAsia="Arial" w:hAnsi="Arial"/>
                <w:sz w:val="18"/>
                <w:szCs w:val="18"/>
                <w:color w:val="auto"/>
              </w:rPr>
              <w:t>LLC. (1)</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Registration Rights Agreement, dated as of December 14, 2004, by and among Wynn Las Vegas, LLC, Wynn Las Vegas Capital Corp., the</w:t>
            </w:r>
          </w:p>
        </w:tc>
      </w:tr>
      <w:tr>
        <w:trPr>
          <w:trHeight w:val="216"/>
        </w:trPr>
        <w:tc>
          <w:tcPr>
            <w:tcW w:w="46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November 6, 2007, by and among Wynn Las Vegas, LLC, Wynn Las Vegas Capital Corp., the</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r>
    </w:tbl>
    <w:p>
      <w:pPr>
        <w:sectPr>
          <w:pgSz w:w="11900" w:h="16838" w:orient="portrait"/>
          <w:cols w:equalWidth="0" w:num="1">
            <w:col w:w="11320"/>
          </w:cols>
          <w:pgMar w:left="240" w:top="459" w:right="3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Registration Rights Agreement, dated as of October 19, 2009, by and</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5420" w:type="dxa"/>
            <w:vAlign w:val="bottom"/>
            <w:vMerge w:val="continue"/>
          </w:tcPr>
          <w:p>
            <w:pPr>
              <w:spacing w:after="0"/>
              <w:rPr>
                <w:sz w:val="17"/>
                <w:szCs w:val="17"/>
                <w:color w:val="auto"/>
              </w:rPr>
            </w:pPr>
          </w:p>
        </w:tc>
        <w:tc>
          <w:tcPr>
            <w:tcW w:w="5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among Wynn Las Vegas, LLC, Wynn Las Vegas Capital Corp.,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10.13</w:t>
            </w:r>
          </w:p>
        </w:tc>
        <w:tc>
          <w:tcPr>
            <w:tcW w:w="5420" w:type="dxa"/>
            <w:vAlign w:val="bottom"/>
          </w:tcPr>
          <w:p>
            <w:pPr>
              <w:ind w:left="580"/>
              <w:spacing w:after="0"/>
              <w:rPr>
                <w:sz w:val="20"/>
                <w:szCs w:val="20"/>
                <w:color w:val="auto"/>
              </w:rPr>
            </w:pPr>
            <w:r>
              <w:rPr>
                <w:rFonts w:ascii="Arial" w:cs="Arial" w:eastAsia="Arial" w:hAnsi="Arial"/>
                <w:sz w:val="18"/>
                <w:szCs w:val="18"/>
                <w:color w:val="auto"/>
                <w:w w:val="88"/>
              </w:rPr>
              <w:t>Purchase Agreement, dated October 25, 2002, by and among Wynn</w:t>
            </w: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5"/>
              </w:rPr>
              <w:t>Las Vegas,</w:t>
            </w: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4"/>
              </w:rPr>
              <w:t>LLC, Wynn Las Vegas Capital Corp. and Stephen A. Wynn. (2)</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lenders named therein. (7)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46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4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35"/>
        </w:trPr>
        <w:tc>
          <w:tcPr>
            <w:tcW w:w="46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bl>
    <w:p>
      <w:pPr>
        <w:sectPr>
          <w:pgSz w:w="11900" w:h="16838" w:orient="portrait"/>
          <w:cols w:equalWidth="0" w:num="1">
            <w:col w:w="11380"/>
          </w:cols>
          <w:pgMar w:left="240" w:top="460" w:right="2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10.30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bl>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14"/>
                <w:szCs w:val="14"/>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w w:val="97"/>
              </w:rPr>
              <w:t>10.39</w:t>
            </w:r>
          </w:p>
        </w:tc>
        <w:tc>
          <w:tcPr>
            <w:tcW w:w="1060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Agreement of Lease made as of March 17, 2010, by and between Wynn Las Vegas, LLC and</w:t>
            </w:r>
          </w:p>
        </w:tc>
      </w:tr>
      <w:tr>
        <w:trPr>
          <w:trHeight w:val="222"/>
        </w:trPr>
        <w:tc>
          <w:tcPr>
            <w:tcW w:w="46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Elaine P. Wynn.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10.40</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w w:val="93"/>
              </w:rPr>
              <w:t>Amended and Restated Agreement of lease made as of March 18, 2010, by and between Wynn Las Vegas and Stephen A. Wynn.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 (28)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Powers of Attorney. (25)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ectPr>
          <w:pgSz w:w="11900" w:h="16838" w:orient="portrait"/>
          <w:cols w:equalWidth="0" w:num="1">
            <w:col w:w="11060"/>
          </w:cols>
          <w:pgMar w:left="240" w:top="459" w:right="59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S-4 (File No. 333-166563) filed by the Registrant on May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Registration Statement on Form S-4 (File No. 333-166563) filed by the Registrant on July 2, 2010.</w:t>
      </w: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100"/>
          </w:cols>
          <w:pgMar w:left="240" w:top="459" w:right="55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consent to the reference to our firm under the caption “Experts” and to the use of our report dated February 26, 2010, in Amendment No. 2 to the Registration Statement (Form S-4) and related Prospectus of Wynn Las Vegas, LLC for the registration of $500 million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2017 and $382.01 million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p>
      <w:pPr>
        <w:spacing w:after="0" w:line="1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C9D844"/>
    <w:multiLevelType w:val="hybridMultilevel"/>
    <w:lvl w:ilvl="0">
      <w:lvlJc w:val="left"/>
      <w:lvlText w:val="(%1)"/>
      <w:numFmt w:val="decimal"/>
      <w:start w:val="213"/>
    </w:lvl>
  </w:abstractNum>
  <w:abstractNum w:abstractNumId="1">
    <w:nsid w:val="5C49EAEE"/>
    <w:multiLevelType w:val="hybridMultilevel"/>
    <w:lvl w:ilvl="0">
      <w:lvlJc w:val="left"/>
      <w:lvlText w:val="*"/>
      <w:numFmt w:val="bullet"/>
      <w:start w:val="1"/>
    </w:lvl>
  </w:abstractNum>
  <w:abstractNum w:abstractNumId="2">
    <w:nsid w:val="64AF49B"/>
    <w:multiLevelType w:val="hybridMultilevel"/>
    <w:lvl w:ilvl="0">
      <w:lvlJc w:val="left"/>
      <w:lvlText w:val="7"/>
      <w:numFmt w:val="bullet"/>
      <w:start w:val="1"/>
    </w:lvl>
  </w:abstractNum>
  <w:abstractNum w:abstractNumId="3">
    <w:nsid w:val="397C46BC"/>
    <w:multiLevelType w:val="hybridMultilevel"/>
    <w:lvl w:ilvl="0">
      <w:lvlJc w:val="left"/>
      <w:lvlText w:val="7"/>
      <w:numFmt w:val="bullet"/>
      <w:start w:val="1"/>
    </w:lvl>
  </w:abstractNum>
  <w:abstractNum w:abstractNumId="4">
    <w:nsid w:val="7E448DE9"/>
    <w:multiLevelType w:val="hybridMultilevel"/>
    <w:lvl w:ilvl="0">
      <w:lvlJc w:val="left"/>
      <w:lvlText w:val="•"/>
      <w:numFmt w:val="bullet"/>
      <w:start w:val="1"/>
    </w:lvl>
  </w:abstractNum>
  <w:abstractNum w:abstractNumId="5">
    <w:nsid w:val="5A9CC3E5"/>
    <w:multiLevelType w:val="hybridMultilevel"/>
    <w:lvl w:ilvl="0">
      <w:lvlJc w:val="left"/>
      <w:lvlText w:val="•"/>
      <w:numFmt w:val="bullet"/>
      <w:start w:val="1"/>
    </w:lvl>
  </w:abstractNum>
  <w:abstractNum w:abstractNumId="6">
    <w:nsid w:val="1AFE3625"/>
    <w:multiLevelType w:val="hybridMultilevel"/>
    <w:lvl w:ilvl="0">
      <w:lvlJc w:val="left"/>
      <w:lvlText w:val="•"/>
      <w:numFmt w:val="bullet"/>
      <w:start w:val="1"/>
    </w:lvl>
  </w:abstractNum>
  <w:abstractNum w:abstractNumId="7">
    <w:nsid w:val="3CA88ECF"/>
    <w:multiLevelType w:val="hybridMultilevel"/>
    <w:lvl w:ilvl="0">
      <w:lvlJc w:val="left"/>
      <w:lvlText w:val="•"/>
      <w:numFmt w:val="bullet"/>
      <w:start w:val="1"/>
    </w:lvl>
  </w:abstractNum>
  <w:abstractNum w:abstractNumId="8">
    <w:nsid w:val="6EBE4208"/>
    <w:multiLevelType w:val="hybridMultilevel"/>
    <w:lvl w:ilvl="0">
      <w:lvlJc w:val="left"/>
      <w:lvlText w:val="•"/>
      <w:numFmt w:val="bullet"/>
      <w:start w:val="1"/>
    </w:lvl>
  </w:abstractNum>
  <w:abstractNum w:abstractNumId="9">
    <w:nsid w:val="C058DF5"/>
    <w:multiLevelType w:val="hybridMultilevel"/>
    <w:lvl w:ilvl="0">
      <w:lvlJc w:val="left"/>
      <w:lvlText w:val="•"/>
      <w:numFmt w:val="bullet"/>
      <w:start w:val="1"/>
    </w:lvl>
  </w:abstractNum>
  <w:abstractNum w:abstractNumId="10">
    <w:nsid w:val="CBE5BE9"/>
    <w:multiLevelType w:val="hybridMultilevel"/>
    <w:lvl w:ilvl="0">
      <w:lvlJc w:val="left"/>
      <w:lvlText w:val="•"/>
      <w:numFmt w:val="bullet"/>
      <w:start w:val="1"/>
    </w:lvl>
  </w:abstractNum>
  <w:abstractNum w:abstractNumId="11">
    <w:nsid w:val="3102BBE2"/>
    <w:multiLevelType w:val="hybridMultilevel"/>
    <w:lvl w:ilvl="0">
      <w:lvlJc w:val="left"/>
      <w:lvlText w:val="•"/>
      <w:numFmt w:val="bullet"/>
      <w:start w:val="1"/>
    </w:lvl>
  </w:abstractNum>
  <w:abstractNum w:abstractNumId="12">
    <w:nsid w:val="26A02C5E"/>
    <w:multiLevelType w:val="hybridMultilevel"/>
    <w:lvl w:ilvl="0">
      <w:lvlJc w:val="left"/>
      <w:lvlText w:val="•"/>
      <w:numFmt w:val="bullet"/>
      <w:start w:val="1"/>
    </w:lvl>
    <w:lvl w:ilvl="1">
      <w:lvlJc w:val="left"/>
      <w:lvlText w:val="•"/>
      <w:numFmt w:val="bullet"/>
      <w:start w:val="1"/>
    </w:lvl>
  </w:abstractNum>
  <w:abstractNum w:abstractNumId="13">
    <w:nsid w:val="541C8153"/>
    <w:multiLevelType w:val="hybridMultilevel"/>
    <w:lvl w:ilvl="0">
      <w:lvlJc w:val="left"/>
      <w:lvlText w:val="•"/>
      <w:numFmt w:val="bullet"/>
      <w:start w:val="1"/>
    </w:lvl>
  </w:abstractNum>
  <w:abstractNum w:abstractNumId="14">
    <w:nsid w:val="67906F60"/>
    <w:multiLevelType w:val="hybridMultilevel"/>
    <w:lvl w:ilvl="0">
      <w:lvlJc w:val="left"/>
      <w:lvlText w:val="•"/>
      <w:numFmt w:val="bullet"/>
      <w:start w:val="1"/>
    </w:lvl>
  </w:abstractNum>
  <w:abstractNum w:abstractNumId="15">
    <w:nsid w:val="10DB9DAA"/>
    <w:multiLevelType w:val="hybridMultilevel"/>
    <w:lvl w:ilvl="0">
      <w:lvlJc w:val="left"/>
      <w:lvlText w:val="(%1)"/>
      <w:numFmt w:val="lowerRoman"/>
      <w:start w:val="2"/>
    </w:lvl>
  </w:abstractNum>
  <w:abstractNum w:abstractNumId="16">
    <w:nsid w:val="697D2D2"/>
    <w:multiLevelType w:val="hybridMultilevel"/>
    <w:lvl w:ilvl="0">
      <w:lvlJc w:val="left"/>
      <w:lvlText w:val="•"/>
      <w:numFmt w:val="bullet"/>
      <w:start w:val="1"/>
    </w:lvl>
  </w:abstractNum>
  <w:abstractNum w:abstractNumId="17">
    <w:nsid w:val="6D68AB2"/>
    <w:multiLevelType w:val="hybridMultilevel"/>
    <w:lvl w:ilvl="0">
      <w:lvlJc w:val="left"/>
      <w:lvlText w:val="•"/>
      <w:numFmt w:val="bullet"/>
      <w:start w:val="1"/>
    </w:lvl>
    <w:lvl w:ilvl="1">
      <w:lvlJc w:val="left"/>
      <w:lvlText w:val="•"/>
      <w:numFmt w:val="bullet"/>
      <w:start w:val="1"/>
    </w:lvl>
  </w:abstractNum>
  <w:abstractNum w:abstractNumId="18">
    <w:nsid w:val="3A966CD0"/>
    <w:multiLevelType w:val="hybridMultilevel"/>
    <w:lvl w:ilvl="0">
      <w:lvlJc w:val="left"/>
      <w:lvlText w:val="•"/>
      <w:numFmt w:val="bullet"/>
      <w:start w:val="1"/>
    </w:lvl>
  </w:abstractNum>
  <w:abstractNum w:abstractNumId="19">
    <w:nsid w:val="63F37E85"/>
    <w:multiLevelType w:val="hybridMultilevel"/>
    <w:lvl w:ilvl="0">
      <w:lvlJc w:val="left"/>
      <w:lvlText w:val="•"/>
      <w:numFmt w:val="bullet"/>
      <w:start w:val="1"/>
    </w:lvl>
  </w:abstractNum>
  <w:abstractNum w:abstractNumId="20">
    <w:nsid w:val="5895F5FA"/>
    <w:multiLevelType w:val="hybridMultilevel"/>
    <w:lvl w:ilvl="0">
      <w:lvlJc w:val="left"/>
      <w:lvlText w:val="•"/>
      <w:numFmt w:val="bullet"/>
      <w:start w:val="1"/>
    </w:lvl>
  </w:abstractNum>
  <w:abstractNum w:abstractNumId="21">
    <w:nsid w:val="38A5D054"/>
    <w:multiLevelType w:val="hybridMultilevel"/>
    <w:lvl w:ilvl="0">
      <w:lvlJc w:val="left"/>
      <w:lvlText w:val="•"/>
      <w:numFmt w:val="bullet"/>
      <w:start w:val="1"/>
    </w:lvl>
    <w:lvl w:ilvl="1">
      <w:lvlJc w:val="left"/>
      <w:lvlText w:val="•"/>
      <w:numFmt w:val="bullet"/>
      <w:start w:val="1"/>
    </w:lvl>
  </w:abstractNum>
  <w:abstractNum w:abstractNumId="22">
    <w:nsid w:val="F3F09D8"/>
    <w:multiLevelType w:val="hybridMultilevel"/>
    <w:lvl w:ilvl="0">
      <w:lvlJc w:val="left"/>
      <w:lvlText w:val="•"/>
      <w:numFmt w:val="bullet"/>
      <w:start w:val="1"/>
    </w:lvl>
  </w:abstractNum>
  <w:abstractNum w:abstractNumId="23">
    <w:nsid w:val="4B793735"/>
    <w:multiLevelType w:val="hybridMultilevel"/>
    <w:lvl w:ilvl="0">
      <w:lvlJc w:val="left"/>
      <w:lvlText w:val="•"/>
      <w:numFmt w:val="bullet"/>
      <w:start w:val="1"/>
    </w:lvl>
  </w:abstractNum>
  <w:abstractNum w:abstractNumId="24">
    <w:nsid w:val="4A10B4E8"/>
    <w:multiLevelType w:val="hybridMultilevel"/>
    <w:lvl w:ilvl="0">
      <w:lvlJc w:val="left"/>
      <w:lvlText w:val="(%1)"/>
      <w:numFmt w:val="decimal"/>
      <w:start w:val="1"/>
    </w:lvl>
  </w:abstractNum>
  <w:abstractNum w:abstractNumId="25">
    <w:nsid w:val="43D3BCD4"/>
    <w:multiLevelType w:val="hybridMultilevel"/>
    <w:lvl w:ilvl="0">
      <w:lvlJc w:val="left"/>
      <w:lvlText w:val="•"/>
      <w:numFmt w:val="bullet"/>
      <w:start w:val="1"/>
    </w:lvl>
  </w:abstractNum>
  <w:abstractNum w:abstractNumId="26">
    <w:nsid w:val="4C2A7166"/>
    <w:multiLevelType w:val="hybridMultilevel"/>
    <w:lvl w:ilvl="0">
      <w:lvlJc w:val="left"/>
      <w:lvlText w:val="(%1)"/>
      <w:numFmt w:val="decimal"/>
      <w:start w:val="1"/>
    </w:lvl>
  </w:abstractNum>
  <w:abstractNum w:abstractNumId="27">
    <w:nsid w:val="2E534A82"/>
    <w:multiLevelType w:val="hybridMultilevel"/>
    <w:lvl w:ilvl="0">
      <w:lvlJc w:val="left"/>
      <w:lvlText w:val="(%1)"/>
      <w:numFmt w:val="decimal"/>
      <w:start w:val="1"/>
    </w:lvl>
  </w:abstractNum>
  <w:abstractNum w:abstractNumId="28">
    <w:nsid w:val="26F2D364"/>
    <w:multiLevelType w:val="hybridMultilevel"/>
    <w:lvl w:ilvl="0">
      <w:lvlJc w:val="left"/>
      <w:lvlText w:val="•"/>
      <w:numFmt w:val="bullet"/>
      <w:start w:val="1"/>
    </w:lvl>
  </w:abstractNum>
  <w:abstractNum w:abstractNumId="29">
    <w:nsid w:val="71C1AF98"/>
    <w:multiLevelType w:val="hybridMultilevel"/>
    <w:lvl w:ilvl="0">
      <w:lvlJc w:val="left"/>
      <w:lvlText w:val="•"/>
      <w:numFmt w:val="bullet"/>
      <w:start w:val="1"/>
    </w:lvl>
  </w:abstractNum>
  <w:abstractNum w:abstractNumId="30">
    <w:nsid w:val="3D00B9D9"/>
    <w:multiLevelType w:val="hybridMultilevel"/>
    <w:lvl w:ilvl="0">
      <w:lvlJc w:val="left"/>
      <w:lvlText w:val="•"/>
      <w:numFmt w:val="bullet"/>
      <w:start w:val="1"/>
    </w:lvl>
  </w:abstractNum>
  <w:abstractNum w:abstractNumId="31">
    <w:nsid w:val="15BCABA8"/>
    <w:multiLevelType w:val="hybridMultilevel"/>
    <w:lvl w:ilvl="0">
      <w:lvlJc w:val="left"/>
      <w:lvlText w:val="•"/>
      <w:numFmt w:val="bullet"/>
      <w:start w:val="1"/>
    </w:lvl>
  </w:abstractNum>
  <w:abstractNum w:abstractNumId="32">
    <w:nsid w:val="4E0B9A87"/>
    <w:multiLevelType w:val="hybridMultilevel"/>
    <w:lvl w:ilvl="0">
      <w:lvlJc w:val="left"/>
      <w:lvlText w:val="(%1)"/>
      <w:numFmt w:val="decimal"/>
      <w:start w:val="1"/>
    </w:lvl>
  </w:abstractNum>
  <w:abstractNum w:abstractNumId="33">
    <w:nsid w:val="434BAE75"/>
    <w:multiLevelType w:val="hybridMultilevel"/>
    <w:lvl w:ilvl="0">
      <w:lvlJc w:val="left"/>
      <w:lvlText w:val="%1"/>
      <w:numFmt w:val="upperLetter"/>
      <w:start w:val="53"/>
    </w:lvl>
  </w:abstractNum>
  <w:abstractNum w:abstractNumId="34">
    <w:nsid w:val="4F38F265"/>
    <w:multiLevelType w:val="hybridMultilevel"/>
    <w:lvl w:ilvl="0">
      <w:lvlJc w:val="left"/>
      <w:lvlText w:val="•"/>
      <w:numFmt w:val="bullet"/>
      <w:start w:val="1"/>
    </w:lvl>
  </w:abstractNum>
  <w:abstractNum w:abstractNumId="35">
    <w:nsid w:val="4C502870"/>
    <w:multiLevelType w:val="hybridMultilevel"/>
    <w:lvl w:ilvl="0">
      <w:lvlJc w:val="left"/>
      <w:lvlText w:val="•"/>
      <w:numFmt w:val="bullet"/>
      <w:start w:val="1"/>
    </w:lvl>
  </w:abstractNum>
  <w:abstractNum w:abstractNumId="36">
    <w:nsid w:val="1DE8725A"/>
    <w:multiLevelType w:val="hybridMultilevel"/>
    <w:lvl w:ilvl="0">
      <w:lvlJc w:val="left"/>
      <w:lvlText w:val="•"/>
      <w:numFmt w:val="bullet"/>
      <w:start w:val="1"/>
    </w:lvl>
  </w:abstractNum>
  <w:abstractNum w:abstractNumId="37">
    <w:nsid w:val="6A37288A"/>
    <w:multiLevelType w:val="hybridMultilevel"/>
    <w:lvl w:ilvl="0">
      <w:lvlJc w:val="left"/>
      <w:lvlText w:val="•"/>
      <w:numFmt w:val="bullet"/>
      <w:start w:val="1"/>
    </w:lvl>
  </w:abstractNum>
  <w:abstractNum w:abstractNumId="38">
    <w:nsid w:val="8F8B73F"/>
    <w:multiLevelType w:val="hybridMultilevel"/>
    <w:lvl w:ilvl="0">
      <w:lvlJc w:val="left"/>
      <w:lvlText w:val="•"/>
      <w:numFmt w:val="bullet"/>
      <w:start w:val="1"/>
    </w:lvl>
  </w:abstractNum>
  <w:abstractNum w:abstractNumId="39">
    <w:nsid w:val="CA6B462"/>
    <w:multiLevelType w:val="hybridMultilevel"/>
    <w:lvl w:ilvl="0">
      <w:lvlJc w:val="left"/>
      <w:lvlText w:val="•"/>
      <w:numFmt w:val="bullet"/>
      <w:start w:val="1"/>
    </w:lvl>
  </w:abstractNum>
  <w:abstractNum w:abstractNumId="40">
    <w:nsid w:val="763CB680"/>
    <w:multiLevelType w:val="hybridMultilevel"/>
    <w:lvl w:ilvl="0">
      <w:lvlJc w:val="left"/>
      <w:lvlText w:val="•"/>
      <w:numFmt w:val="bullet"/>
      <w:start w:val="1"/>
    </w:lvl>
  </w:abstractNum>
  <w:abstractNum w:abstractNumId="41">
    <w:nsid w:val="15B71329"/>
    <w:multiLevelType w:val="hybridMultilevel"/>
    <w:lvl w:ilvl="0">
      <w:lvlJc w:val="left"/>
      <w:lvlText w:val="(%1)"/>
      <w:numFmt w:val="decimal"/>
      <w:start w:val="1"/>
    </w:lvl>
    <w:lvl w:ilvl="1">
      <w:lvlJc w:val="left"/>
      <w:lvlText w:val="(%2)"/>
      <w:numFmt w:val="lowerRoman"/>
      <w:start w:val="1"/>
    </w:lvl>
  </w:abstractNum>
  <w:abstractNum w:abstractNumId="42">
    <w:nsid w:val="3DA97044"/>
    <w:multiLevelType w:val="hybridMultilevel"/>
    <w:lvl w:ilvl="0">
      <w:lvlJc w:val="left"/>
      <w:lvlText w:val="(%1)"/>
      <w:numFmt w:val="decimal"/>
      <w:start w:val="4"/>
    </w:lvl>
  </w:abstractNum>
  <w:abstractNum w:abstractNumId="43">
    <w:nsid w:val="1CDCE2DE"/>
    <w:multiLevelType w:val="hybridMultilevel"/>
    <w:lvl w:ilvl="0">
      <w:lvlJc w:val="left"/>
      <w:lvlText w:val="(%1)"/>
      <w:numFmt w:val="decimal"/>
      <w:start w:val="1"/>
    </w:lvl>
    <w:lvl w:ilvl="1">
      <w:lvlJc w:val="left"/>
      <w:lvlText w:val="(%2)"/>
      <w:numFmt w:val="lowerRoman"/>
      <w:start w:val="1"/>
    </w:lvl>
  </w:abstractNum>
  <w:abstractNum w:abstractNumId="44">
    <w:nsid w:val="69D3947C"/>
    <w:multiLevelType w:val="hybridMultilevel"/>
    <w:lvl w:ilvl="0">
      <w:lvlJc w:val="left"/>
      <w:lvlText w:val="(%1)"/>
      <w:numFmt w:val="lowerRoman"/>
      <w:start w:val="1"/>
    </w:lvl>
  </w:abstractNum>
  <w:abstractNum w:abstractNumId="45">
    <w:nsid w:val="2539DFA5"/>
    <w:multiLevelType w:val="hybridMultilevel"/>
    <w:lvl w:ilvl="0">
      <w:lvlJc w:val="left"/>
      <w:lvlText w:val="(%1)"/>
      <w:numFmt w:val="lowerRoman"/>
      <w:start w:val="1"/>
    </w:lvl>
  </w:abstractNum>
  <w:abstractNum w:abstractNumId="46">
    <w:nsid w:val="2DB88089"/>
    <w:multiLevelType w:val="hybridMultilevel"/>
    <w:lvl w:ilvl="0">
      <w:lvlJc w:val="left"/>
      <w:lvlText w:val="(%1)"/>
      <w:numFmt w:val="lowerRoman"/>
      <w:start w:val="1"/>
    </w:lvl>
  </w:abstractNum>
  <w:abstractNum w:abstractNumId="47">
    <w:nsid w:val="706B674E"/>
    <w:multiLevelType w:val="hybridMultilevel"/>
    <w:lvl w:ilvl="0">
      <w:lvlJc w:val="left"/>
      <w:lvlText w:val="(%1)"/>
      <w:numFmt w:val="lowerRoman"/>
      <w:start w:val="1"/>
    </w:lvl>
  </w:abstractNum>
  <w:abstractNum w:abstractNumId="48">
    <w:nsid w:val="2C106A57"/>
    <w:multiLevelType w:val="hybridMultilevel"/>
    <w:lvl w:ilvl="0">
      <w:lvlJc w:val="left"/>
      <w:lvlText w:val="(%1)"/>
      <w:numFmt w:val="decimal"/>
      <w:start w:val="1"/>
    </w:lvl>
  </w:abstractNum>
  <w:abstractNum w:abstractNumId="49">
    <w:nsid w:val="684EED59"/>
    <w:multiLevelType w:val="hybridMultilevel"/>
    <w:lvl w:ilvl="0">
      <w:lvlJc w:val="left"/>
      <w:lvlText w:val="(%1)"/>
      <w:numFmt w:val="decimal"/>
      <w:start w:val="1"/>
    </w:lvl>
    <w:lvl w:ilvl="1">
      <w:lvlJc w:val="left"/>
      <w:lvlText w:val="%2."/>
      <w:numFmt w:val="lowerLetter"/>
      <w:start w:val="1"/>
    </w:lvl>
  </w:abstractNum>
  <w:abstractNum w:abstractNumId="50">
    <w:nsid w:val="545EE5D3"/>
    <w:multiLevelType w:val="hybridMultilevel"/>
    <w:lvl w:ilvl="0">
      <w:lvlJc w:val="left"/>
      <w:lvlText w:val="(%1)"/>
      <w:numFmt w:val="decimal"/>
      <w:start w:val="3"/>
    </w:lvl>
    <w:lvl w:ilvl="1">
      <w:lvlJc w:val="left"/>
      <w:lvlText w:val="%2."/>
      <w:numFmt w:val="lowerLetter"/>
      <w:start w:val="1"/>
    </w:lvl>
  </w:abstractNum>
  <w:abstractNum w:abstractNumId="51">
    <w:nsid w:val="4A66051"/>
    <w:multiLevelType w:val="hybridMultilevel"/>
    <w:lvl w:ilvl="0">
      <w:lvlJc w:val="left"/>
      <w:lvlText w:val="(%1)"/>
      <w:numFmt w:val="lowerRoman"/>
      <w:start w:val="3"/>
    </w:lvl>
  </w:abstractNum>
  <w:abstractNum w:abstractNumId="52">
    <w:nsid w:val="20F4BDAD"/>
    <w:multiLevelType w:val="hybridMultilevel"/>
    <w:lvl w:ilvl="0">
      <w:lvlJc w:val="left"/>
      <w:lvlText w:val="(%1)"/>
      <w:numFmt w:val="decimal"/>
      <w:start w:val="1"/>
    </w:lvl>
  </w:abstractNum>
  <w:abstractNum w:abstractNumId="53">
    <w:nsid w:val="639DEFAC"/>
    <w:multiLevelType w:val="hybridMultilevel"/>
    <w:lvl w:ilvl="0">
      <w:lvlJc w:val="left"/>
      <w:lvlText w:val="(%1)"/>
      <w:numFmt w:val="decimal"/>
      <w:start w:val="1"/>
    </w:lvl>
  </w:abstractNum>
  <w:abstractNum w:abstractNumId="54">
    <w:nsid w:val="501F9786"/>
    <w:multiLevelType w:val="hybridMultilevel"/>
    <w:lvl w:ilvl="0">
      <w:lvlJc w:val="left"/>
      <w:lvlText w:val="(%1)"/>
      <w:numFmt w:val="decimal"/>
      <w:start w:val="1"/>
    </w:lvl>
  </w:abstractNum>
  <w:abstractNum w:abstractNumId="55">
    <w:nsid w:val="6B057295"/>
    <w:multiLevelType w:val="hybridMultilevel"/>
    <w:lvl w:ilvl="0">
      <w:lvlJc w:val="left"/>
      <w:lvlText w:val="(%1)"/>
      <w:numFmt w:val="decimal"/>
      <w:start w:val="1"/>
    </w:lvl>
  </w:abstractNum>
  <w:abstractNum w:abstractNumId="56">
    <w:nsid w:val="2771AC80"/>
    <w:multiLevelType w:val="hybridMultilevel"/>
    <w:lvl w:ilvl="0">
      <w:lvlJc w:val="left"/>
      <w:lvlText w:val="(%1)"/>
      <w:numFmt w:val="decimal"/>
      <w:start w:val="2"/>
    </w:lvl>
  </w:abstractNum>
  <w:abstractNum w:abstractNumId="57">
    <w:nsid w:val="1C4A08EC"/>
    <w:multiLevelType w:val="hybridMultilevel"/>
    <w:lvl w:ilvl="0">
      <w:lvlJc w:val="left"/>
      <w:lvlText w:val="(%1)"/>
      <w:numFmt w:val="decimal"/>
      <w:start w:val="1"/>
    </w:lvl>
  </w:abstractNum>
  <w:abstractNum w:abstractNumId="58">
    <w:nsid w:val="1958BD17"/>
    <w:multiLevelType w:val="hybridMultilevel"/>
    <w:lvl w:ilvl="0">
      <w:lvlJc w:val="left"/>
      <w:lvlText w:val="(%1)"/>
      <w:numFmt w:val="decimal"/>
      <w:start w:val="1"/>
    </w:lvl>
  </w:abstractNum>
  <w:abstractNum w:abstractNumId="59">
    <w:nsid w:val="4E647FE4"/>
    <w:multiLevelType w:val="hybridMultilevel"/>
    <w:lvl w:ilvl="0">
      <w:lvlJc w:val="left"/>
      <w:lvlText w:val="*"/>
      <w:numFmt w:val="bullet"/>
      <w:start w:val="1"/>
    </w:lvl>
  </w:abstractNum>
  <w:abstractNum w:abstractNumId="60">
    <w:nsid w:val="E0BB885"/>
    <w:multiLevelType w:val="hybridMultilevel"/>
    <w:lvl w:ilvl="0">
      <w:lvlJc w:val="left"/>
      <w:lvlText w:val="(%1)"/>
      <w:numFmt w:val="decimal"/>
      <w:start w:val="1"/>
    </w:lvl>
  </w:abstractNum>
  <w:abstractNum w:abstractNumId="61">
    <w:nsid w:val="565976F1"/>
    <w:multiLevelType w:val="hybridMultilevel"/>
    <w:lvl w:ilvl="0">
      <w:lvlJc w:val="left"/>
      <w:lvlText w:val="(%1)"/>
      <w:numFmt w:val="decimal"/>
      <w:start w:val="2"/>
    </w:lvl>
  </w:abstractNum>
  <w:abstractNum w:abstractNumId="62">
    <w:nsid w:val="64212B8C"/>
    <w:multiLevelType w:val="hybridMultilevel"/>
    <w:lvl w:ilvl="0">
      <w:lvlJc w:val="left"/>
      <w:lvlText w:val="(%1)"/>
      <w:numFmt w:val="decimal"/>
      <w:start w:val="14"/>
    </w:lvl>
  </w:abstractNum>
  <w:abstractNum w:abstractNumId="63">
    <w:nsid w:val="5C17530C"/>
    <w:multiLevelType w:val="hybridMultilevel"/>
    <w:lvl w:ilvl="0">
      <w:lvlJc w:val="left"/>
      <w:lvlText w:val="(%1)"/>
      <w:numFmt w:val="lowerLetter"/>
      <w:start w:val="2"/>
    </w:lvl>
  </w:abstractNum>
  <w:abstractNum w:abstractNumId="64">
    <w:nsid w:val="19A52566"/>
    <w:multiLevelType w:val="hybridMultilevel"/>
    <w:lvl w:ilvl="0">
      <w:lvlJc w:val="left"/>
      <w:lvlText w:val="(%1)"/>
      <w:numFmt w:val="lowerLetter"/>
      <w:start w:val="2"/>
    </w:lvl>
  </w:abstractNum>
  <w:abstractNum w:abstractNumId="65">
    <w:nsid w:val="335A1DF1"/>
    <w:multiLevelType w:val="hybridMultilevel"/>
    <w:lvl w:ilvl="0">
      <w:lvlJc w:val="left"/>
      <w:lvlText w:val="•"/>
      <w:numFmt w:val="bullet"/>
      <w:start w:val="1"/>
    </w:lvl>
  </w:abstractNum>
  <w:abstractNum w:abstractNumId="66">
    <w:nsid w:val="28677B7C"/>
    <w:multiLevelType w:val="hybridMultilevel"/>
    <w:lvl w:ilvl="0">
      <w:lvlJc w:val="left"/>
      <w:lvlText w:val="•"/>
      <w:numFmt w:val="bullet"/>
      <w:start w:val="1"/>
    </w:lvl>
  </w:abstractNum>
  <w:abstractNum w:abstractNumId="67">
    <w:nsid w:val="378D97C0"/>
    <w:multiLevelType w:val="hybridMultilevel"/>
    <w:lvl w:ilvl="0">
      <w:lvlJc w:val="left"/>
      <w:lvlText w:val="•"/>
      <w:numFmt w:val="bullet"/>
      <w:start w:val="1"/>
    </w:lvl>
  </w:abstractNum>
  <w:abstractNum w:abstractNumId="68">
    <w:nsid w:val="1D91467C"/>
    <w:multiLevelType w:val="hybridMultilevel"/>
    <w:lvl w:ilvl="0">
      <w:lvlJc w:val="left"/>
      <w:lvlText w:val="•"/>
      <w:numFmt w:val="bullet"/>
      <w:start w:val="1"/>
    </w:lvl>
  </w:abstractNum>
  <w:abstractNum w:abstractNumId="69">
    <w:nsid w:val="316032BB"/>
    <w:multiLevelType w:val="hybridMultilevel"/>
    <w:lvl w:ilvl="0">
      <w:lvlJc w:val="left"/>
      <w:lvlText w:val="•"/>
      <w:numFmt w:val="bullet"/>
      <w:start w:val="1"/>
    </w:lvl>
  </w:abstractNum>
  <w:abstractNum w:abstractNumId="70">
    <w:nsid w:val="44344C22"/>
    <w:multiLevelType w:val="hybridMultilevel"/>
    <w:lvl w:ilvl="0">
      <w:lvlJc w:val="left"/>
      <w:lvlText w:val="•"/>
      <w:numFmt w:val="bullet"/>
      <w:start w:val="1"/>
    </w:lvl>
  </w:abstractNum>
  <w:abstractNum w:abstractNumId="71">
    <w:nsid w:val="13CDFCFC"/>
    <w:multiLevelType w:val="hybridMultilevel"/>
    <w:lvl w:ilvl="0">
      <w:lvlJc w:val="left"/>
      <w:lvlText w:val="•"/>
      <w:numFmt w:val="bullet"/>
      <w:start w:val="1"/>
    </w:lvl>
  </w:abstractNum>
  <w:abstractNum w:abstractNumId="72">
    <w:nsid w:val="471745E4"/>
    <w:multiLevelType w:val="hybridMultilevel"/>
    <w:lvl w:ilvl="0">
      <w:lvlJc w:val="left"/>
      <w:lvlText w:val="•"/>
      <w:numFmt w:val="bullet"/>
      <w:start w:val="1"/>
    </w:lvl>
  </w:abstractNum>
  <w:abstractNum w:abstractNumId="73">
    <w:nsid w:val="1DDBC66"/>
    <w:multiLevelType w:val="hybridMultilevel"/>
    <w:lvl w:ilvl="0">
      <w:lvlJc w:val="left"/>
      <w:lvlText w:val="•"/>
      <w:numFmt w:val="bullet"/>
      <w:start w:val="1"/>
    </w:lvl>
  </w:abstractNum>
  <w:abstractNum w:abstractNumId="74">
    <w:nsid w:val="30AADFDA"/>
    <w:multiLevelType w:val="hybridMultilevel"/>
    <w:lvl w:ilvl="0">
      <w:lvlJc w:val="left"/>
      <w:lvlText w:val="•"/>
      <w:numFmt w:val="bullet"/>
      <w:start w:val="1"/>
    </w:lvl>
  </w:abstractNum>
  <w:abstractNum w:abstractNumId="75">
    <w:nsid w:val="30EADA61"/>
    <w:multiLevelType w:val="hybridMultilevel"/>
    <w:lvl w:ilvl="0">
      <w:lvlJc w:val="left"/>
      <w:lvlText w:val="•"/>
      <w:numFmt w:val="bullet"/>
      <w:start w:val="1"/>
    </w:lvl>
  </w:abstractNum>
  <w:abstractNum w:abstractNumId="76">
    <w:nsid w:val="27179C0B"/>
    <w:multiLevelType w:val="hybridMultilevel"/>
    <w:lvl w:ilvl="0">
      <w:lvlJc w:val="left"/>
      <w:lvlText w:val="•"/>
      <w:numFmt w:val="bullet"/>
      <w:start w:val="1"/>
    </w:lvl>
  </w:abstractNum>
  <w:abstractNum w:abstractNumId="77">
    <w:nsid w:val="5E636063"/>
    <w:multiLevelType w:val="hybridMultilevel"/>
    <w:lvl w:ilvl="0">
      <w:lvlJc w:val="left"/>
      <w:lvlText w:val="•"/>
      <w:numFmt w:val="bullet"/>
      <w:start w:val="1"/>
    </w:lvl>
  </w:abstractNum>
  <w:abstractNum w:abstractNumId="78">
    <w:nsid w:val="215641AF"/>
    <w:multiLevelType w:val="hybridMultilevel"/>
    <w:lvl w:ilvl="0">
      <w:lvlJc w:val="left"/>
      <w:lvlText w:val="•"/>
      <w:numFmt w:val="bullet"/>
      <w:start w:val="1"/>
    </w:lvl>
  </w:abstractNum>
  <w:abstractNum w:abstractNumId="79">
    <w:nsid w:val="53280662"/>
    <w:multiLevelType w:val="hybridMultilevel"/>
    <w:lvl w:ilvl="0">
      <w:lvlJc w:val="left"/>
      <w:lvlText w:val="•"/>
      <w:numFmt w:val="bullet"/>
      <w:start w:val="1"/>
    </w:lvl>
  </w:abstractNum>
  <w:abstractNum w:abstractNumId="80">
    <w:nsid w:val="46B24DBC"/>
    <w:multiLevelType w:val="hybridMultilevel"/>
    <w:lvl w:ilvl="0">
      <w:lvlJc w:val="left"/>
      <w:lvlText w:val="•"/>
      <w:numFmt w:val="bullet"/>
      <w:start w:val="1"/>
    </w:lvl>
  </w:abstractNum>
  <w:abstractNum w:abstractNumId="81">
    <w:nsid w:val="75B52783"/>
    <w:multiLevelType w:val="hybridMultilevel"/>
    <w:lvl w:ilvl="0">
      <w:lvlJc w:val="left"/>
      <w:lvlText w:val="•"/>
      <w:numFmt w:val="bullet"/>
      <w:start w:val="1"/>
    </w:lvl>
  </w:abstractNum>
  <w:abstractNum w:abstractNumId="82">
    <w:nsid w:val="57CE66B4"/>
    <w:multiLevelType w:val="hybridMultilevel"/>
    <w:lvl w:ilvl="0">
      <w:lvlJc w:val="left"/>
      <w:lvlText w:val="(%1)"/>
      <w:numFmt w:val="decimal"/>
      <w:start w:val="1"/>
    </w:lvl>
    <w:lvl w:ilvl="1">
      <w:lvlJc w:val="left"/>
      <w:lvlText w:val="(%2)"/>
      <w:numFmt w:val="lowerLetter"/>
      <w:start w:val="1"/>
    </w:lvl>
  </w:abstractNum>
  <w:abstractNum w:abstractNumId="83">
    <w:nsid w:val="67A70B69"/>
    <w:multiLevelType w:val="hybridMultilevel"/>
    <w:lvl w:ilvl="0">
      <w:lvlJc w:val="left"/>
      <w:lvlText w:val="(%1)"/>
      <w:numFmt w:val="decimal"/>
      <w:start w:val="1"/>
    </w:lvl>
  </w:abstractNum>
  <w:abstractNum w:abstractNumId="84">
    <w:nsid w:val="5953172F"/>
    <w:multiLevelType w:val="hybridMultilevel"/>
    <w:lvl w:ilvl="0">
      <w:lvlJc w:val="left"/>
      <w:lvlText w:val="(%1)"/>
      <w:numFmt w:val="decimal"/>
      <w:start w:val="1"/>
    </w:lvl>
  </w:abstractNum>
  <w:abstractNum w:abstractNumId="85">
    <w:nsid w:val="27EDFE3A"/>
    <w:multiLevelType w:val="hybridMultilevel"/>
    <w:lvl w:ilvl="0">
      <w:lvlJc w:val="left"/>
      <w:lvlText w:val="(%1)"/>
      <w:numFmt w:val="decimal"/>
      <w:start w:val="2"/>
    </w:lvl>
  </w:abstractNum>
  <w:abstractNum w:abstractNumId="86">
    <w:nsid w:val="52AC7DFF"/>
    <w:multiLevelType w:val="hybridMultilevel"/>
    <w:lvl w:ilvl="0">
      <w:lvlJc w:val="left"/>
      <w:lvlText w:val="(%1)"/>
      <w:numFmt w:val="decimal"/>
      <w:start w:val="1"/>
    </w:lvl>
  </w:abstractNum>
  <w:abstractNum w:abstractNumId="87">
    <w:nsid w:val="C4C3AF"/>
    <w:multiLevelType w:val="hybridMultilevel"/>
    <w:lvl w:ilvl="0">
      <w:lvlJc w:val="left"/>
      <w:lvlText w:val="(%1)"/>
      <w:numFmt w:val="decimal"/>
      <w:start w:val="1"/>
    </w:lvl>
  </w:abstractNum>
  <w:abstractNum w:abstractNumId="88">
    <w:nsid w:val="44380727"/>
    <w:multiLevelType w:val="hybridMultilevel"/>
    <w:lvl w:ilvl="0">
      <w:lvlJc w:val="left"/>
      <w:lvlText w:val="(%1)"/>
      <w:numFmt w:val="decimal"/>
      <w:start w:val="3"/>
    </w:lvl>
  </w:abstractNum>
  <w:abstractNum w:abstractNumId="89">
    <w:nsid w:val="6C053B16"/>
    <w:multiLevelType w:val="hybridMultilevel"/>
    <w:lvl w:ilvl="0">
      <w:lvlJc w:val="left"/>
      <w:lvlText w:val="(%1)"/>
      <w:numFmt w:val="decimal"/>
      <w:start w:val="1"/>
    </w:lvl>
  </w:abstractNum>
  <w:abstractNum w:abstractNumId="90">
    <w:nsid w:val="4F294393"/>
    <w:multiLevelType w:val="hybridMultilevel"/>
    <w:lvl w:ilvl="0">
      <w:lvlJc w:val="left"/>
      <w:lvlText w:val="(%1)"/>
      <w:numFmt w:val="decimal"/>
      <w:start w:val="1"/>
    </w:lvl>
  </w:abstractNum>
  <w:abstractNum w:abstractNumId="91">
    <w:nsid w:val="5243BFAC"/>
    <w:multiLevelType w:val="hybridMultilevel"/>
    <w:lvl w:ilvl="0">
      <w:lvlJc w:val="left"/>
      <w:lvlText w:val="%1"/>
      <w:numFmt w:val="upperLetter"/>
      <w:start w:val="1"/>
    </w:lvl>
    <w:lvl w:ilvl="1">
      <w:lvlJc w:val="left"/>
      <w:lvlText w:val="(%2)"/>
      <w:numFmt w:val="decimal"/>
      <w:start w:val="6"/>
    </w:lvl>
  </w:abstractNum>
  <w:abstractNum w:abstractNumId="92">
    <w:nsid w:val="425EB207"/>
    <w:multiLevelType w:val="hybridMultilevel"/>
    <w:lvl w:ilvl="0">
      <w:lvlJc w:val="left"/>
      <w:lvlText w:val="(%1)"/>
      <w:numFmt w:val="upperLetter"/>
      <w:start w:val="1"/>
    </w:lvl>
    <w:lvl w:ilvl="1">
      <w:lvlJc w:val="left"/>
      <w:lvlText w:val="(%2)"/>
      <w:numFmt w:val="decimal"/>
      <w:start w:val="7"/>
    </w:lvl>
  </w:abstractNum>
  <w:abstractNum w:abstractNumId="93">
    <w:nsid w:val="334A6F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2E5B12B8"/>
    <w:multiLevelType w:val="hybridMultilevel"/>
    <w:lvl w:ilvl="0">
      <w:lvlJc w:val="left"/>
      <w:lvlText w:val="(%1)"/>
      <w:numFmt w:val="decimal"/>
      <w:start w:val="1"/>
    </w:lvl>
  </w:abstractNum>
  <w:abstractNum w:abstractNumId="95">
    <w:nsid w:val="5C03D76D"/>
    <w:multiLevelType w:val="hybridMultilevel"/>
    <w:lvl w:ilvl="0">
      <w:lvlJc w:val="left"/>
      <w:lvlText w:val="(%1)"/>
      <w:numFmt w:val="decimal"/>
      <w:start w:val="1"/>
    </w:lvl>
  </w:abstractNum>
  <w:abstractNum w:abstractNumId="96">
    <w:nsid w:val="66A48D11"/>
    <w:multiLevelType w:val="hybridMultilevel"/>
    <w:lvl w:ilvl="0">
      <w:lvlJc w:val="left"/>
      <w:lvlText w:val="(%1)"/>
      <w:numFmt w:val="decimal"/>
      <w:start w:val="1"/>
    </w:lvl>
  </w:abstractNum>
  <w:abstractNum w:abstractNumId="97">
    <w:nsid w:val="56C28E34"/>
    <w:multiLevelType w:val="hybridMultilevel"/>
    <w:lvl w:ilvl="0">
      <w:lvlJc w:val="left"/>
      <w:lvlText w:val="(%1)"/>
      <w:numFmt w:val="decimal"/>
      <w:start w:val="3"/>
    </w:lvl>
    <w:lvl w:ilvl="1">
      <w:lvlJc w:val="left"/>
      <w:lvlText w:val="(%2)"/>
      <w:numFmt w:val="lowerLetter"/>
      <w:start w:val="1"/>
    </w:lvl>
  </w:abstractNum>
  <w:abstractNum w:abstractNumId="98">
    <w:nsid w:val="13916F2D"/>
    <w:multiLevelType w:val="hybridMultilevel"/>
    <w:lvl w:ilvl="0">
      <w:lvlJc w:val="left"/>
      <w:lvlText w:val="(%1)"/>
      <w:numFmt w:val="decimal"/>
      <w:start w:val="1"/>
    </w:lvl>
  </w:abstractNum>
  <w:abstractNum w:abstractNumId="99">
    <w:nsid w:val="435D38D"/>
    <w:multiLevelType w:val="hybridMultilevel"/>
    <w:lvl w:ilvl="0">
      <w:lvlJc w:val="left"/>
      <w:lvlText w:val="(%1)"/>
      <w:numFmt w:val="decimal"/>
      <w:start w:val="1"/>
    </w:lvl>
  </w:abstractNum>
  <w:abstractNum w:abstractNumId="100">
    <w:nsid w:val="822C0EF"/>
    <w:multiLevelType w:val="hybridMultilevel"/>
    <w:lvl w:ilvl="0">
      <w:lvlJc w:val="left"/>
      <w:lvlText w:val="%1"/>
      <w:numFmt w:val="lowerLetter"/>
      <w:start w:val="1"/>
    </w:lvl>
    <w:lvl w:ilvl="1">
      <w:lvlJc w:val="left"/>
      <w:lvlText w:val="(%2)"/>
      <w:numFmt w:val="decimal"/>
      <w:start w:val="1"/>
    </w:lvl>
  </w:abstractNum>
  <w:abstractNum w:abstractNumId="101">
    <w:nsid w:val="57C5BB4F"/>
    <w:multiLevelType w:val="hybridMultilevel"/>
    <w:lvl w:ilvl="0">
      <w:lvlJc w:val="left"/>
      <w:lvlText w:val="(%1)"/>
      <w:numFmt w:val="lowerLetter"/>
      <w:start w:val="2"/>
    </w:lvl>
    <w:lvl w:ilvl="1">
      <w:lvlJc w:val="left"/>
      <w:lvlText w:val="(%2)"/>
      <w:numFmt w:val="decimal"/>
      <w:start w:val="2"/>
    </w:lvl>
  </w:abstractNum>
  <w:abstractNum w:abstractNumId="102">
    <w:nsid w:val="1803D089"/>
    <w:multiLevelType w:val="hybridMultilevel"/>
    <w:lvl w:ilvl="0">
      <w:lvlJc w:val="left"/>
      <w:lvlText w:val="(%1)"/>
      <w:numFmt w:val="decimal"/>
      <w:start w:val="3"/>
    </w:lvl>
  </w:abstractNum>
  <w:abstractNum w:abstractNumId="103">
    <w:nsid w:val="4F3A06D4"/>
    <w:multiLevelType w:val="hybridMultilevel"/>
    <w:lvl w:ilvl="0">
      <w:lvlJc w:val="left"/>
      <w:lvlText w:val="(%1)"/>
      <w:numFmt w:val="decimal"/>
      <w:start w:val="1"/>
    </w:lvl>
  </w:abstractNum>
  <w:abstractNum w:abstractNumId="104">
    <w:nsid w:val="59A377B6"/>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105">
    <w:nsid w:val="48AEB063"/>
    <w:multiLevelType w:val="hybridMultilevel"/>
    <w:lvl w:ilvl="0">
      <w:lvlJc w:val="left"/>
      <w:lvlText w:val="(%1)"/>
      <w:numFmt w:val="lowerLetter"/>
      <w:start w:val="25"/>
    </w:lvl>
    <w:lvl w:ilvl="1">
      <w:lvlJc w:val="left"/>
      <w:lvlText w:val="(%2)"/>
      <w:numFmt w:val="lowerLetter"/>
      <w:start w:val="4"/>
    </w:lvl>
  </w:abstractNum>
  <w:abstractNum w:abstractNumId="106">
    <w:nsid w:val="24E135"/>
    <w:multiLevelType w:val="hybridMultilevel"/>
    <w:lvl w:ilvl="0">
      <w:lvlJc w:val="left"/>
      <w:lvlText w:val="(%1)"/>
      <w:numFmt w:val="lowerLetter"/>
      <w:start w:val="5"/>
    </w:lvl>
  </w:abstractNum>
  <w:abstractNum w:abstractNumId="107">
    <w:nsid w:val="BB13C1"/>
    <w:multiLevelType w:val="hybridMultilevel"/>
    <w:lvl w:ilvl="0">
      <w:lvlJc w:val="left"/>
      <w:lvlText w:val="(%1)"/>
      <w:numFmt w:val="decimal"/>
      <w:start w:val="1"/>
    </w:lvl>
  </w:abstractNum>
  <w:abstractNum w:abstractNumId="108">
    <w:nsid w:val="271210C7"/>
    <w:multiLevelType w:val="hybridMultilevel"/>
    <w:lvl w:ilvl="0">
      <w:lvlJc w:val="left"/>
      <w:lvlText w:val="(%1)"/>
      <w:numFmt w:val="decimal"/>
      <w:start w:val="7"/>
    </w:lvl>
  </w:abstractNum>
  <w:abstractNum w:abstractNumId="109">
    <w:nsid w:val="217B22E4"/>
    <w:multiLevelType w:val="hybridMultilevel"/>
    <w:lvl w:ilvl="0">
      <w:lvlJc w:val="left"/>
      <w:lvlText w:val="(%1)"/>
      <w:numFmt w:val="decimal"/>
      <w:start w:val="2"/>
    </w:lvl>
  </w:abstractNum>
  <w:abstractNum w:abstractNumId="110">
    <w:nsid w:val="53E31A24"/>
    <w:multiLevelType w:val="hybridMultilevel"/>
    <w:lvl w:ilvl="0">
      <w:lvlJc w:val="left"/>
      <w:lvlText w:val="%1"/>
      <w:numFmt w:val="lowerRoman"/>
      <w:start w:val="1"/>
    </w:lvl>
    <w:lvl w:ilvl="1">
      <w:lvlJc w:val="left"/>
      <w:lvlText w:val="(%2)"/>
      <w:numFmt w:val="decimal"/>
      <w:start w:val="1"/>
    </w:lvl>
  </w:abstractNum>
  <w:abstractNum w:abstractNumId="111">
    <w:nsid w:val="6DC45E83"/>
    <w:multiLevelType w:val="hybridMultilevel"/>
    <w:lvl w:ilvl="0">
      <w:lvlJc w:val="left"/>
      <w:lvlText w:val="(%1)"/>
      <w:numFmt w:val="lowerRoman"/>
      <w:start w:val="2"/>
    </w:lvl>
    <w:lvl w:ilvl="1">
      <w:lvlJc w:val="left"/>
      <w:lvlText w:val="(%2)"/>
      <w:numFmt w:val="decimal"/>
      <w:start w:val="2"/>
    </w:lvl>
  </w:abstractNum>
  <w:abstractNum w:abstractNumId="112">
    <w:nsid w:val="17304A67"/>
    <w:multiLevelType w:val="hybridMultilevel"/>
    <w:lvl w:ilvl="0">
      <w:lvlJc w:val="left"/>
      <w:lvlText w:val="(%1)"/>
      <w:numFmt w:val="decimal"/>
      <w:start w:val="4"/>
    </w:lvl>
    <w:lvl w:ilvl="1">
      <w:lvlJc w:val="left"/>
      <w:lvlText w:val="(%2)"/>
      <w:numFmt w:val="lowerLetter"/>
      <w:start w:val="1"/>
    </w:lvl>
  </w:abstractNum>
  <w:abstractNum w:abstractNumId="113">
    <w:nsid w:val="2BB180D8"/>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14">
    <w:nsid w:val="556B69ED"/>
    <w:multiLevelType w:val="hybridMultilevel"/>
    <w:lvl w:ilvl="0">
      <w:lvlJc w:val="left"/>
      <w:lvlText w:val="%1"/>
      <w:numFmt w:val="decimal"/>
      <w:start w:val="1"/>
    </w:lvl>
    <w:lvl w:ilvl="1">
      <w:lvlJc w:val="left"/>
      <w:lvlText w:val="(%2)"/>
      <w:numFmt w:val="lowerLetter"/>
      <w:start w:val="1"/>
    </w:lvl>
  </w:abstractNum>
  <w:abstractNum w:abstractNumId="115">
    <w:nsid w:val="70836196"/>
    <w:multiLevelType w:val="hybridMultilevel"/>
    <w:lvl w:ilvl="0">
      <w:lvlJc w:val="left"/>
      <w:lvlText w:val="(%1)"/>
      <w:numFmt w:val="decimal"/>
      <w:start w:val="11"/>
    </w:lvl>
    <w:lvl w:ilvl="1">
      <w:lvlJc w:val="left"/>
      <w:lvlText w:val="%2"/>
      <w:numFmt w:val="lowerLetter"/>
      <w:start w:val="1"/>
    </w:lvl>
  </w:abstractNum>
  <w:abstractNum w:abstractNumId="116">
    <w:nsid w:val="539F7F12"/>
    <w:multiLevelType w:val="hybridMultilevel"/>
    <w:lvl w:ilvl="0">
      <w:lvlJc w:val="left"/>
      <w:lvlText w:val="(%1)"/>
      <w:numFmt w:val="decimal"/>
      <w:start w:val="1"/>
    </w:lvl>
    <w:lvl w:ilvl="1">
      <w:lvlJc w:val="left"/>
      <w:lvlText w:val="(%2)"/>
      <w:numFmt w:val="lowerLetter"/>
      <w:start w:val="1"/>
    </w:lvl>
  </w:abstractNum>
  <w:abstractNum w:abstractNumId="117">
    <w:nsid w:val="2817E7EC"/>
    <w:multiLevelType w:val="hybridMultilevel"/>
    <w:lvl w:ilvl="0">
      <w:lvlJc w:val="left"/>
      <w:lvlText w:val="(%1)"/>
      <w:numFmt w:val="decimal"/>
      <w:start w:val="1"/>
    </w:lvl>
  </w:abstractNum>
  <w:abstractNum w:abstractNumId="118">
    <w:nsid w:val="71482545"/>
    <w:multiLevelType w:val="hybridMultilevel"/>
    <w:lvl w:ilvl="0">
      <w:lvlJc w:val="left"/>
      <w:lvlText w:val="(%1)"/>
      <w:numFmt w:val="decimal"/>
      <w:start w:val="1"/>
    </w:lvl>
  </w:abstractNum>
  <w:abstractNum w:abstractNumId="119">
    <w:nsid w:val="17D78639"/>
    <w:multiLevelType w:val="hybridMultilevel"/>
    <w:lvl w:ilvl="0">
      <w:lvlJc w:val="left"/>
      <w:lvlText w:val="(%1)"/>
      <w:numFmt w:val="decimal"/>
      <w:start w:val="6"/>
    </w:lvl>
  </w:abstractNum>
  <w:abstractNum w:abstractNumId="120">
    <w:nsid w:val="141D2302"/>
    <w:multiLevelType w:val="hybridMultilevel"/>
    <w:lvl w:ilvl="0">
      <w:lvlJc w:val="left"/>
      <w:lvlText w:val="(%1)"/>
      <w:numFmt w:val="decimal"/>
      <w:start w:val="1"/>
    </w:lvl>
    <w:lvl w:ilvl="1">
      <w:lvlJc w:val="left"/>
      <w:lvlText w:val="(%2)"/>
      <w:numFmt w:val="lowerLetter"/>
      <w:start w:val="1"/>
    </w:lvl>
  </w:abstractNum>
  <w:abstractNum w:abstractNumId="121">
    <w:nsid w:val="407168D8"/>
    <w:multiLevelType w:val="hybridMultilevel"/>
    <w:lvl w:ilvl="0">
      <w:lvlJc w:val="left"/>
      <w:lvlText w:val="(%1)"/>
      <w:numFmt w:val="decimal"/>
      <w:start w:val="1"/>
    </w:lvl>
  </w:abstractNum>
  <w:abstractNum w:abstractNumId="122">
    <w:nsid w:val="6A1B45E5"/>
    <w:multiLevelType w:val="hybridMultilevel"/>
    <w:lvl w:ilvl="0">
      <w:lvlJc w:val="left"/>
      <w:lvlText w:val="(%1)"/>
      <w:numFmt w:val="decimal"/>
      <w:start w:val="2"/>
    </w:lvl>
    <w:lvl w:ilvl="1">
      <w:lvlJc w:val="left"/>
      <w:lvlText w:val="(%2)"/>
      <w:numFmt w:val="lowerLetter"/>
      <w:start w:val="1"/>
    </w:lvl>
  </w:abstractNum>
  <w:abstractNum w:abstractNumId="123">
    <w:nsid w:val="567BD50A"/>
    <w:multiLevelType w:val="hybridMultilevel"/>
    <w:lvl w:ilvl="0">
      <w:lvlJc w:val="left"/>
      <w:lvlText w:val="(%1)"/>
      <w:numFmt w:val="decimal"/>
      <w:start w:val="1"/>
    </w:lvl>
  </w:abstractNum>
  <w:abstractNum w:abstractNumId="124">
    <w:nsid w:val="73BBD7F8"/>
    <w:multiLevelType w:val="hybridMultilevel"/>
    <w:lvl w:ilvl="0">
      <w:lvlJc w:val="left"/>
      <w:lvlText w:val="(%1)"/>
      <w:numFmt w:val="decimal"/>
      <w:start w:val="7"/>
    </w:lvl>
  </w:abstractNum>
  <w:abstractNum w:abstractNumId="125">
    <w:nsid w:val="1876589D"/>
    <w:multiLevelType w:val="hybridMultilevel"/>
    <w:lvl w:ilvl="0">
      <w:lvlJc w:val="left"/>
      <w:lvlText w:val="(%1)"/>
      <w:numFmt w:val="decimal"/>
      <w:start w:val="1"/>
    </w:lvl>
  </w:abstractNum>
  <w:abstractNum w:abstractNumId="126">
    <w:nsid w:val="327FAC77"/>
    <w:multiLevelType w:val="hybridMultilevel"/>
    <w:lvl w:ilvl="0">
      <w:lvlJc w:val="left"/>
      <w:lvlText w:val="(%1)"/>
      <w:numFmt w:val="decimal"/>
      <w:start w:val="1"/>
    </w:lvl>
  </w:abstractNum>
  <w:abstractNum w:abstractNumId="127">
    <w:nsid w:val="5A606509"/>
    <w:multiLevelType w:val="hybridMultilevel"/>
    <w:lvl w:ilvl="0">
      <w:lvlJc w:val="left"/>
      <w:lvlText w:val="(%1)"/>
      <w:numFmt w:val="decimal"/>
      <w:start w:val="3"/>
    </w:lvl>
  </w:abstractNum>
  <w:abstractNum w:abstractNumId="128">
    <w:nsid w:val="6F38E6D1"/>
    <w:multiLevelType w:val="hybridMultilevel"/>
    <w:lvl w:ilvl="0">
      <w:lvlJc w:val="left"/>
      <w:lvlText w:val="(%1)"/>
      <w:numFmt w:val="decimal"/>
      <w:start w:val="1"/>
    </w:lvl>
  </w:abstractNum>
  <w:abstractNum w:abstractNumId="129">
    <w:nsid w:val="46111BA5"/>
    <w:multiLevelType w:val="hybridMultilevel"/>
    <w:lvl w:ilvl="0">
      <w:lvlJc w:val="left"/>
      <w:lvlText w:val="(%1)"/>
      <w:numFmt w:val="decimal"/>
      <w:start w:val="1"/>
    </w:lvl>
    <w:lvl w:ilvl="1">
      <w:lvlJc w:val="left"/>
      <w:lvlText w:val="(%2)"/>
      <w:numFmt w:val="lowerLetter"/>
      <w:start w:val="1"/>
    </w:lvl>
  </w:abstractNum>
  <w:abstractNum w:abstractNumId="130">
    <w:nsid w:val="5E963896"/>
    <w:multiLevelType w:val="hybridMultilevel"/>
    <w:lvl w:ilvl="0">
      <w:lvlJc w:val="left"/>
      <w:lvlText w:val="(%1)"/>
      <w:numFmt w:val="decimal"/>
      <w:start w:val="1"/>
    </w:lvl>
  </w:abstractNum>
  <w:abstractNum w:abstractNumId="131">
    <w:nsid w:val="775BA7C1"/>
    <w:multiLevelType w:val="hybridMultilevel"/>
    <w:lvl w:ilvl="0">
      <w:lvlJc w:val="left"/>
      <w:lvlText w:val="(%1)"/>
      <w:numFmt w:val="decimal"/>
      <w:start w:val="1"/>
    </w:lvl>
  </w:abstractNum>
  <w:abstractNum w:abstractNumId="132">
    <w:nsid w:val="1DD6D6F4"/>
    <w:multiLevelType w:val="hybridMultilevel"/>
    <w:lvl w:ilvl="0">
      <w:lvlJc w:val="left"/>
      <w:lvlText w:val="(%1)"/>
      <w:numFmt w:val="decimal"/>
      <w:start w:val="1"/>
    </w:lvl>
  </w:abstractNum>
  <w:abstractNum w:abstractNumId="133">
    <w:nsid w:val="769A091F"/>
    <w:multiLevelType w:val="hybridMultilevel"/>
    <w:lvl w:ilvl="0">
      <w:lvlJc w:val="left"/>
      <w:lvlText w:val="(%1)"/>
      <w:numFmt w:val="decimal"/>
      <w:start w:val="1"/>
    </w:lvl>
    <w:lvl w:ilvl="1">
      <w:lvlJc w:val="left"/>
      <w:lvlText w:val="(%2)"/>
      <w:numFmt w:val="lowerLetter"/>
      <w:start w:val="2"/>
    </w:lvl>
  </w:abstractNum>
  <w:abstractNum w:abstractNumId="134">
    <w:nsid w:val="4695AE95"/>
    <w:multiLevelType w:val="hybridMultilevel"/>
    <w:lvl w:ilvl="0">
      <w:lvlJc w:val="left"/>
      <w:lvlText w:val="(%1)"/>
      <w:numFmt w:val="decimal"/>
      <w:start w:val="2"/>
    </w:lvl>
    <w:lvl w:ilvl="1">
      <w:lvlJc w:val="left"/>
      <w:lvlText w:val="(%2)"/>
      <w:numFmt w:val="lowerLetter"/>
      <w:start w:val="1"/>
    </w:lvl>
  </w:abstractNum>
  <w:abstractNum w:abstractNumId="135">
    <w:nsid w:val="777A4EAA"/>
    <w:multiLevelType w:val="hybridMultilevel"/>
    <w:lvl w:ilvl="0">
      <w:lvlJc w:val="left"/>
      <w:lvlText w:val="(%1)"/>
      <w:numFmt w:val="decimal"/>
      <w:start w:val="1"/>
    </w:lvl>
  </w:abstractNum>
  <w:abstractNum w:abstractNumId="136">
    <w:nsid w:val="3F48B982"/>
    <w:multiLevelType w:val="hybridMultilevel"/>
    <w:lvl w:ilvl="0">
      <w:lvlJc w:val="left"/>
      <w:lvlText w:val="(%1)"/>
      <w:numFmt w:val="decimal"/>
      <w:start w:val="2"/>
    </w:lvl>
    <w:lvl w:ilvl="1">
      <w:lvlJc w:val="left"/>
      <w:lvlText w:val="(%2)"/>
      <w:numFmt w:val="lowerLetter"/>
      <w:start w:val="1"/>
    </w:lvl>
  </w:abstractNum>
  <w:abstractNum w:abstractNumId="137">
    <w:nsid w:val="46BA8FCA"/>
    <w:multiLevelType w:val="hybridMultilevel"/>
    <w:lvl w:ilvl="0">
      <w:lvlJc w:val="left"/>
      <w:lvlText w:val="(%1)"/>
      <w:numFmt w:val="decimal"/>
      <w:start w:val="1"/>
    </w:lvl>
  </w:abstractNum>
  <w:abstractNum w:abstractNumId="138">
    <w:nsid w:val="7835626C"/>
    <w:multiLevelType w:val="hybridMultilevel"/>
    <w:lvl w:ilvl="0">
      <w:lvlJc w:val="left"/>
      <w:lvlText w:val="(%1)"/>
      <w:numFmt w:val="decimal"/>
      <w:start w:val="1"/>
    </w:lvl>
  </w:abstractNum>
  <w:abstractNum w:abstractNumId="139">
    <w:nsid w:val="665ACA49"/>
    <w:multiLevelType w:val="hybridMultilevel"/>
    <w:lvl w:ilvl="0">
      <w:lvlJc w:val="left"/>
      <w:lvlText w:val="(%1)"/>
      <w:numFmt w:val="decimal"/>
      <w:start w:val="1"/>
    </w:lvl>
    <w:lvl w:ilvl="1">
      <w:lvlJc w:val="left"/>
      <w:lvlText w:val="(%2)"/>
      <w:numFmt w:val="lowerLetter"/>
      <w:start w:val="1"/>
    </w:lvl>
  </w:abstractNum>
  <w:abstractNum w:abstractNumId="140">
    <w:nsid w:val="6835B2AE"/>
    <w:multiLevelType w:val="hybridMultilevel"/>
    <w:lvl w:ilvl="0">
      <w:lvlJc w:val="left"/>
      <w:lvlText w:val="%1"/>
      <w:numFmt w:val="decimal"/>
      <w:start w:val="1"/>
    </w:lvl>
    <w:lvl w:ilvl="1">
      <w:lvlJc w:val="left"/>
      <w:lvlText w:val="(%2)"/>
      <w:numFmt w:val="lowerLetter"/>
      <w:start w:val="2"/>
    </w:lvl>
  </w:abstractNum>
  <w:abstractNum w:abstractNumId="141">
    <w:nsid w:val="4C187C90"/>
    <w:multiLevelType w:val="hybridMultilevel"/>
    <w:lvl w:ilvl="0">
      <w:lvlJc w:val="left"/>
      <w:lvlText w:val="(%1)"/>
      <w:numFmt w:val="decimal"/>
      <w:start w:val="4"/>
    </w:lvl>
    <w:lvl w:ilvl="1">
      <w:lvlJc w:val="left"/>
      <w:lvlText w:val="(%2)"/>
      <w:numFmt w:val="lowerLetter"/>
      <w:start w:val="1"/>
    </w:lvl>
  </w:abstractNum>
  <w:abstractNum w:abstractNumId="142">
    <w:nsid w:val="541F28CD"/>
    <w:multiLevelType w:val="hybridMultilevel"/>
    <w:lvl w:ilvl="0">
      <w:lvlJc w:val="left"/>
      <w:lvlText w:val="(%1)"/>
      <w:numFmt w:val="decimal"/>
      <w:start w:val="11"/>
    </w:lvl>
  </w:abstractNum>
  <w:abstractNum w:abstractNumId="143">
    <w:nsid w:val="7F65FD16"/>
    <w:multiLevelType w:val="hybridMultilevel"/>
    <w:lvl w:ilvl="0">
      <w:lvlJc w:val="left"/>
      <w:lvlText w:val="(%1)"/>
      <w:numFmt w:val="decimal"/>
      <w:start w:val="1"/>
    </w:lvl>
  </w:abstractNum>
  <w:abstractNum w:abstractNumId="144">
    <w:nsid w:val="77C9FD68"/>
    <w:multiLevelType w:val="hybridMultilevel"/>
    <w:lvl w:ilvl="0">
      <w:lvlJc w:val="left"/>
      <w:lvlText w:val="(%1)"/>
      <w:numFmt w:val="decimal"/>
      <w:start w:val="1"/>
    </w:lvl>
  </w:abstractNum>
  <w:abstractNum w:abstractNumId="145">
    <w:nsid w:val="298A92BA"/>
    <w:multiLevelType w:val="hybridMultilevel"/>
    <w:lvl w:ilvl="0">
      <w:lvlJc w:val="left"/>
      <w:lvlText w:val="(%1)"/>
      <w:numFmt w:val="decimal"/>
      <w:start w:val="1"/>
    </w:lvl>
  </w:abstractNum>
  <w:abstractNum w:abstractNumId="146">
    <w:nsid w:val="6FE95EAC"/>
    <w:multiLevelType w:val="hybridMultilevel"/>
    <w:lvl w:ilvl="0">
      <w:lvlJc w:val="left"/>
      <w:lvlText w:val="%1"/>
      <w:numFmt w:val="lowerLetter"/>
      <w:start w:val="1"/>
    </w:lvl>
    <w:lvl w:ilvl="1">
      <w:lvlJc w:val="left"/>
      <w:lvlText w:val="(%2)"/>
      <w:numFmt w:val="decimal"/>
      <w:start w:val="1"/>
    </w:lvl>
  </w:abstractNum>
  <w:abstractNum w:abstractNumId="147">
    <w:nsid w:val="4B697C7A"/>
    <w:multiLevelType w:val="hybridMultilevel"/>
    <w:lvl w:ilvl="0">
      <w:lvlJc w:val="left"/>
      <w:lvlText w:val="(%1)"/>
      <w:numFmt w:val="lowerLetter"/>
      <w:start w:val="1"/>
    </w:lvl>
    <w:lvl w:ilvl="1">
      <w:lvlJc w:val="left"/>
      <w:lvlText w:val="(%2)"/>
      <w:numFmt w:val="decimal"/>
      <w:start w:val="3"/>
    </w:lvl>
  </w:abstractNum>
  <w:abstractNum w:abstractNumId="148">
    <w:nsid w:val="51A27AA6"/>
    <w:multiLevelType w:val="hybridMultilevel"/>
    <w:lvl w:ilvl="0">
      <w:lvlJc w:val="left"/>
      <w:lvlText w:val="(%1)"/>
      <w:numFmt w:val="decimal"/>
      <w:start w:val="5"/>
    </w:lvl>
  </w:abstractNum>
  <w:abstractNum w:abstractNumId="149">
    <w:nsid w:val="613183F2"/>
    <w:multiLevelType w:val="hybridMultilevel"/>
    <w:lvl w:ilvl="0">
      <w:lvlJc w:val="left"/>
      <w:lvlText w:val="(%1)"/>
      <w:numFmt w:val="decimal"/>
      <w:start w:val="1"/>
    </w:lvl>
  </w:abstractNum>
  <w:abstractNum w:abstractNumId="150">
    <w:nsid w:val="634102B4"/>
    <w:multiLevelType w:val="hybridMultilevel"/>
    <w:lvl w:ilvl="0">
      <w:lvlJc w:val="left"/>
      <w:lvlText w:val="(%1)"/>
      <w:numFmt w:val="decimal"/>
      <w:start w:val="5"/>
    </w:lvl>
  </w:abstractNum>
  <w:abstractNum w:abstractNumId="151">
    <w:nsid w:val="65BF9DA8"/>
    <w:multiLevelType w:val="hybridMultilevel"/>
    <w:lvl w:ilvl="0">
      <w:lvlJc w:val="left"/>
      <w:lvlText w:val="%1"/>
      <w:numFmt w:val="lowerLetter"/>
      <w:start w:val="1"/>
    </w:lvl>
    <w:lvl w:ilvl="1">
      <w:lvlJc w:val="left"/>
      <w:lvlText w:val="(%2)"/>
      <w:numFmt w:val="decimal"/>
      <w:start w:val="1"/>
    </w:lvl>
  </w:abstractNum>
  <w:abstractNum w:abstractNumId="152">
    <w:nsid w:val="21A2ECCA"/>
    <w:multiLevelType w:val="hybridMultilevel"/>
    <w:lvl w:ilvl="0">
      <w:lvlJc w:val="left"/>
      <w:lvlText w:val="(%1)"/>
      <w:numFmt w:val="lowerLetter"/>
      <w:start w:val="1"/>
    </w:lvl>
    <w:lvl w:ilvl="1">
      <w:lvlJc w:val="left"/>
      <w:lvlText w:val="(%2)"/>
      <w:numFmt w:val="decimal"/>
      <w:start w:val="10"/>
    </w:lvl>
  </w:abstractNum>
  <w:abstractNum w:abstractNumId="153">
    <w:nsid w:val="4D5C4899"/>
    <w:multiLevelType w:val="hybridMultilevel"/>
    <w:lvl w:ilvl="0">
      <w:lvlJc w:val="left"/>
      <w:lvlText w:val="(%1)"/>
      <w:numFmt w:val="decimal"/>
      <w:start w:val="1"/>
    </w:lvl>
  </w:abstractNum>
  <w:abstractNum w:abstractNumId="154">
    <w:nsid w:val="3C3B72B2"/>
    <w:multiLevelType w:val="hybridMultilevel"/>
    <w:lvl w:ilvl="0">
      <w:lvlJc w:val="left"/>
      <w:lvlText w:val="(%1)"/>
      <w:numFmt w:val="decimal"/>
      <w:start w:val="7"/>
    </w:lvl>
  </w:abstractNum>
  <w:abstractNum w:abstractNumId="155">
    <w:nsid w:val="155EC4C2"/>
    <w:multiLevelType w:val="hybridMultilevel"/>
    <w:lvl w:ilvl="0">
      <w:lvlJc w:val="left"/>
      <w:lvlText w:val="(%1)"/>
      <w:numFmt w:val="decimal"/>
      <w:start w:val="1"/>
    </w:lvl>
    <w:lvl w:ilvl="1">
      <w:lvlJc w:val="left"/>
      <w:lvlText w:val="(%2)"/>
      <w:numFmt w:val="lowerLetter"/>
      <w:start w:val="1"/>
    </w:lvl>
  </w:abstractNum>
  <w:abstractNum w:abstractNumId="156">
    <w:nsid w:val="65D2A137"/>
    <w:multiLevelType w:val="hybridMultilevel"/>
    <w:lvl w:ilvl="0">
      <w:lvlJc w:val="left"/>
      <w:lvlText w:val="(%1)"/>
      <w:numFmt w:val="decimal"/>
      <w:start w:val="1"/>
    </w:lvl>
  </w:abstractNum>
  <w:abstractNum w:abstractNumId="157">
    <w:nsid w:val="6EBB1F2A"/>
    <w:multiLevelType w:val="hybridMultilevel"/>
    <w:lvl w:ilvl="0">
      <w:lvlJc w:val="left"/>
      <w:lvlText w:val="(%1)"/>
      <w:numFmt w:val="decimal"/>
      <w:start w:val="1"/>
    </w:lvl>
  </w:abstractNum>
  <w:abstractNum w:abstractNumId="158">
    <w:nsid w:val="6FBF29CB"/>
    <w:multiLevelType w:val="hybridMultilevel"/>
    <w:lvl w:ilvl="0">
      <w:lvlJc w:val="left"/>
      <w:lvlText w:val="(%1)"/>
      <w:numFmt w:val="decimal"/>
      <w:start w:val="1"/>
    </w:lvl>
  </w:abstractNum>
  <w:abstractNum w:abstractNumId="159">
    <w:nsid w:val="550B8808"/>
    <w:multiLevelType w:val="hybridMultilevel"/>
    <w:lvl w:ilvl="0">
      <w:lvlJc w:val="left"/>
      <w:lvlText w:val="(%1)"/>
      <w:numFmt w:val="decimal"/>
      <w:start w:val="1"/>
    </w:lvl>
  </w:abstractNum>
  <w:abstractNum w:abstractNumId="160">
    <w:nsid w:val="34CC3ACF"/>
    <w:multiLevelType w:val="hybridMultilevel"/>
    <w:lvl w:ilvl="0">
      <w:lvlJc w:val="left"/>
      <w:lvlText w:val="(%1)"/>
      <w:numFmt w:val="decimal"/>
      <w:start w:val="1"/>
    </w:lvl>
  </w:abstractNum>
  <w:abstractNum w:abstractNumId="161">
    <w:nsid w:val="4E556261"/>
    <w:multiLevelType w:val="hybridMultilevel"/>
    <w:lvl w:ilvl="0">
      <w:lvlJc w:val="left"/>
      <w:lvlText w:val="(%1)"/>
      <w:numFmt w:val="decimal"/>
      <w:start w:val="1"/>
    </w:lvl>
  </w:abstractNum>
  <w:abstractNum w:abstractNumId="162">
    <w:nsid w:val="4C672FC9"/>
    <w:multiLevelType w:val="hybridMultilevel"/>
    <w:lvl w:ilvl="0">
      <w:lvlJc w:val="left"/>
      <w:lvlText w:val="(%1)"/>
      <w:numFmt w:val="decimal"/>
      <w:start w:val="2"/>
    </w:lvl>
  </w:abstractNum>
  <w:abstractNum w:abstractNumId="163">
    <w:nsid w:val="52A311C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4">
    <w:nsid w:val="44EF6B80"/>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65">
    <w:nsid w:val="12FCDE5E"/>
    <w:multiLevelType w:val="hybridMultilevel"/>
    <w:lvl w:ilvl="0">
      <w:lvlJc w:val="left"/>
      <w:lvlText w:val="(%1)"/>
      <w:numFmt w:val="decimal"/>
      <w:start w:val="14"/>
    </w:lvl>
  </w:abstractNum>
  <w:abstractNum w:abstractNumId="166">
    <w:nsid w:val="4A1D606E"/>
    <w:multiLevelType w:val="hybridMultilevel"/>
    <w:lvl w:ilvl="0">
      <w:lvlJc w:val="left"/>
      <w:lvlText w:val="(%1)"/>
      <w:numFmt w:val="decimal"/>
      <w:start w:val="1"/>
    </w:lvl>
  </w:abstractNum>
  <w:abstractNum w:abstractNumId="167">
    <w:nsid w:val="4382503"/>
    <w:multiLevelType w:val="hybridMultilevel"/>
    <w:lvl w:ilvl="0">
      <w:lvlJc w:val="left"/>
      <w:lvlText w:val="(%1)"/>
      <w:numFmt w:val="decimal"/>
      <w:start w:val="1"/>
    </w:lvl>
  </w:abstractNum>
  <w:abstractNum w:abstractNumId="168">
    <w:nsid w:val="59B76E28"/>
    <w:multiLevelType w:val="hybridMultilevel"/>
    <w:lvl w:ilvl="0">
      <w:lvlJc w:val="left"/>
      <w:lvlText w:val="(%1)"/>
      <w:numFmt w:val="decimal"/>
      <w:start w:val="3"/>
    </w:lvl>
  </w:abstractNum>
  <w:abstractNum w:abstractNumId="169">
    <w:nsid w:val="4252C2DA"/>
    <w:multiLevelType w:val="hybridMultilevel"/>
    <w:lvl w:ilvl="0">
      <w:lvlJc w:val="left"/>
      <w:lvlText w:val="(%1)"/>
      <w:numFmt w:val="decimal"/>
      <w:start w:val="1"/>
    </w:lvl>
  </w:abstractNum>
  <w:abstractNum w:abstractNumId="170">
    <w:nsid w:val="6A92EF4C"/>
    <w:multiLevelType w:val="hybridMultilevel"/>
    <w:lvl w:ilvl="0">
      <w:lvlJc w:val="left"/>
      <w:lvlText w:val="(%1)"/>
      <w:numFmt w:val="decimal"/>
      <w:start w:val="1"/>
    </w:lvl>
    <w:lvl w:ilvl="1">
      <w:lvlJc w:val="left"/>
      <w:lvlText w:val="(%2)"/>
      <w:numFmt w:val="lowerLetter"/>
      <w:start w:val="1"/>
    </w:lvl>
  </w:abstractNum>
  <w:abstractNum w:abstractNumId="171">
    <w:nsid w:val="41ED20D7"/>
    <w:multiLevelType w:val="hybridMultilevel"/>
    <w:lvl w:ilvl="0">
      <w:lvlJc w:val="left"/>
      <w:lvlText w:val="(%1)"/>
      <w:numFmt w:val="decimal"/>
      <w:start w:val="4"/>
    </w:lvl>
  </w:abstractNum>
  <w:abstractNum w:abstractNumId="172">
    <w:nsid w:val="E6B3F6A"/>
    <w:multiLevelType w:val="hybridMultilevel"/>
    <w:lvl w:ilvl="0">
      <w:lvlJc w:val="left"/>
      <w:lvlText w:val="(%1)"/>
      <w:numFmt w:val="decimal"/>
      <w:start w:val="1"/>
    </w:lvl>
  </w:abstractNum>
  <w:abstractNum w:abstractNumId="173">
    <w:nsid w:val="3EB21819"/>
    <w:multiLevelType w:val="hybridMultilevel"/>
    <w:lvl w:ilvl="0">
      <w:lvlJc w:val="left"/>
      <w:lvlText w:val="(%1)"/>
      <w:numFmt w:val="decimal"/>
      <w:start w:val="1"/>
    </w:lvl>
  </w:abstractNum>
  <w:abstractNum w:abstractNumId="174">
    <w:nsid w:val="41531DED"/>
    <w:multiLevelType w:val="hybridMultilevel"/>
    <w:lvl w:ilvl="0">
      <w:lvlJc w:val="left"/>
      <w:lvlText w:val="(%1)"/>
      <w:numFmt w:val="lowerLetter"/>
      <w:start w:val="1"/>
    </w:lvl>
  </w:abstractNum>
  <w:abstractNum w:abstractNumId="175">
    <w:nsid w:val="6353CD2"/>
    <w:multiLevelType w:val="hybridMultilevel"/>
    <w:lvl w:ilvl="0">
      <w:lvlJc w:val="left"/>
      <w:lvlText w:val="(%1)"/>
      <w:numFmt w:val="decimal"/>
      <w:start w:val="1"/>
    </w:lvl>
  </w:abstractNum>
  <w:abstractNum w:abstractNumId="176">
    <w:nsid w:val="683CAAD3"/>
    <w:multiLevelType w:val="hybridMultilevel"/>
    <w:lvl w:ilvl="0">
      <w:lvlJc w:val="left"/>
      <w:lvlText w:val="(%1)"/>
      <w:numFmt w:val="decimal"/>
      <w:start w:val="1"/>
    </w:lvl>
  </w:abstractNum>
  <w:abstractNum w:abstractNumId="177">
    <w:nsid w:val="313C7C99"/>
    <w:multiLevelType w:val="hybridMultilevel"/>
    <w:lvl w:ilvl="0">
      <w:lvlJc w:val="left"/>
      <w:lvlText w:val="(%1)"/>
      <w:numFmt w:val="decimal"/>
      <w:start w:val="1"/>
    </w:lvl>
  </w:abstractNum>
  <w:abstractNum w:abstractNumId="178">
    <w:nsid w:val="519EB94C"/>
    <w:multiLevelType w:val="hybridMultilevel"/>
    <w:lvl w:ilvl="0">
      <w:lvlJc w:val="left"/>
      <w:lvlText w:val="(%1)"/>
      <w:numFmt w:val="decimal"/>
      <w:start w:val="1"/>
    </w:lvl>
  </w:abstractNum>
  <w:abstractNum w:abstractNumId="179">
    <w:nsid w:val="39DF2579"/>
    <w:multiLevelType w:val="hybridMultilevel"/>
    <w:lvl w:ilvl="0">
      <w:lvlJc w:val="left"/>
      <w:lvlText w:val="(%1)"/>
      <w:numFmt w:val="decimal"/>
      <w:start w:val="2"/>
    </w:lvl>
  </w:abstractNum>
  <w:abstractNum w:abstractNumId="180">
    <w:nsid w:val="126E008B"/>
    <w:multiLevelType w:val="hybridMultilevel"/>
    <w:lvl w:ilvl="0">
      <w:lvlJc w:val="left"/>
      <w:lvlText w:val="(%1)"/>
      <w:numFmt w:val="decimal"/>
      <w:start w:val="1"/>
    </w:lvl>
  </w:abstractNum>
  <w:abstractNum w:abstractNumId="181">
    <w:nsid w:val="34DFBC00"/>
    <w:multiLevelType w:val="hybridMultilevel"/>
    <w:lvl w:ilvl="0">
      <w:lvlJc w:val="left"/>
      <w:lvlText w:val="(%1)"/>
      <w:numFmt w:val="decimal"/>
      <w:start w:val="1"/>
    </w:lvl>
  </w:abstractNum>
  <w:abstractNum w:abstractNumId="182">
    <w:nsid w:val="1F9EC322"/>
    <w:multiLevelType w:val="hybridMultilevel"/>
    <w:lvl w:ilvl="0">
      <w:lvlJc w:val="left"/>
      <w:lvlText w:val="(%1)"/>
      <w:numFmt w:val="decimal"/>
      <w:start w:val="1"/>
    </w:lvl>
  </w:abstractNum>
  <w:abstractNum w:abstractNumId="183">
    <w:nsid w:val="3410ED56"/>
    <w:multiLevelType w:val="hybridMultilevel"/>
    <w:lvl w:ilvl="0">
      <w:lvlJc w:val="left"/>
      <w:lvlText w:val="(%1)"/>
      <w:numFmt w:val="decimal"/>
      <w:start w:val="1"/>
    </w:lvl>
  </w:abstractNum>
  <w:abstractNum w:abstractNumId="184">
    <w:nsid w:val="23C049A"/>
    <w:multiLevelType w:val="hybridMultilevel"/>
    <w:lvl w:ilvl="0">
      <w:lvlJc w:val="left"/>
      <w:lvlText w:val="(%1)"/>
      <w:numFmt w:val="decimal"/>
      <w:start w:val="1"/>
    </w:lvl>
  </w:abstractNum>
  <w:abstractNum w:abstractNumId="185">
    <w:nsid w:val="5BDA35D4"/>
    <w:multiLevelType w:val="hybridMultilevel"/>
    <w:lvl w:ilvl="0">
      <w:lvlJc w:val="left"/>
      <w:lvlText w:val="(%1)"/>
      <w:numFmt w:val="decimal"/>
      <w:start w:val="1"/>
    </w:lvl>
  </w:abstractNum>
  <w:abstractNum w:abstractNumId="186">
    <w:nsid w:val="496FB218"/>
    <w:multiLevelType w:val="hybridMultilevel"/>
    <w:lvl w:ilvl="0">
      <w:lvlJc w:val="left"/>
      <w:lvlText w:val="(%1)"/>
      <w:numFmt w:val="decimal"/>
      <w:start w:val="1"/>
    </w:lvl>
  </w:abstractNum>
  <w:abstractNum w:abstractNumId="187">
    <w:nsid w:val="680EA5D1"/>
    <w:multiLevelType w:val="hybridMultilevel"/>
    <w:lvl w:ilvl="0">
      <w:lvlJc w:val="left"/>
      <w:lvlText w:val="(%1)"/>
      <w:numFmt w:val="decimal"/>
      <w:start w:val="1"/>
    </w:lvl>
  </w:abstractNum>
  <w:abstractNum w:abstractNumId="188">
    <w:nsid w:val="4A9554FE"/>
    <w:multiLevelType w:val="hybridMultilevel"/>
    <w:lvl w:ilvl="0">
      <w:lvlJc w:val="left"/>
      <w:lvlText w:val="(%1)"/>
      <w:numFmt w:val="decimal"/>
      <w:start w:val="3"/>
    </w:lvl>
    <w:lvl w:ilvl="1">
      <w:lvlJc w:val="left"/>
      <w:lvlText w:val="(%2)"/>
      <w:numFmt w:val="lowerLetter"/>
      <w:start w:val="1"/>
    </w:lvl>
  </w:abstractNum>
  <w:abstractNum w:abstractNumId="189">
    <w:nsid w:val="392EDBE4"/>
    <w:multiLevelType w:val="hybridMultilevel"/>
    <w:lvl w:ilvl="0">
      <w:lvlJc w:val="left"/>
      <w:lvlText w:val="(%1)"/>
      <w:numFmt w:val="decimal"/>
      <w:start w:val="1"/>
    </w:lvl>
  </w:abstractNum>
  <w:abstractNum w:abstractNumId="190">
    <w:nsid w:val="3D1A2DD9"/>
    <w:multiLevelType w:val="hybridMultilevel"/>
    <w:lvl w:ilvl="0">
      <w:lvlJc w:val="left"/>
      <w:lvlText w:val="(%1)"/>
      <w:numFmt w:val="decimal"/>
      <w:start w:val="1"/>
    </w:lvl>
  </w:abstractNum>
  <w:abstractNum w:abstractNumId="191">
    <w:nsid w:val="7F618FCD"/>
    <w:multiLevelType w:val="hybridMultilevel"/>
    <w:lvl w:ilvl="0">
      <w:lvlJc w:val="left"/>
      <w:lvlText w:val="(%1)"/>
      <w:numFmt w:val="decimal"/>
      <w:start w:val="1"/>
    </w:lvl>
  </w:abstractNum>
  <w:abstractNum w:abstractNumId="192">
    <w:nsid w:val="7843E45"/>
    <w:multiLevelType w:val="hybridMultilevel"/>
    <w:lvl w:ilvl="0">
      <w:lvlJc w:val="left"/>
      <w:lvlText w:val="(%1)"/>
      <w:numFmt w:val="decimal"/>
      <w:start w:val="1"/>
    </w:lvl>
  </w:abstractNum>
  <w:abstractNum w:abstractNumId="193">
    <w:nsid w:val="9815DA3"/>
    <w:multiLevelType w:val="hybridMultilevel"/>
    <w:lvl w:ilvl="0">
      <w:lvlJc w:val="left"/>
      <w:lvlText w:val="%1"/>
      <w:numFmt w:val="lowerRoman"/>
      <w:start w:val="1"/>
    </w:lvl>
    <w:lvl w:ilvl="1">
      <w:lvlJc w:val="left"/>
      <w:lvlText w:val="(%2)"/>
      <w:numFmt w:val="decimal"/>
      <w:start w:val="1"/>
    </w:lvl>
  </w:abstractNum>
  <w:abstractNum w:abstractNumId="194">
    <w:nsid w:val="5204A191"/>
    <w:multiLevelType w:val="hybridMultilevel"/>
    <w:lvl w:ilvl="0">
      <w:lvlJc w:val="left"/>
      <w:lvlText w:val="(%1)"/>
      <w:numFmt w:val="lowerRoman"/>
      <w:start w:val="2"/>
    </w:lvl>
    <w:lvl w:ilvl="1">
      <w:lvlJc w:val="left"/>
      <w:lvlText w:val="(%2)"/>
      <w:numFmt w:val="decimal"/>
      <w:start w:val="4"/>
    </w:lvl>
  </w:abstractNum>
  <w:abstractNum w:abstractNumId="195">
    <w:nsid w:val="4C73A9C6"/>
    <w:multiLevelType w:val="hybridMultilevel"/>
    <w:lvl w:ilvl="0">
      <w:lvlJc w:val="left"/>
      <w:lvlText w:val="%1"/>
      <w:numFmt w:val="lowerLetter"/>
      <w:start w:val="1"/>
    </w:lvl>
    <w:lvl w:ilvl="1">
      <w:lvlJc w:val="left"/>
      <w:lvlText w:val="(%2)"/>
      <w:numFmt w:val="decimal"/>
      <w:start w:val="1"/>
    </w:lvl>
  </w:abstractNum>
  <w:abstractNum w:abstractNumId="196">
    <w:nsid w:val="1C7E3C01"/>
    <w:multiLevelType w:val="hybridMultilevel"/>
    <w:lvl w:ilvl="0">
      <w:lvlJc w:val="left"/>
      <w:lvlText w:val="(%1)"/>
      <w:numFmt w:val="lowerLetter"/>
      <w:start w:val="1"/>
    </w:lvl>
    <w:lvl w:ilvl="1">
      <w:lvlJc w:val="left"/>
      <w:lvlText w:val="%2"/>
      <w:numFmt w:val="decimal"/>
      <w:start w:val="1"/>
    </w:lvl>
  </w:abstractNum>
  <w:abstractNum w:abstractNumId="197">
    <w:nsid w:val="1C2201FF"/>
    <w:multiLevelType w:val="hybridMultilevel"/>
    <w:lvl w:ilvl="0">
      <w:lvlJc w:val="left"/>
      <w:lvlText w:val="(%1)"/>
      <w:numFmt w:val="decimal"/>
      <w:start w:val="3"/>
    </w:lvl>
  </w:abstractNum>
  <w:abstractNum w:abstractNumId="198">
    <w:nsid w:val="50ABCEC9"/>
    <w:multiLevelType w:val="hybridMultilevel"/>
    <w:lvl w:ilvl="0">
      <w:lvlJc w:val="left"/>
      <w:lvlText w:val="(%1)"/>
      <w:numFmt w:val="decimal"/>
      <w:start w:val="1"/>
    </w:lvl>
    <w:lvl w:ilvl="1">
      <w:lvlJc w:val="left"/>
      <w:lvlText w:val="(%2)"/>
      <w:numFmt w:val="lowerLetter"/>
      <w:start w:val="1"/>
    </w:lvl>
  </w:abstractNum>
  <w:abstractNum w:abstractNumId="199">
    <w:nsid w:val="7635AA2A"/>
    <w:multiLevelType w:val="hybridMultilevel"/>
    <w:lvl w:ilvl="0">
      <w:lvlJc w:val="left"/>
      <w:lvlText w:val="(%1)"/>
      <w:numFmt w:val="decimal"/>
      <w:start w:val="8"/>
    </w:lvl>
  </w:abstractNum>
  <w:abstractNum w:abstractNumId="200">
    <w:nsid w:val="5E74C4D9"/>
    <w:multiLevelType w:val="hybridMultilevel"/>
    <w:lvl w:ilvl="0">
      <w:lvlJc w:val="left"/>
      <w:lvlText w:val="(%1)"/>
      <w:numFmt w:val="decimal"/>
      <w:start w:val="1"/>
    </w:lvl>
    <w:lvl w:ilvl="1">
      <w:lvlJc w:val="left"/>
      <w:lvlText w:val="(%2)"/>
      <w:numFmt w:val="lowerLetter"/>
      <w:start w:val="1"/>
    </w:lvl>
  </w:abstractNum>
  <w:abstractNum w:abstractNumId="201">
    <w:nsid w:val="3B3EBE15"/>
    <w:multiLevelType w:val="hybridMultilevel"/>
    <w:lvl w:ilvl="0">
      <w:lvlJc w:val="left"/>
      <w:lvlText w:val="(%1)"/>
      <w:numFmt w:val="decimal"/>
      <w:start w:val="4"/>
    </w:lvl>
  </w:abstractNum>
  <w:abstractNum w:abstractNumId="202">
    <w:nsid w:val="3822CB01"/>
    <w:multiLevelType w:val="hybridMultilevel"/>
    <w:lvl w:ilvl="0">
      <w:lvlJc w:val="left"/>
      <w:lvlText w:val="(%1)"/>
      <w:numFmt w:val="decimal"/>
      <w:start w:val="14"/>
    </w:lvl>
    <w:lvl w:ilvl="1">
      <w:lvlJc w:val="left"/>
      <w:lvlText w:val="(%2)"/>
      <w:numFmt w:val="lowerLetter"/>
      <w:start w:val="1"/>
    </w:lvl>
  </w:abstractNum>
  <w:abstractNum w:abstractNumId="203">
    <w:nsid w:val="6CE00443"/>
    <w:multiLevelType w:val="hybridMultilevel"/>
    <w:lvl w:ilvl="0">
      <w:lvlJc w:val="left"/>
      <w:lvlText w:val="%1"/>
      <w:numFmt w:val="decimal"/>
      <w:start w:val="1"/>
    </w:lvl>
    <w:lvl w:ilvl="1">
      <w:lvlJc w:val="left"/>
      <w:lvlText w:val="(%2)"/>
      <w:numFmt w:val="lowerLetter"/>
      <w:start w:val="1"/>
    </w:lvl>
  </w:abstractNum>
  <w:abstractNum w:abstractNumId="204">
    <w:nsid w:val="79F0D62F"/>
    <w:multiLevelType w:val="hybridMultilevel"/>
    <w:lvl w:ilvl="0">
      <w:lvlJc w:val="left"/>
      <w:lvlText w:val="(%1)"/>
      <w:numFmt w:val="decimal"/>
      <w:start w:val="23"/>
    </w:lvl>
    <w:lvl w:ilvl="1">
      <w:lvlJc w:val="left"/>
      <w:lvlText w:val="%2"/>
      <w:numFmt w:val="lowerLetter"/>
      <w:start w:val="1"/>
    </w:lvl>
  </w:abstractNum>
  <w:abstractNum w:abstractNumId="205">
    <w:nsid w:val="7975E8EE"/>
    <w:multiLevelType w:val="hybridMultilevel"/>
    <w:lvl w:ilvl="0">
      <w:lvlJc w:val="left"/>
      <w:lvlText w:val="(%1)"/>
      <w:numFmt w:val="decimal"/>
      <w:start w:val="1"/>
    </w:lvl>
  </w:abstractNum>
  <w:abstractNum w:abstractNumId="206">
    <w:nsid w:val="73154115"/>
    <w:multiLevelType w:val="hybridMultilevel"/>
    <w:lvl w:ilvl="0">
      <w:lvlJc w:val="left"/>
      <w:lvlText w:val="(%1)"/>
      <w:numFmt w:val="decimal"/>
      <w:start w:val="2"/>
    </w:lvl>
  </w:abstractNum>
  <w:abstractNum w:abstractNumId="207">
    <w:nsid w:val="622D8102"/>
    <w:multiLevelType w:val="hybridMultilevel"/>
    <w:lvl w:ilvl="0">
      <w:lvlJc w:val="left"/>
      <w:lvlText w:val="(%1)"/>
      <w:numFmt w:val="decimal"/>
      <w:start w:val="1"/>
    </w:lvl>
  </w:abstractNum>
  <w:abstractNum w:abstractNumId="208">
    <w:nsid w:val="2AB26587"/>
    <w:multiLevelType w:val="hybridMultilevel"/>
    <w:lvl w:ilvl="0">
      <w:lvlJc w:val="left"/>
      <w:lvlText w:val="(%1)"/>
      <w:numFmt w:val="decimal"/>
      <w:start w:val="1"/>
    </w:lvl>
  </w:abstractNum>
  <w:abstractNum w:abstractNumId="209">
    <w:nsid w:val="44B3FA61"/>
    <w:multiLevelType w:val="hybridMultilevel"/>
    <w:lvl w:ilvl="0">
      <w:lvlJc w:val="left"/>
      <w:lvlText w:val="(%1)"/>
      <w:numFmt w:val="decimal"/>
      <w:start w:val="1"/>
    </w:lvl>
  </w:abstractNum>
  <w:abstractNum w:abstractNumId="210">
    <w:nsid w:val="1C0CA67C"/>
    <w:multiLevelType w:val="hybridMultilevel"/>
    <w:lvl w:ilvl="0">
      <w:lvlJc w:val="left"/>
      <w:lvlText w:val="(%1)"/>
      <w:numFmt w:val="decimal"/>
      <w:start w:val="1"/>
    </w:lvl>
  </w:abstractNum>
  <w:abstractNum w:abstractNumId="211">
    <w:nsid w:val="3D206613"/>
    <w:multiLevelType w:val="hybridMultilevel"/>
    <w:lvl w:ilvl="0">
      <w:lvlJc w:val="left"/>
      <w:lvlText w:val="(%1)"/>
      <w:numFmt w:val="decimal"/>
      <w:start w:val="1"/>
    </w:lvl>
  </w:abstractNum>
  <w:abstractNum w:abstractNumId="212">
    <w:nsid w:val="7993B662"/>
    <w:multiLevelType w:val="hybridMultilevel"/>
    <w:lvl w:ilvl="0">
      <w:lvlJc w:val="left"/>
      <w:lvlText w:val="(%1)"/>
      <w:numFmt w:val="decimal"/>
      <w:start w:val="1"/>
    </w:lvl>
  </w:abstractNum>
  <w:abstractNum w:abstractNumId="213">
    <w:nsid w:val="3BAB699E"/>
    <w:multiLevelType w:val="hybridMultilevel"/>
    <w:lvl w:ilvl="0">
      <w:lvlJc w:val="left"/>
      <w:lvlText w:val="(%1)"/>
      <w:numFmt w:val="decimal"/>
      <w:start w:val="1"/>
    </w:lvl>
  </w:abstractNum>
  <w:abstractNum w:abstractNumId="214">
    <w:nsid w:val="71315369"/>
    <w:multiLevelType w:val="hybridMultilevel"/>
    <w:lvl w:ilvl="0">
      <w:lvlJc w:val="left"/>
      <w:lvlText w:val="•"/>
      <w:numFmt w:val="bullet"/>
      <w:start w:val="1"/>
    </w:lvl>
  </w:abstractNum>
  <w:abstractNum w:abstractNumId="215">
    <w:nsid w:val="7BCFBAFC"/>
    <w:multiLevelType w:val="hybridMultilevel"/>
    <w:lvl w:ilvl="0">
      <w:lvlJc w:val="left"/>
      <w:lvlText w:val="•"/>
      <w:numFmt w:val="bullet"/>
      <w:start w:val="1"/>
    </w:lvl>
  </w:abstractNum>
  <w:abstractNum w:abstractNumId="216">
    <w:nsid w:val="17859F72"/>
    <w:multiLevelType w:val="hybridMultilevel"/>
    <w:lvl w:ilvl="0">
      <w:lvlJc w:val="left"/>
      <w:lvlText w:val="•"/>
      <w:numFmt w:val="bullet"/>
      <w:start w:val="1"/>
    </w:lvl>
  </w:abstractNum>
  <w:abstractNum w:abstractNumId="217">
    <w:nsid w:val="3AA10581"/>
    <w:multiLevelType w:val="hybridMultilevel"/>
    <w:lvl w:ilvl="0">
      <w:lvlJc w:val="left"/>
      <w:lvlText w:val="(%1)"/>
      <w:numFmt w:val="decimal"/>
      <w:start w:val="1"/>
    </w:lvl>
    <w:lvl w:ilvl="1">
      <w:lvlJc w:val="left"/>
      <w:lvlText w:val="(%2)"/>
      <w:numFmt w:val="lowerLetter"/>
      <w:start w:val="1"/>
    </w:lvl>
  </w:abstractNum>
  <w:abstractNum w:abstractNumId="218">
    <w:nsid w:val="63DE60CD"/>
    <w:multiLevelType w:val="hybridMultilevel"/>
    <w:lvl w:ilvl="0">
      <w:lvlJc w:val="left"/>
      <w:lvlText w:val="(%1)"/>
      <w:numFmt w:val="decimal"/>
      <w:start w:val="1"/>
    </w:lvl>
  </w:abstractNum>
  <w:abstractNum w:abstractNumId="219">
    <w:nsid w:val="621AF471"/>
    <w:multiLevelType w:val="hybridMultilevel"/>
    <w:lvl w:ilvl="0">
      <w:lvlJc w:val="left"/>
      <w:lvlText w:val="(%1)"/>
      <w:numFmt w:val="decimal"/>
      <w:start w:val="3"/>
    </w:lvl>
  </w:abstractNum>
  <w:abstractNum w:abstractNumId="220">
    <w:nsid w:val="73CFE165"/>
    <w:multiLevelType w:val="hybridMultilevel"/>
    <w:lvl w:ilvl="0">
      <w:lvlJc w:val="left"/>
      <w:lvlText w:val="(%1)"/>
      <w:numFmt w:val="decimal"/>
      <w:start w:val="1"/>
    </w:lvl>
  </w:abstractNum>
  <w:abstractNum w:abstractNumId="221">
    <w:nsid w:val="20F88EA6"/>
    <w:multiLevelType w:val="hybridMultilevel"/>
    <w:lvl w:ilvl="0">
      <w:lvlJc w:val="left"/>
      <w:lvlText w:val="(%1)"/>
      <w:numFmt w:val="decimal"/>
      <w:start w:val="1"/>
    </w:lvl>
  </w:abstractNum>
  <w:abstractNum w:abstractNumId="222">
    <w:nsid w:val="617C843E"/>
    <w:multiLevelType w:val="hybridMultilevel"/>
    <w:lvl w:ilvl="0">
      <w:lvlJc w:val="left"/>
      <w:lvlText w:val="(%1)"/>
      <w:numFmt w:val="decimal"/>
      <w:start w:val="1"/>
    </w:lvl>
  </w:abstractNum>
  <w:abstractNum w:abstractNumId="223">
    <w:nsid w:val="7B541FAB"/>
    <w:multiLevelType w:val="hybridMultilevel"/>
    <w:lvl w:ilvl="0">
      <w:lvlJc w:val="left"/>
      <w:lvlText w:val="(%1)"/>
      <w:numFmt w:val="decimal"/>
      <w:start w:val="3"/>
    </w:lvl>
  </w:abstractNum>
  <w:abstractNum w:abstractNumId="224">
    <w:nsid w:val="2A79EC49"/>
    <w:multiLevelType w:val="hybridMultilevel"/>
    <w:lvl w:ilvl="0">
      <w:lvlJc w:val="left"/>
      <w:lvlText w:val="%1"/>
      <w:numFmt w:val="decimal"/>
      <w:start w:val="1"/>
    </w:lvl>
    <w:lvl w:ilvl="1">
      <w:lvlJc w:val="left"/>
      <w:lvlText w:val="(%2)"/>
      <w:numFmt w:val="decimal"/>
      <w:start w:val="1"/>
    </w:lvl>
  </w:abstractNum>
  <w:abstractNum w:abstractNumId="225">
    <w:nsid w:val="338125CF"/>
    <w:multiLevelType w:val="hybridMultilevel"/>
    <w:lvl w:ilvl="0">
      <w:lvlJc w:val="left"/>
      <w:lvlText w:val="(%1)"/>
      <w:numFmt w:val="decimal"/>
      <w:start w:val="6"/>
    </w:lvl>
    <w:lvl w:ilvl="1">
      <w:lvlJc w:val="left"/>
      <w:lvlText w:val="(%2)"/>
      <w:numFmt w:val="decimal"/>
      <w:start w:val="8"/>
    </w:lvl>
  </w:abstractNum>
  <w:abstractNum w:abstractNumId="226">
    <w:nsid w:val="47C7C971"/>
    <w:multiLevelType w:val="hybridMultilevel"/>
    <w:lvl w:ilvl="0">
      <w:lvlJc w:val="left"/>
      <w:lvlText w:val="(%1)"/>
      <w:numFmt w:val="decimal"/>
      <w:start w:val="6"/>
    </w:lvl>
    <w:lvl w:ilvl="1">
      <w:lvlJc w:val="left"/>
      <w:lvlText w:val="%2"/>
      <w:numFmt w:val="decimal"/>
      <w:start w:val="1"/>
    </w:lvl>
  </w:abstractNum>
  <w:abstractNum w:abstractNumId="227">
    <w:nsid w:val="46F828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8">
    <w:nsid w:val="4FA327CE"/>
    <w:multiLevelType w:val="hybridMultilevel"/>
    <w:lvl w:ilvl="0">
      <w:lvlJc w:val="left"/>
      <w:lvlText w:val="(%1)"/>
      <w:numFmt w:val="decimal"/>
      <w:start w:val="1"/>
    </w:lvl>
  </w:abstractNum>
  <w:abstractNum w:abstractNumId="229">
    <w:nsid w:val="1873983A"/>
    <w:multiLevelType w:val="hybridMultilevel"/>
    <w:lvl w:ilvl="0">
      <w:lvlJc w:val="left"/>
      <w:lvlText w:val="(%1)"/>
      <w:numFmt w:val="decimal"/>
      <w:start w:val="1"/>
    </w:lvl>
  </w:abstractNum>
  <w:abstractNum w:abstractNumId="230">
    <w:nsid w:val="3D2DD275"/>
    <w:multiLevelType w:val="hybridMultilevel"/>
    <w:lvl w:ilvl="0">
      <w:lvlJc w:val="left"/>
      <w:lvlText w:val="(%1)"/>
      <w:numFmt w:val="decimal"/>
      <w:start w:val="1"/>
    </w:lvl>
    <w:lvl w:ilvl="1">
      <w:lvlJc w:val="left"/>
      <w:lvlText w:val="(%2)"/>
      <w:numFmt w:val="lowerLetter"/>
      <w:start w:val="1"/>
    </w:lvl>
  </w:abstractNum>
  <w:abstractNum w:abstractNumId="231">
    <w:nsid w:val="2E17ECA7"/>
    <w:multiLevelType w:val="hybridMultilevel"/>
    <w:lvl w:ilvl="0">
      <w:lvlJc w:val="left"/>
      <w:lvlText w:val="(%1)"/>
      <w:numFmt w:val="decimal"/>
      <w:start w:val="1"/>
    </w:lvl>
  </w:abstractNum>
  <w:abstractNum w:abstractNumId="232">
    <w:nsid w:val="53B2564F"/>
    <w:multiLevelType w:val="hybridMultilevel"/>
    <w:lvl w:ilvl="0">
      <w:lvlJc w:val="left"/>
      <w:lvlText w:val="(%1)"/>
      <w:numFmt w:val="decimal"/>
      <w:start w:val="3"/>
    </w:lvl>
  </w:abstractNum>
  <w:abstractNum w:abstractNumId="233">
    <w:nsid w:val="75509D76"/>
    <w:multiLevelType w:val="hybridMultilevel"/>
    <w:lvl w:ilvl="0">
      <w:lvlJc w:val="left"/>
      <w:lvlText w:val="(%1)"/>
      <w:numFmt w:val="decimal"/>
      <w:start w:val="2"/>
    </w:lvl>
  </w:abstractNum>
  <w:abstractNum w:abstractNumId="234">
    <w:nsid w:val="1AF7F0EA"/>
    <w:multiLevelType w:val="hybridMultilevel"/>
    <w:lvl w:ilvl="0">
      <w:lvlJc w:val="left"/>
      <w:lvlText w:val="(%1)"/>
      <w:numFmt w:val="decimal"/>
      <w:start w:val="1"/>
    </w:lvl>
  </w:abstractNum>
  <w:abstractNum w:abstractNumId="235">
    <w:nsid w:val="4DA32C7E"/>
    <w:multiLevelType w:val="hybridMultilevel"/>
    <w:lvl w:ilvl="0">
      <w:lvlJc w:val="left"/>
      <w:lvlText w:val="%1"/>
      <w:numFmt w:val="lowerLetter"/>
      <w:start w:val="1"/>
    </w:lvl>
    <w:lvl w:ilvl="1">
      <w:lvlJc w:val="left"/>
      <w:lvlText w:val="(%2)"/>
      <w:numFmt w:val="decimal"/>
      <w:start w:val="1"/>
    </w:lvl>
  </w:abstractNum>
  <w:abstractNum w:abstractNumId="236">
    <w:nsid w:val="6EC68664"/>
    <w:multiLevelType w:val="hybridMultilevel"/>
    <w:lvl w:ilvl="0">
      <w:lvlJc w:val="left"/>
      <w:lvlText w:val="(%1)"/>
      <w:numFmt w:val="lowerLetter"/>
      <w:start w:val="2"/>
    </w:lvl>
    <w:lvl w:ilvl="1">
      <w:lvlJc w:val="left"/>
      <w:lvlText w:val="(%2)"/>
      <w:numFmt w:val="decimal"/>
      <w:start w:val="2"/>
    </w:lvl>
  </w:abstractNum>
  <w:abstractNum w:abstractNumId="237">
    <w:nsid w:val="E0D31FF"/>
    <w:multiLevelType w:val="hybridMultilevel"/>
    <w:lvl w:ilvl="0">
      <w:lvlJc w:val="left"/>
      <w:lvlText w:val="(%1)"/>
      <w:numFmt w:val="decimal"/>
      <w:start w:val="1"/>
    </w:lvl>
  </w:abstractNum>
  <w:abstractNum w:abstractNumId="238">
    <w:nsid w:val="2FD0AD81"/>
    <w:multiLevelType w:val="hybridMultilevel"/>
    <w:lvl w:ilvl="0">
      <w:lvlJc w:val="left"/>
      <w:lvlText w:val="(%1)"/>
      <w:numFmt w:val="decimal"/>
      <w:start w:val="3"/>
    </w:lvl>
    <w:lvl w:ilvl="1">
      <w:lvlJc w:val="left"/>
      <w:lvlText w:val="(%2)"/>
      <w:numFmt w:val="lowerLetter"/>
      <w:start w:val="1"/>
    </w:lvl>
  </w:abstractNum>
  <w:abstractNum w:abstractNumId="239">
    <w:nsid w:val="1978EBEB"/>
    <w:multiLevelType w:val="hybridMultilevel"/>
    <w:lvl w:ilvl="0">
      <w:lvlJc w:val="left"/>
      <w:lvlText w:val="%1"/>
      <w:numFmt w:val="lowerLetter"/>
      <w:start w:val="1"/>
    </w:lvl>
    <w:lvl w:ilvl="1">
      <w:lvlJc w:val="left"/>
      <w:lvlText w:val="(%2)"/>
      <w:numFmt w:val="lowerLetter"/>
      <w:start w:val="2"/>
    </w:lvl>
  </w:abstractNum>
  <w:abstractNum w:abstractNumId="240">
    <w:nsid w:val="52C12C61"/>
    <w:multiLevelType w:val="hybridMultilevel"/>
    <w:lvl w:ilvl="0">
      <w:lvlJc w:val="left"/>
      <w:lvlText w:val="(%1)"/>
      <w:numFmt w:val="lowerLetter"/>
      <w:start w:val="35"/>
    </w:lvl>
    <w:lvl w:ilvl="1">
      <w:lvlJc w:val="left"/>
      <w:lvlText w:val="%2"/>
      <w:numFmt w:val="lowerLetter"/>
      <w:start w:val="1"/>
    </w:lvl>
  </w:abstractNum>
  <w:abstractNum w:abstractNumId="241">
    <w:nsid w:val="4BDD53FD"/>
    <w:multiLevelType w:val="hybridMultilevel"/>
    <w:lvl w:ilvl="0">
      <w:lvlJc w:val="left"/>
      <w:lvlText w:val="(%1)"/>
      <w:numFmt w:val="lowerLetter"/>
      <w:start w:val="4"/>
    </w:lvl>
  </w:abstractNum>
  <w:abstractNum w:abstractNumId="242">
    <w:nsid w:val="569951FE"/>
    <w:multiLevelType w:val="hybridMultilevel"/>
    <w:lvl w:ilvl="0">
      <w:lvlJc w:val="left"/>
      <w:lvlText w:val="(%1)"/>
      <w:numFmt w:val="decimal"/>
      <w:start w:val="1"/>
    </w:lvl>
  </w:abstractNum>
  <w:abstractNum w:abstractNumId="243">
    <w:nsid w:val="4C54E2C3"/>
    <w:multiLevelType w:val="hybridMultilevel"/>
    <w:lvl w:ilvl="0">
      <w:lvlJc w:val="left"/>
      <w:lvlText w:val="(%1)"/>
      <w:numFmt w:val="decimal"/>
      <w:start w:val="4"/>
    </w:lvl>
  </w:abstractNum>
  <w:abstractNum w:abstractNumId="244">
    <w:nsid w:val="788BD9B"/>
    <w:multiLevelType w:val="hybridMultilevel"/>
    <w:lvl w:ilvl="0">
      <w:lvlJc w:val="left"/>
      <w:lvlText w:val="(%1)"/>
      <w:numFmt w:val="decimal"/>
      <w:start w:val="7"/>
    </w:lvl>
  </w:abstractNum>
  <w:abstractNum w:abstractNumId="245">
    <w:nsid w:val="47CAA567"/>
    <w:multiLevelType w:val="hybridMultilevel"/>
    <w:lvl w:ilvl="0">
      <w:lvlJc w:val="left"/>
      <w:lvlText w:val="(%1)"/>
      <w:numFmt w:val="decimal"/>
      <w:start w:val="2"/>
    </w:lvl>
  </w:abstractNum>
  <w:abstractNum w:abstractNumId="246">
    <w:nsid w:val="48249DB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7">
    <w:nsid w:val="1F0E5D0D"/>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248">
    <w:nsid w:val="26BAAE9"/>
    <w:multiLevelType w:val="hybridMultilevel"/>
    <w:lvl w:ilvl="0">
      <w:lvlJc w:val="left"/>
      <w:lvlText w:val="(%1)"/>
      <w:numFmt w:val="decimal"/>
      <w:start w:val="5"/>
    </w:lvl>
  </w:abstractNum>
  <w:abstractNum w:abstractNumId="249">
    <w:nsid w:val="2C02FE8C"/>
    <w:multiLevelType w:val="hybridMultilevel"/>
    <w:lvl w:ilvl="0">
      <w:lvlJc w:val="left"/>
      <w:lvlText w:val="%1"/>
      <w:numFmt w:val="upperLetter"/>
      <w:start w:val="1"/>
    </w:lvl>
    <w:lvl w:ilvl="1">
      <w:lvlJc w:val="left"/>
      <w:lvlText w:val="(%2)"/>
      <w:numFmt w:val="decimal"/>
      <w:start w:val="8"/>
    </w:lvl>
  </w:abstractNum>
  <w:abstractNum w:abstractNumId="250">
    <w:nsid w:val="129517E"/>
    <w:multiLevelType w:val="hybridMultilevel"/>
    <w:lvl w:ilvl="0">
      <w:lvlJc w:val="left"/>
      <w:lvlText w:val="(%1)"/>
      <w:numFmt w:val="decimal"/>
      <w:start w:val="1"/>
    </w:lvl>
    <w:lvl w:ilvl="1">
      <w:lvlJc w:val="left"/>
      <w:lvlText w:val="(%2)"/>
      <w:numFmt w:val="lowerLetter"/>
      <w:start w:val="1"/>
    </w:lvl>
  </w:abstractNum>
  <w:abstractNum w:abstractNumId="251">
    <w:nsid w:val="763B8C4E"/>
    <w:multiLevelType w:val="hybridMultilevel"/>
    <w:lvl w:ilvl="0">
      <w:lvlJc w:val="left"/>
      <w:lvlText w:val="(%1)"/>
      <w:numFmt w:val="decimal"/>
      <w:start w:val="1"/>
    </w:lvl>
  </w:abstractNum>
  <w:abstractNum w:abstractNumId="252">
    <w:nsid w:val="4CFB8D32"/>
    <w:multiLevelType w:val="hybridMultilevel"/>
    <w:lvl w:ilvl="0">
      <w:lvlJc w:val="left"/>
      <w:lvlText w:val="(%1)"/>
      <w:numFmt w:val="decimal"/>
      <w:start w:val="1"/>
    </w:lvl>
  </w:abstractNum>
  <w:abstractNum w:abstractNumId="253">
    <w:nsid w:val="62A5D5BD"/>
    <w:multiLevelType w:val="hybridMultilevel"/>
    <w:lvl w:ilvl="0">
      <w:lvlJc w:val="left"/>
      <w:lvlText w:val="(%1)"/>
      <w:numFmt w:val="decimal"/>
      <w:start w:val="3"/>
    </w:lvl>
  </w:abstractNum>
  <w:abstractNum w:abstractNumId="254">
    <w:nsid w:val="718FABF9"/>
    <w:multiLevelType w:val="hybridMultilevel"/>
    <w:lvl w:ilvl="0">
      <w:lvlJc w:val="left"/>
      <w:lvlText w:val="(%1)"/>
      <w:numFmt w:val="decimal"/>
      <w:start w:val="1"/>
    </w:lvl>
  </w:abstractNum>
  <w:abstractNum w:abstractNumId="255">
    <w:nsid w:val="7775797C"/>
    <w:multiLevelType w:val="hybridMultilevel"/>
    <w:lvl w:ilvl="0">
      <w:lvlJc w:val="left"/>
      <w:lvlText w:val="(%1)"/>
      <w:numFmt w:val="decimal"/>
      <w:start w:val="5"/>
    </w:lvl>
    <w:lvl w:ilvl="1">
      <w:lvlJc w:val="left"/>
      <w:lvlText w:val="(%2)"/>
      <w:numFmt w:val="lowerLetter"/>
      <w:start w:val="1"/>
    </w:lvl>
  </w:abstractNum>
  <w:abstractNum w:abstractNumId="256">
    <w:nsid w:val="1626FB8C"/>
    <w:multiLevelType w:val="hybridMultilevel"/>
    <w:lvl w:ilvl="0">
      <w:lvlJc w:val="left"/>
      <w:lvlText w:val="(%1)"/>
      <w:numFmt w:val="decimal"/>
      <w:start w:val="1"/>
    </w:lvl>
    <w:lvl w:ilvl="1">
      <w:lvlJc w:val="left"/>
      <w:lvlText w:val="(%2)"/>
      <w:numFmt w:val="lowerLetter"/>
      <w:start w:val="1"/>
    </w:lvl>
  </w:abstractNum>
  <w:abstractNum w:abstractNumId="257">
    <w:nsid w:val="3957756A"/>
    <w:multiLevelType w:val="hybridMultilevel"/>
    <w:lvl w:ilvl="0">
      <w:lvlJc w:val="left"/>
      <w:lvlText w:val="(%1)"/>
      <w:numFmt w:val="decimal"/>
      <w:start w:val="1"/>
    </w:lvl>
  </w:abstractNum>
  <w:abstractNum w:abstractNumId="258">
    <w:nsid w:val="3E6DA1C7"/>
    <w:multiLevelType w:val="hybridMultilevel"/>
    <w:lvl w:ilvl="0">
      <w:lvlJc w:val="left"/>
      <w:lvlText w:val="(%1)"/>
      <w:numFmt w:val="decimal"/>
      <w:start w:val="7"/>
    </w:lvl>
  </w:abstractNum>
  <w:abstractNum w:abstractNumId="259">
    <w:nsid w:val="65CA235B"/>
    <w:multiLevelType w:val="hybridMultilevel"/>
    <w:lvl w:ilvl="0">
      <w:lvlJc w:val="left"/>
      <w:lvlText w:val="(%1)"/>
      <w:numFmt w:val="decimal"/>
      <w:start w:val="1"/>
    </w:lvl>
  </w:abstractNum>
  <w:abstractNum w:abstractNumId="260">
    <w:nsid w:val="51CB0DA4"/>
    <w:multiLevelType w:val="hybridMultilevel"/>
    <w:lvl w:ilvl="0">
      <w:lvlJc w:val="left"/>
      <w:lvlText w:val="(%1)"/>
      <w:numFmt w:val="decimal"/>
      <w:start w:val="1"/>
    </w:lvl>
    <w:lvl w:ilvl="1">
      <w:lvlJc w:val="left"/>
      <w:lvlText w:val="(%2)"/>
      <w:numFmt w:val="lowerLetter"/>
      <w:start w:val="1"/>
    </w:lvl>
  </w:abstractNum>
  <w:abstractNum w:abstractNumId="261">
    <w:nsid w:val="7B9B743C"/>
    <w:multiLevelType w:val="hybridMultilevel"/>
    <w:lvl w:ilvl="0">
      <w:lvlJc w:val="left"/>
      <w:lvlText w:val="(%1)"/>
      <w:numFmt w:val="decimal"/>
      <w:start w:val="1"/>
    </w:lvl>
  </w:abstractNum>
  <w:abstractNum w:abstractNumId="262">
    <w:nsid w:val="13E21002"/>
    <w:multiLevelType w:val="hybridMultilevel"/>
    <w:lvl w:ilvl="0">
      <w:lvlJc w:val="left"/>
      <w:lvlText w:val="(%1)"/>
      <w:numFmt w:val="decimal"/>
      <w:start w:val="1"/>
    </w:lvl>
  </w:abstractNum>
  <w:abstractNum w:abstractNumId="263">
    <w:nsid w:val="257D63F4"/>
    <w:multiLevelType w:val="hybridMultilevel"/>
    <w:lvl w:ilvl="0">
      <w:lvlJc w:val="left"/>
      <w:lvlText w:val="(%1)"/>
      <w:numFmt w:val="decimal"/>
      <w:start w:val="1"/>
    </w:lvl>
  </w:abstractNum>
  <w:abstractNum w:abstractNumId="264">
    <w:nsid w:val="70EC11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65">
    <w:nsid w:val="2EDA00E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6">
    <w:nsid w:val="73209072"/>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67">
    <w:nsid w:val="5FB29816"/>
    <w:multiLevelType w:val="hybridMultilevel"/>
    <w:lvl w:ilvl="0">
      <w:lvlJc w:val="left"/>
      <w:lvlText w:val="(%1)"/>
      <w:numFmt w:val="lowerLetter"/>
      <w:start w:val="1"/>
    </w:lvl>
  </w:abstractNum>
  <w:abstractNum w:abstractNumId="268">
    <w:nsid w:val="3CE732EC"/>
    <w:multiLevelType w:val="hybridMultilevel"/>
    <w:lvl w:ilvl="0">
      <w:lvlJc w:val="left"/>
      <w:lvlText w:val="(%1)"/>
      <w:numFmt w:val="decimal"/>
      <w:start w:val="4"/>
    </w:lvl>
  </w:abstractNum>
  <w:abstractNum w:abstractNumId="269">
    <w:nsid w:val="22F13DF3"/>
    <w:multiLevelType w:val="hybridMultilevel"/>
    <w:lvl w:ilvl="0">
      <w:lvlJc w:val="left"/>
      <w:lvlText w:val="(%1)"/>
      <w:numFmt w:val="decimal"/>
      <w:start w:val="1"/>
    </w:lvl>
    <w:lvl w:ilvl="1">
      <w:lvlJc w:val="left"/>
      <w:lvlText w:val="(%2)"/>
      <w:numFmt w:val="lowerLetter"/>
      <w:start w:val="1"/>
    </w:lvl>
  </w:abstractNum>
  <w:abstractNum w:abstractNumId="270">
    <w:nsid w:val="792B8401"/>
    <w:multiLevelType w:val="hybridMultilevel"/>
    <w:lvl w:ilvl="0">
      <w:lvlJc w:val="left"/>
      <w:lvlText w:val="(%1)"/>
      <w:numFmt w:val="decimal"/>
      <w:start w:val="1"/>
    </w:lvl>
  </w:abstractNum>
  <w:abstractNum w:abstractNumId="271">
    <w:nsid w:val="FA85F4D"/>
    <w:multiLevelType w:val="hybridMultilevel"/>
    <w:lvl w:ilvl="0">
      <w:lvlJc w:val="left"/>
      <w:lvlText w:val="(%1)"/>
      <w:numFmt w:val="decimal"/>
      <w:start w:val="2"/>
    </w:lvl>
  </w:abstractNum>
  <w:abstractNum w:abstractNumId="272">
    <w:nsid w:val="6ECE91F0"/>
    <w:multiLevelType w:val="hybridMultilevel"/>
    <w:lvl w:ilvl="0">
      <w:lvlJc w:val="left"/>
      <w:lvlText w:val="(%1)"/>
      <w:numFmt w:val="decimal"/>
      <w:start w:val="1"/>
    </w:lvl>
  </w:abstractNum>
  <w:abstractNum w:abstractNumId="273">
    <w:nsid w:val="4FC4D600"/>
    <w:multiLevelType w:val="hybridMultilevel"/>
    <w:lvl w:ilvl="0">
      <w:lvlJc w:val="left"/>
      <w:lvlText w:val="(%1)"/>
      <w:numFmt w:val="decimal"/>
      <w:start w:val="1"/>
    </w:lvl>
    <w:lvl w:ilvl="1">
      <w:lvlJc w:val="left"/>
      <w:lvlText w:val="(%2)"/>
      <w:numFmt w:val="lowerLetter"/>
      <w:start w:val="1"/>
    </w:lvl>
  </w:abstractNum>
  <w:abstractNum w:abstractNumId="274">
    <w:nsid w:val="5BFD4210"/>
    <w:multiLevelType w:val="hybridMultilevel"/>
    <w:lvl w:ilvl="0">
      <w:lvlJc w:val="left"/>
      <w:lvlText w:val="(%1)"/>
      <w:numFmt w:val="decimal"/>
      <w:start w:val="6"/>
    </w:lvl>
    <w:lvl w:ilvl="1">
      <w:lvlJc w:val="left"/>
      <w:lvlText w:val="(%2)"/>
      <w:numFmt w:val="lowerLetter"/>
      <w:start w:val="1"/>
    </w:lvl>
  </w:abstractNum>
  <w:abstractNum w:abstractNumId="275">
    <w:nsid w:val="76574F8B"/>
    <w:multiLevelType w:val="hybridMultilevel"/>
    <w:lvl w:ilvl="0">
      <w:lvlJc w:val="left"/>
      <w:lvlText w:val="(%1)"/>
      <w:numFmt w:val="decimal"/>
      <w:start w:val="1"/>
    </w:lvl>
  </w:abstractNum>
  <w:abstractNum w:abstractNumId="276">
    <w:nsid w:val="178F7B67"/>
    <w:multiLevelType w:val="hybridMultilevel"/>
    <w:lvl w:ilvl="0">
      <w:lvlJc w:val="left"/>
      <w:lvlText w:val="(%1)"/>
      <w:numFmt w:val="decimal"/>
      <w:start w:val="1"/>
    </w:lvl>
  </w:abstractNum>
  <w:abstractNum w:abstractNumId="277">
    <w:nsid w:val="2421DFCF"/>
    <w:multiLevelType w:val="hybridMultilevel"/>
    <w:lvl w:ilvl="0">
      <w:lvlJc w:val="left"/>
      <w:lvlText w:val="(%1)"/>
      <w:numFmt w:val="decimal"/>
      <w:start w:val="1"/>
    </w:lvl>
  </w:abstractNum>
  <w:abstractNum w:abstractNumId="278">
    <w:nsid w:val="1565AC99"/>
    <w:multiLevelType w:val="hybridMultilevel"/>
    <w:lvl w:ilvl="0">
      <w:lvlJc w:val="left"/>
      <w:lvlText w:val="%1"/>
      <w:numFmt w:val="lowerLetter"/>
      <w:start w:val="1"/>
    </w:lvl>
    <w:lvl w:ilvl="1">
      <w:lvlJc w:val="left"/>
      <w:lvlText w:val="(%2)"/>
      <w:numFmt w:val="decimal"/>
      <w:start w:val="1"/>
    </w:lvl>
  </w:abstractNum>
  <w:abstractNum w:abstractNumId="279">
    <w:nsid w:val="19FB2650"/>
    <w:multiLevelType w:val="hybridMultilevel"/>
    <w:lvl w:ilvl="0">
      <w:lvlJc w:val="left"/>
      <w:lvlText w:val="(%1)"/>
      <w:numFmt w:val="lowerLetter"/>
      <w:start w:val="1"/>
    </w:lvl>
    <w:lvl w:ilvl="1">
      <w:lvlJc w:val="left"/>
      <w:lvlText w:val="(%2)"/>
      <w:numFmt w:val="decimal"/>
      <w:start w:val="3"/>
    </w:lvl>
  </w:abstractNum>
  <w:abstractNum w:abstractNumId="280">
    <w:nsid w:val="5024DE5B"/>
    <w:multiLevelType w:val="hybridMultilevel"/>
    <w:lvl w:ilvl="0">
      <w:lvlJc w:val="left"/>
      <w:lvlText w:val="(%1)"/>
      <w:numFmt w:val="decimal"/>
      <w:start w:val="5"/>
    </w:lvl>
  </w:abstractNum>
  <w:abstractNum w:abstractNumId="281">
    <w:nsid w:val="168EFE17"/>
    <w:multiLevelType w:val="hybridMultilevel"/>
    <w:lvl w:ilvl="0">
      <w:lvlJc w:val="left"/>
      <w:lvlText w:val="(%1)"/>
      <w:numFmt w:val="decimal"/>
      <w:start w:val="1"/>
    </w:lvl>
  </w:abstractNum>
  <w:abstractNum w:abstractNumId="282">
    <w:nsid w:val="1036B29F"/>
    <w:multiLevelType w:val="hybridMultilevel"/>
    <w:lvl w:ilvl="0">
      <w:lvlJc w:val="left"/>
      <w:lvlText w:val="(%1)"/>
      <w:numFmt w:val="decimal"/>
      <w:start w:val="5"/>
    </w:lvl>
  </w:abstractNum>
  <w:abstractNum w:abstractNumId="283">
    <w:nsid w:val="1D206B8E"/>
    <w:multiLevelType w:val="hybridMultilevel"/>
    <w:lvl w:ilvl="0">
      <w:lvlJc w:val="left"/>
      <w:lvlText w:val="%1"/>
      <w:numFmt w:val="lowerLetter"/>
      <w:start w:val="1"/>
    </w:lvl>
    <w:lvl w:ilvl="1">
      <w:lvlJc w:val="left"/>
      <w:lvlText w:val="(%2)"/>
      <w:numFmt w:val="decimal"/>
      <w:start w:val="1"/>
    </w:lvl>
  </w:abstractNum>
  <w:abstractNum w:abstractNumId="284">
    <w:nsid w:val="7934D3D4"/>
    <w:multiLevelType w:val="hybridMultilevel"/>
    <w:lvl w:ilvl="0">
      <w:lvlJc w:val="left"/>
      <w:lvlText w:val="(%1)"/>
      <w:numFmt w:val="lowerLetter"/>
      <w:start w:val="1"/>
    </w:lvl>
    <w:lvl w:ilvl="1">
      <w:lvlJc w:val="left"/>
      <w:lvlText w:val="(%2)"/>
      <w:numFmt w:val="decimal"/>
      <w:start w:val="10"/>
    </w:lvl>
  </w:abstractNum>
  <w:abstractNum w:abstractNumId="285">
    <w:nsid w:val="1C65E98"/>
    <w:multiLevelType w:val="hybridMultilevel"/>
    <w:lvl w:ilvl="0">
      <w:lvlJc w:val="left"/>
      <w:lvlText w:val="(%1)"/>
      <w:numFmt w:val="decimal"/>
      <w:start w:val="1"/>
    </w:lvl>
  </w:abstractNum>
  <w:abstractNum w:abstractNumId="286">
    <w:nsid w:val="1495E50A"/>
    <w:multiLevelType w:val="hybridMultilevel"/>
    <w:lvl w:ilvl="0">
      <w:lvlJc w:val="left"/>
      <w:lvlText w:val="(%1)"/>
      <w:numFmt w:val="decimal"/>
      <w:start w:val="5"/>
    </w:lvl>
  </w:abstractNum>
  <w:abstractNum w:abstractNumId="287">
    <w:nsid w:val="F5BCF61"/>
    <w:multiLevelType w:val="hybridMultilevel"/>
    <w:lvl w:ilvl="0">
      <w:lvlJc w:val="left"/>
      <w:lvlText w:val="(%1)"/>
      <w:numFmt w:val="decimal"/>
      <w:start w:val="1"/>
    </w:lvl>
    <w:lvl w:ilvl="1">
      <w:lvlJc w:val="left"/>
      <w:lvlText w:val="(%2)"/>
      <w:numFmt w:val="lowerLetter"/>
      <w:start w:val="1"/>
    </w:lvl>
  </w:abstractNum>
  <w:abstractNum w:abstractNumId="288">
    <w:nsid w:val="3B1DD403"/>
    <w:multiLevelType w:val="hybridMultilevel"/>
    <w:lvl w:ilvl="0">
      <w:lvlJc w:val="left"/>
      <w:lvlText w:val="(%1)"/>
      <w:numFmt w:val="decimal"/>
      <w:start w:val="1"/>
    </w:lvl>
  </w:abstractNum>
  <w:abstractNum w:abstractNumId="289">
    <w:nsid w:val="530386D1"/>
    <w:multiLevelType w:val="hybridMultilevel"/>
    <w:lvl w:ilvl="0">
      <w:lvlJc w:val="left"/>
      <w:lvlText w:val="(%1)"/>
      <w:numFmt w:val="decimal"/>
      <w:start w:val="1"/>
    </w:lvl>
  </w:abstractNum>
  <w:abstractNum w:abstractNumId="290">
    <w:nsid w:val="7525F2BC"/>
    <w:multiLevelType w:val="hybridMultilevel"/>
    <w:lvl w:ilvl="0">
      <w:lvlJc w:val="left"/>
      <w:lvlText w:val="(%1)"/>
      <w:numFmt w:val="decimal"/>
      <w:start w:val="1"/>
    </w:lvl>
  </w:abstractNum>
  <w:abstractNum w:abstractNumId="291">
    <w:nsid w:val="CE8E1A7"/>
    <w:multiLevelType w:val="hybridMultilevel"/>
    <w:lvl w:ilvl="0">
      <w:lvlJc w:val="left"/>
      <w:lvlText w:val="(%1)"/>
      <w:numFmt w:val="decimal"/>
      <w:start w:val="2"/>
    </w:lvl>
  </w:abstractNum>
  <w:abstractNum w:abstractNumId="292">
    <w:nsid w:val="4E9EFB0D"/>
    <w:multiLevelType w:val="hybridMultilevel"/>
    <w:lvl w:ilvl="0">
      <w:lvlJc w:val="left"/>
      <w:lvlText w:val="\ldblquote"/>
      <w:numFmt w:val="bullet"/>
      <w:start w:val="1"/>
    </w:lvl>
    <w:lvl w:ilvl="1">
      <w:lvlJc w:val="left"/>
      <w:lvlText w:val="(%2)"/>
      <w:numFmt w:val="decimal"/>
      <w:start w:val="1"/>
    </w:lvl>
  </w:abstractNum>
  <w:abstractNum w:abstractNumId="293">
    <w:nsid w:val="90802BE"/>
    <w:multiLevelType w:val="hybridMultilevel"/>
    <w:lvl w:ilvl="0">
      <w:lvlJc w:val="left"/>
      <w:lvlText w:val="(%1)"/>
      <w:numFmt w:val="decimal"/>
      <w:start w:val="2"/>
    </w:lvl>
  </w:abstractNum>
  <w:abstractNum w:abstractNumId="294">
    <w:nsid w:val="3266459B"/>
    <w:multiLevelType w:val="hybridMultilevel"/>
    <w:lvl w:ilvl="0">
      <w:lvlJc w:val="left"/>
      <w:lvlText w:val="\ldblquote"/>
      <w:numFmt w:val="bullet"/>
      <w:start w:val="1"/>
    </w:lvl>
    <w:lvl w:ilvl="1">
      <w:lvlJc w:val="left"/>
      <w:lvlText w:val="(%2)"/>
      <w:numFmt w:val="decimal"/>
      <w:start w:val="1"/>
    </w:lvl>
  </w:abstractNum>
  <w:abstractNum w:abstractNumId="295">
    <w:nsid w:val="3F8B0CBF"/>
    <w:multiLevelType w:val="hybridMultilevel"/>
    <w:lvl w:ilvl="0">
      <w:lvlJc w:val="left"/>
      <w:lvlText w:val="(%1)"/>
      <w:numFmt w:val="decimal"/>
      <w:start w:val="1"/>
    </w:lvl>
  </w:abstractNum>
  <w:abstractNum w:abstractNumId="296">
    <w:nsid w:val="37E203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7">
    <w:nsid w:val="2586D60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8">
    <w:nsid w:val="1F3DA4D5"/>
    <w:multiLevelType w:val="hybridMultilevel"/>
    <w:lvl w:ilvl="0">
      <w:lvlJc w:val="left"/>
      <w:lvlText w:val="(%1)"/>
      <w:numFmt w:val="decimal"/>
      <w:start w:val="12"/>
    </w:lvl>
  </w:abstractNum>
  <w:abstractNum w:abstractNumId="299">
    <w:nsid w:val="74C93698"/>
    <w:multiLevelType w:val="hybridMultilevel"/>
    <w:lvl w:ilvl="0">
      <w:lvlJc w:val="left"/>
      <w:lvlText w:val="(%1)"/>
      <w:numFmt w:val="decimal"/>
      <w:start w:val="1"/>
    </w:lvl>
  </w:abstractNum>
  <w:abstractNum w:abstractNumId="300">
    <w:nsid w:val="48781401"/>
    <w:multiLevelType w:val="hybridMultilevel"/>
    <w:lvl w:ilvl="0">
      <w:lvlJc w:val="left"/>
      <w:lvlText w:val="(%1)"/>
      <w:numFmt w:val="decimal"/>
      <w:start w:val="1"/>
    </w:lvl>
  </w:abstractNum>
  <w:abstractNum w:abstractNumId="301">
    <w:nsid w:val="186928D6"/>
    <w:multiLevelType w:val="hybridMultilevel"/>
    <w:lvl w:ilvl="0">
      <w:lvlJc w:val="left"/>
      <w:lvlText w:val="(%1)"/>
      <w:numFmt w:val="decimal"/>
      <w:start w:val="1"/>
    </w:lvl>
  </w:abstractNum>
  <w:abstractNum w:abstractNumId="302">
    <w:nsid w:val="47195E5"/>
    <w:multiLevelType w:val="hybridMultilevel"/>
    <w:lvl w:ilvl="0">
      <w:lvlJc w:val="left"/>
      <w:lvlText w:val="(%1)"/>
      <w:numFmt w:val="decimal"/>
      <w:start w:val="1"/>
    </w:lvl>
    <w:lvl w:ilvl="1">
      <w:lvlJc w:val="left"/>
      <w:lvlText w:val="(%2)"/>
      <w:numFmt w:val="lowerLetter"/>
      <w:start w:val="1"/>
    </w:lvl>
  </w:abstractNum>
  <w:abstractNum w:abstractNumId="303">
    <w:nsid w:val="3746A5F2"/>
    <w:multiLevelType w:val="hybridMultilevel"/>
    <w:lvl w:ilvl="0">
      <w:lvlJc w:val="left"/>
      <w:lvlText w:val="%1"/>
      <w:numFmt w:val="decimal"/>
      <w:start w:val="1"/>
    </w:lvl>
    <w:lvl w:ilvl="1">
      <w:lvlJc w:val="left"/>
      <w:lvlText w:val="(%2)"/>
      <w:numFmt w:val="lowerLetter"/>
      <w:start w:val="2"/>
    </w:lvl>
  </w:abstractNum>
  <w:abstractNum w:abstractNumId="304">
    <w:nsid w:val="682DFED6"/>
    <w:multiLevelType w:val="hybridMultilevel"/>
    <w:lvl w:ilvl="0">
      <w:lvlJc w:val="left"/>
      <w:lvlText w:val="(%1)"/>
      <w:numFmt w:val="decimal"/>
      <w:start w:val="4"/>
    </w:lvl>
    <w:lvl w:ilvl="1">
      <w:lvlJc w:val="left"/>
      <w:lvlText w:val="%2"/>
      <w:numFmt w:val="lowerLetter"/>
      <w:start w:val="1"/>
    </w:lvl>
  </w:abstractNum>
  <w:abstractNum w:abstractNumId="305">
    <w:nsid w:val="606ED7F6"/>
    <w:multiLevelType w:val="hybridMultilevel"/>
    <w:lvl w:ilvl="0">
      <w:lvlJc w:val="left"/>
      <w:lvlText w:val="(%1)"/>
      <w:numFmt w:val="decimal"/>
      <w:start w:val="1"/>
    </w:lvl>
  </w:abstractNum>
  <w:abstractNum w:abstractNumId="306">
    <w:nsid w:val="2D9DF57D"/>
    <w:multiLevelType w:val="hybridMultilevel"/>
    <w:lvl w:ilvl="0">
      <w:lvlJc w:val="left"/>
      <w:lvlText w:val="(%1)"/>
      <w:numFmt w:val="decimal"/>
      <w:start w:val="6"/>
    </w:lvl>
  </w:abstractNum>
  <w:abstractNum w:abstractNumId="307">
    <w:nsid w:val="7FBD7A3E"/>
    <w:multiLevelType w:val="hybridMultilevel"/>
    <w:lvl w:ilvl="0">
      <w:lvlJc w:val="left"/>
      <w:lvlText w:val="\ldblquote"/>
      <w:numFmt w:val="bullet"/>
      <w:start w:val="1"/>
    </w:lvl>
    <w:lvl w:ilvl="1">
      <w:lvlJc w:val="left"/>
      <w:lvlText w:val="(%2)"/>
      <w:numFmt w:val="decimal"/>
      <w:start w:val="1"/>
    </w:lvl>
  </w:abstractNum>
  <w:abstractNum w:abstractNumId="308">
    <w:nsid w:val="490B7C5"/>
    <w:multiLevelType w:val="hybridMultilevel"/>
    <w:lvl w:ilvl="0">
      <w:lvlJc w:val="left"/>
      <w:lvlText w:val="(%1)"/>
      <w:numFmt w:val="lowerLetter"/>
      <w:start w:val="1"/>
    </w:lvl>
  </w:abstractNum>
  <w:abstractNum w:abstractNumId="309">
    <w:nsid w:val="4303A216"/>
    <w:multiLevelType w:val="hybridMultilevel"/>
    <w:lvl w:ilvl="0">
      <w:lvlJc w:val="left"/>
      <w:lvlText w:val="\ldblquote"/>
      <w:numFmt w:val="bullet"/>
      <w:start w:val="1"/>
    </w:lvl>
    <w:lvl w:ilvl="1">
      <w:lvlJc w:val="left"/>
      <w:lvlText w:val="(%2)"/>
      <w:numFmt w:val="decimal"/>
      <w:start w:val="1"/>
    </w:lvl>
  </w:abstractNum>
  <w:abstractNum w:abstractNumId="310">
    <w:nsid w:val="19B8A08E"/>
    <w:multiLevelType w:val="hybridMultilevel"/>
    <w:lvl w:ilvl="0">
      <w:lvlJc w:val="left"/>
      <w:lvlText w:val="(%1)"/>
      <w:numFmt w:val="decimal"/>
      <w:start w:val="1"/>
    </w:lvl>
  </w:abstractNum>
  <w:abstractNum w:abstractNumId="311">
    <w:nsid w:val="54B59621"/>
    <w:multiLevelType w:val="hybridMultilevel"/>
    <w:lvl w:ilvl="0">
      <w:lvlJc w:val="left"/>
      <w:lvlText w:val="(%1)"/>
      <w:numFmt w:val="decimal"/>
      <w:start w:val="2"/>
    </w:lvl>
  </w:abstractNum>
  <w:abstractNum w:abstractNumId="312">
    <w:nsid w:val="5992A02E"/>
    <w:multiLevelType w:val="hybridMultilevel"/>
    <w:lvl w:ilvl="0">
      <w:lvlJc w:val="left"/>
      <w:lvlText w:val="(%1)"/>
      <w:numFmt w:val="decimal"/>
      <w:start w:val="1"/>
    </w:lvl>
  </w:abstractNum>
  <w:abstractNum w:abstractNumId="313">
    <w:nsid w:val="29EF532D"/>
    <w:multiLevelType w:val="hybridMultilevel"/>
    <w:lvl w:ilvl="0">
      <w:lvlJc w:val="left"/>
      <w:lvlText w:val="(%1)"/>
      <w:numFmt w:val="decimal"/>
      <w:start w:val="1"/>
    </w:lvl>
  </w:abstractNum>
  <w:abstractNum w:abstractNumId="314">
    <w:nsid w:val="71D601AF"/>
    <w:multiLevelType w:val="hybridMultilevel"/>
    <w:lvl w:ilvl="0">
      <w:lvlJc w:val="left"/>
      <w:lvlText w:val="(%1)"/>
      <w:numFmt w:val="decimal"/>
      <w:start w:val="2"/>
    </w:lvl>
  </w:abstractNum>
  <w:abstractNum w:abstractNumId="315">
    <w:nsid w:val="52C77402"/>
    <w:multiLevelType w:val="hybridMultilevel"/>
    <w:lvl w:ilvl="0">
      <w:lvlJc w:val="left"/>
      <w:lvlText w:val="(%1)"/>
      <w:numFmt w:val="decimal"/>
      <w:start w:val="1"/>
    </w:lvl>
  </w:abstractNum>
  <w:abstractNum w:abstractNumId="316">
    <w:nsid w:val="2BB5B1C6"/>
    <w:multiLevelType w:val="hybridMultilevel"/>
    <w:lvl w:ilvl="0">
      <w:lvlJc w:val="left"/>
      <w:lvlText w:val="(%1)"/>
      <w:numFmt w:val="decimal"/>
      <w:start w:val="1"/>
    </w:lvl>
  </w:abstractNum>
  <w:abstractNum w:abstractNumId="317">
    <w:nsid w:val="66BE6B9"/>
    <w:multiLevelType w:val="hybridMultilevel"/>
    <w:lvl w:ilvl="0">
      <w:lvlJc w:val="left"/>
      <w:lvlText w:val="(%1)"/>
      <w:numFmt w:val="decimal"/>
      <w:start w:val="1"/>
    </w:lvl>
  </w:abstractNum>
  <w:abstractNum w:abstractNumId="318">
    <w:nsid w:val="62234363"/>
    <w:multiLevelType w:val="hybridMultilevel"/>
    <w:lvl w:ilvl="0">
      <w:lvlJc w:val="left"/>
      <w:lvlText w:val="(%1)"/>
      <w:numFmt w:val="decimal"/>
      <w:start w:val="1"/>
    </w:lvl>
  </w:abstractNum>
  <w:abstractNum w:abstractNumId="319">
    <w:nsid w:val="66D385C9"/>
    <w:multiLevelType w:val="hybridMultilevel"/>
    <w:lvl w:ilvl="0">
      <w:lvlJc w:val="left"/>
      <w:lvlText w:val="(%1)"/>
      <w:numFmt w:val="decimal"/>
      <w:start w:val="1"/>
    </w:lvl>
  </w:abstractNum>
  <w:abstractNum w:abstractNumId="320">
    <w:nsid w:val="596F6D8A"/>
    <w:multiLevelType w:val="hybridMultilevel"/>
    <w:lvl w:ilvl="0">
      <w:lvlJc w:val="left"/>
      <w:lvlText w:val="(%1)"/>
      <w:numFmt w:val="decimal"/>
      <w:start w:val="1"/>
    </w:lvl>
  </w:abstractNum>
  <w:abstractNum w:abstractNumId="321">
    <w:nsid w:val="5749361F"/>
    <w:multiLevelType w:val="hybridMultilevel"/>
    <w:lvl w:ilvl="0">
      <w:lvlJc w:val="left"/>
      <w:lvlText w:val="(%1)"/>
      <w:numFmt w:val="decimal"/>
      <w:start w:val="1"/>
    </w:lvl>
  </w:abstractNum>
  <w:abstractNum w:abstractNumId="322">
    <w:nsid w:val="73BC6770"/>
    <w:multiLevelType w:val="hybridMultilevel"/>
    <w:lvl w:ilvl="0">
      <w:lvlJc w:val="left"/>
      <w:lvlText w:val="(%1)"/>
      <w:numFmt w:val="decimal"/>
      <w:start w:val="1"/>
    </w:lvl>
  </w:abstractNum>
  <w:abstractNum w:abstractNumId="323">
    <w:nsid w:val="280E6897"/>
    <w:multiLevelType w:val="hybridMultilevel"/>
    <w:lvl w:ilvl="0">
      <w:lvlJc w:val="left"/>
      <w:lvlText w:val="(%1)"/>
      <w:numFmt w:val="decimal"/>
      <w:start w:val="3"/>
    </w:lvl>
    <w:lvl w:ilvl="1">
      <w:lvlJc w:val="left"/>
      <w:lvlText w:val="(%2)"/>
      <w:numFmt w:val="lowerLetter"/>
      <w:start w:val="1"/>
    </w:lvl>
  </w:abstractNum>
  <w:abstractNum w:abstractNumId="324">
    <w:nsid w:val="605138DE"/>
    <w:multiLevelType w:val="hybridMultilevel"/>
    <w:lvl w:ilvl="0">
      <w:lvlJc w:val="left"/>
      <w:lvlText w:val="(%1)"/>
      <w:numFmt w:val="decimal"/>
      <w:start w:val="1"/>
    </w:lvl>
  </w:abstractNum>
  <w:abstractNum w:abstractNumId="325">
    <w:nsid w:val="2622AD0C"/>
    <w:multiLevelType w:val="hybridMultilevel"/>
    <w:lvl w:ilvl="0">
      <w:lvlJc w:val="left"/>
      <w:lvlText w:val="(%1)"/>
      <w:numFmt w:val="decimal"/>
      <w:start w:val="1"/>
    </w:lvl>
  </w:abstractNum>
  <w:abstractNum w:abstractNumId="326">
    <w:nsid w:val="67997556"/>
    <w:multiLevelType w:val="hybridMultilevel"/>
    <w:lvl w:ilvl="0">
      <w:lvlJc w:val="left"/>
      <w:lvlText w:val="(%1)"/>
      <w:numFmt w:val="decimal"/>
      <w:start w:val="1"/>
    </w:lvl>
  </w:abstractNum>
  <w:abstractNum w:abstractNumId="327">
    <w:nsid w:val="18333C89"/>
    <w:multiLevelType w:val="hybridMultilevel"/>
    <w:lvl w:ilvl="0">
      <w:lvlJc w:val="left"/>
      <w:lvlText w:val="(%1)"/>
      <w:numFmt w:val="decimal"/>
      <w:start w:val="1"/>
    </w:lvl>
  </w:abstractNum>
  <w:abstractNum w:abstractNumId="328">
    <w:nsid w:val="4BA9831A"/>
    <w:multiLevelType w:val="hybridMultilevel"/>
    <w:lvl w:ilvl="0">
      <w:lvlJc w:val="left"/>
      <w:lvlText w:val="%1"/>
      <w:numFmt w:val="lowerRoman"/>
      <w:start w:val="1"/>
    </w:lvl>
    <w:lvl w:ilvl="1">
      <w:lvlJc w:val="left"/>
      <w:lvlText w:val="(%2)"/>
      <w:numFmt w:val="decimal"/>
      <w:start w:val="1"/>
    </w:lvl>
  </w:abstractNum>
  <w:abstractNum w:abstractNumId="329">
    <w:nsid w:val="6D71A2B"/>
    <w:multiLevelType w:val="hybridMultilevel"/>
    <w:lvl w:ilvl="0">
      <w:lvlJc w:val="left"/>
      <w:lvlText w:val="(%1)"/>
      <w:numFmt w:val="lowerRoman"/>
      <w:start w:val="2"/>
    </w:lvl>
    <w:lvl w:ilvl="1">
      <w:lvlJc w:val="left"/>
      <w:lvlText w:val="(%2)"/>
      <w:numFmt w:val="decimal"/>
      <w:start w:val="4"/>
    </w:lvl>
  </w:abstractNum>
  <w:abstractNum w:abstractNumId="330">
    <w:nsid w:val="CFC7321"/>
    <w:multiLevelType w:val="hybridMultilevel"/>
    <w:lvl w:ilvl="0">
      <w:lvlJc w:val="left"/>
      <w:lvlText w:val="%1"/>
      <w:numFmt w:val="lowerLetter"/>
      <w:start w:val="1"/>
    </w:lvl>
    <w:lvl w:ilvl="1">
      <w:lvlJc w:val="left"/>
      <w:lvlText w:val="(%2)"/>
      <w:numFmt w:val="decimal"/>
      <w:start w:val="1"/>
    </w:lvl>
  </w:abstractNum>
  <w:abstractNum w:abstractNumId="331">
    <w:nsid w:val="1421971B"/>
    <w:multiLevelType w:val="hybridMultilevel"/>
    <w:lvl w:ilvl="0">
      <w:lvlJc w:val="left"/>
      <w:lvlText w:val="(%1)"/>
      <w:numFmt w:val="lowerLetter"/>
      <w:start w:val="1"/>
    </w:lvl>
    <w:lvl w:ilvl="1">
      <w:lvlJc w:val="left"/>
      <w:lvlText w:val="(%2)"/>
      <w:numFmt w:val="decimal"/>
      <w:start w:val="3"/>
    </w:lvl>
  </w:abstractNum>
  <w:abstractNum w:abstractNumId="332">
    <w:nsid w:val="1F404301"/>
    <w:multiLevelType w:val="hybridMultilevel"/>
    <w:lvl w:ilvl="0">
      <w:lvlJc w:val="left"/>
      <w:lvlText w:val="(%1)"/>
      <w:numFmt w:val="decimal"/>
      <w:start w:val="5"/>
    </w:lvl>
  </w:abstractNum>
  <w:abstractNum w:abstractNumId="333">
    <w:nsid w:val="116E0907"/>
    <w:multiLevelType w:val="hybridMultilevel"/>
    <w:lvl w:ilvl="0">
      <w:lvlJc w:val="left"/>
      <w:lvlText w:val="(%1)"/>
      <w:numFmt w:val="decimal"/>
      <w:start w:val="1"/>
    </w:lvl>
    <w:lvl w:ilvl="1">
      <w:lvlJc w:val="left"/>
      <w:lvlText w:val="(%2)"/>
      <w:numFmt w:val="lowerLetter"/>
      <w:start w:val="1"/>
    </w:lvl>
  </w:abstractNum>
  <w:abstractNum w:abstractNumId="334">
    <w:nsid w:val="4B683D0D"/>
    <w:multiLevelType w:val="hybridMultilevel"/>
    <w:lvl w:ilvl="0">
      <w:lvlJc w:val="left"/>
      <w:lvlText w:val="(%1)"/>
      <w:numFmt w:val="decimal"/>
      <w:start w:val="11"/>
    </w:lvl>
  </w:abstractNum>
  <w:abstractNum w:abstractNumId="335">
    <w:nsid w:val="76E41D8"/>
    <w:multiLevelType w:val="hybridMultilevel"/>
    <w:lvl w:ilvl="0">
      <w:lvlJc w:val="left"/>
      <w:lvlText w:val="(%1)"/>
      <w:numFmt w:val="decimal"/>
      <w:start w:val="1"/>
    </w:lvl>
    <w:lvl w:ilvl="1">
      <w:lvlJc w:val="left"/>
      <w:lvlText w:val="(%2)"/>
      <w:numFmt w:val="lowerLetter"/>
      <w:start w:val="1"/>
    </w:lvl>
  </w:abstractNum>
  <w:abstractNum w:abstractNumId="336">
    <w:nsid w:val="71DCE0FD"/>
    <w:multiLevelType w:val="hybridMultilevel"/>
    <w:lvl w:ilvl="0">
      <w:lvlJc w:val="left"/>
      <w:lvlText w:val="(%1)"/>
      <w:numFmt w:val="decimal"/>
      <w:start w:val="7"/>
    </w:lvl>
    <w:lvl w:ilvl="1">
      <w:lvlJc w:val="left"/>
      <w:lvlText w:val="(%2)"/>
      <w:numFmt w:val="lowerLetter"/>
      <w:start w:val="1"/>
    </w:lvl>
  </w:abstractNum>
  <w:abstractNum w:abstractNumId="337">
    <w:nsid w:val="7906328B"/>
    <w:multiLevelType w:val="hybridMultilevel"/>
    <w:lvl w:ilvl="0">
      <w:lvlJc w:val="left"/>
      <w:lvlText w:val="%1"/>
      <w:numFmt w:val="decimal"/>
      <w:start w:val="1"/>
    </w:lvl>
    <w:lvl w:ilvl="1">
      <w:lvlJc w:val="left"/>
      <w:lvlText w:val="(%2)"/>
      <w:numFmt w:val="lowerLetter"/>
      <w:start w:val="2"/>
    </w:lvl>
  </w:abstractNum>
  <w:abstractNum w:abstractNumId="338">
    <w:nsid w:val="72BBC16"/>
    <w:multiLevelType w:val="hybridMultilevel"/>
    <w:lvl w:ilvl="0">
      <w:lvlJc w:val="left"/>
      <w:lvlText w:val="(%1)"/>
      <w:numFmt w:val="decimal"/>
      <w:start w:val="16"/>
    </w:lvl>
    <w:lvl w:ilvl="1">
      <w:lvlJc w:val="left"/>
      <w:lvlText w:val="(%2)"/>
      <w:numFmt w:val="lowerLetter"/>
      <w:start w:val="1"/>
    </w:lvl>
  </w:abstractNum>
  <w:abstractNum w:abstractNumId="339">
    <w:nsid w:val="766D98C2"/>
    <w:multiLevelType w:val="hybridMultilevel"/>
    <w:lvl w:ilvl="0">
      <w:lvlJc w:val="left"/>
      <w:lvlText w:val="(%1)"/>
      <w:numFmt w:val="decimal"/>
      <w:start w:val="24"/>
    </w:lvl>
  </w:abstractNum>
  <w:abstractNum w:abstractNumId="340">
    <w:nsid w:val="3C09D4A1"/>
    <w:multiLevelType w:val="hybridMultilevel"/>
    <w:lvl w:ilvl="0">
      <w:lvlJc w:val="left"/>
      <w:lvlText w:val="(%1)"/>
      <w:numFmt w:val="decimal"/>
      <w:start w:val="1"/>
    </w:lvl>
  </w:abstractNum>
  <w:abstractNum w:abstractNumId="341">
    <w:nsid w:val="20E45CA4"/>
    <w:multiLevelType w:val="hybridMultilevel"/>
    <w:lvl w:ilvl="0">
      <w:lvlJc w:val="left"/>
      <w:lvlText w:val="(%1)"/>
      <w:numFmt w:val="decimal"/>
      <w:start w:val="1"/>
    </w:lvl>
  </w:abstractNum>
  <w:abstractNum w:abstractNumId="342">
    <w:nsid w:val="4B232EE3"/>
    <w:multiLevelType w:val="hybridMultilevel"/>
    <w:lvl w:ilvl="0">
      <w:lvlJc w:val="left"/>
      <w:lvlText w:val="(%1)"/>
      <w:numFmt w:val="decimal"/>
      <w:start w:val="1"/>
    </w:lvl>
  </w:abstractNum>
  <w:abstractNum w:abstractNumId="343">
    <w:nsid w:val="159C74CF"/>
    <w:multiLevelType w:val="hybridMultilevel"/>
    <w:lvl w:ilvl="0">
      <w:lvlJc w:val="left"/>
      <w:lvlText w:val="(%1)"/>
      <w:numFmt w:val="decimal"/>
      <w:start w:val="1"/>
    </w:lvl>
  </w:abstractNum>
  <w:abstractNum w:abstractNumId="344">
    <w:nsid w:val="4AD3AFD2"/>
    <w:multiLevelType w:val="hybridMultilevel"/>
    <w:lvl w:ilvl="0">
      <w:lvlJc w:val="left"/>
      <w:lvlText w:val="(%1)"/>
      <w:numFmt w:val="decimal"/>
      <w:start w:val="1"/>
    </w:lvl>
  </w:abstractNum>
  <w:abstractNum w:abstractNumId="345">
    <w:nsid w:val="3CF93092"/>
    <w:multiLevelType w:val="hybridMultilevel"/>
    <w:lvl w:ilvl="0">
      <w:lvlJc w:val="left"/>
      <w:lvlText w:val="(%1)"/>
      <w:numFmt w:val="decimal"/>
      <w:start w:val="1"/>
    </w:lvl>
  </w:abstractNum>
  <w:abstractNum w:abstractNumId="346">
    <w:nsid w:val="6863E8D2"/>
    <w:multiLevelType w:val="hybridMultilevel"/>
    <w:lvl w:ilvl="0">
      <w:lvlJc w:val="left"/>
      <w:lvlText w:val="(%1)"/>
      <w:numFmt w:val="decimal"/>
      <w:start w:val="1"/>
    </w:lvl>
  </w:abstractNum>
  <w:abstractNum w:abstractNumId="347">
    <w:nsid w:val="76896198"/>
    <w:multiLevelType w:val="hybridMultilevel"/>
    <w:lvl w:ilvl="0">
      <w:lvlJc w:val="left"/>
      <w:lvlText w:val="(%1)"/>
      <w:numFmt w:val="decimal"/>
      <w:start w:val="1"/>
    </w:lvl>
  </w:abstractNum>
  <w:abstractNum w:abstractNumId="348">
    <w:nsid w:val="4365174B"/>
    <w:multiLevelType w:val="hybridMultilevel"/>
    <w:lvl w:ilvl="0">
      <w:lvlJc w:val="left"/>
      <w:lvlText w:val="•"/>
      <w:numFmt w:val="bullet"/>
      <w:start w:val="1"/>
    </w:lvl>
  </w:abstractNum>
  <w:abstractNum w:abstractNumId="349">
    <w:nsid w:val="4A872C35"/>
    <w:multiLevelType w:val="hybridMultilevel"/>
    <w:lvl w:ilvl="0">
      <w:lvlJc w:val="left"/>
      <w:lvlText w:val="•"/>
      <w:numFmt w:val="bullet"/>
      <w:start w:val="1"/>
    </w:lvl>
    <w:lvl w:ilvl="1">
      <w:lvlJc w:val="left"/>
      <w:lvlText w:val="•"/>
      <w:numFmt w:val="bullet"/>
      <w:start w:val="1"/>
    </w:lvl>
  </w:abstractNum>
  <w:abstractNum w:abstractNumId="350">
    <w:nsid w:val="5D5CE761"/>
    <w:multiLevelType w:val="hybridMultilevel"/>
    <w:lvl w:ilvl="0">
      <w:lvlJc w:val="left"/>
      <w:lvlText w:val="•"/>
      <w:numFmt w:val="bullet"/>
      <w:start w:val="1"/>
    </w:lvl>
    <w:lvl w:ilvl="1">
      <w:lvlJc w:val="left"/>
      <w:lvlText w:val="(%2)"/>
      <w:numFmt w:val="lowerRoman"/>
      <w:start w:val="2"/>
    </w:lvl>
  </w:abstractNum>
  <w:abstractNum w:abstractNumId="351">
    <w:nsid w:val="1CD484D5"/>
    <w:multiLevelType w:val="hybridMultilevel"/>
    <w:lvl w:ilvl="0">
      <w:lvlJc w:val="left"/>
      <w:lvlText w:val="•"/>
      <w:numFmt w:val="bullet"/>
      <w:start w:val="1"/>
    </w:lvl>
  </w:abstractNum>
  <w:abstractNum w:abstractNumId="352">
    <w:nsid w:val="21D06255"/>
    <w:multiLevelType w:val="hybridMultilevel"/>
    <w:lvl w:ilvl="0">
      <w:lvlJc w:val="left"/>
      <w:lvlText w:val="•"/>
      <w:numFmt w:val="bullet"/>
      <w:start w:val="1"/>
    </w:lvl>
  </w:abstractNum>
  <w:abstractNum w:abstractNumId="353">
    <w:nsid w:val="51194ED1"/>
    <w:multiLevelType w:val="hybridMultilevel"/>
    <w:lvl w:ilvl="0">
      <w:lvlJc w:val="left"/>
      <w:lvlText w:val="•"/>
      <w:numFmt w:val="bullet"/>
      <w:start w:val="1"/>
    </w:lvl>
  </w:abstractNum>
  <w:abstractNum w:abstractNumId="354">
    <w:nsid w:val="44E2ED6C"/>
    <w:multiLevelType w:val="hybridMultilevel"/>
    <w:lvl w:ilvl="0">
      <w:lvlJc w:val="left"/>
      <w:lvlText w:val="•"/>
      <w:numFmt w:val="bullet"/>
      <w:start w:val="1"/>
    </w:lvl>
  </w:abstractNum>
  <w:abstractNum w:abstractNumId="355">
    <w:nsid w:val="2219B33"/>
    <w:multiLevelType w:val="hybridMultilevel"/>
    <w:lvl w:ilvl="0">
      <w:lvlJc w:val="left"/>
      <w:lvlText w:val="•"/>
      <w:numFmt w:val="bullet"/>
      <w:start w:val="1"/>
    </w:lvl>
  </w:abstractNum>
  <w:abstractNum w:abstractNumId="356">
    <w:nsid w:val="773BFBDD"/>
    <w:multiLevelType w:val="hybridMultilevel"/>
    <w:lvl w:ilvl="0">
      <w:lvlJc w:val="left"/>
      <w:lvlText w:val="•"/>
      <w:numFmt w:val="bullet"/>
      <w:start w:val="1"/>
    </w:lvl>
    <w:lvl w:ilvl="1">
      <w:lvlJc w:val="left"/>
      <w:lvlText w:val="•"/>
      <w:numFmt w:val="bullet"/>
      <w:start w:val="1"/>
    </w:lvl>
  </w:abstractNum>
  <w:abstractNum w:abstractNumId="357">
    <w:nsid w:val="2C7C62C2"/>
    <w:multiLevelType w:val="hybridMultilevel"/>
    <w:lvl w:ilvl="0">
      <w:lvlJc w:val="left"/>
      <w:lvlText w:val="•"/>
      <w:numFmt w:val="bullet"/>
      <w:start w:val="1"/>
    </w:lvl>
    <w:lvl w:ilvl="1">
      <w:lvlJc w:val="left"/>
      <w:lvlText w:val="•"/>
      <w:numFmt w:val="bullet"/>
      <w:start w:val="1"/>
    </w:lvl>
  </w:abstractNum>
  <w:abstractNum w:abstractNumId="358">
    <w:nsid w:val="1A54D7BC"/>
    <w:multiLevelType w:val="hybridMultilevel"/>
    <w:lvl w:ilvl="0">
      <w:lvlJc w:val="left"/>
      <w:lvlText w:val="•"/>
      <w:numFmt w:val="bullet"/>
      <w:start w:val="1"/>
    </w:lvl>
  </w:abstractNum>
  <w:abstractNum w:abstractNumId="359">
    <w:nsid w:val="42E57EF7"/>
    <w:multiLevelType w:val="hybridMultilevel"/>
    <w:lvl w:ilvl="0">
      <w:lvlJc w:val="left"/>
      <w:lvlText w:val="•"/>
      <w:numFmt w:val="bullet"/>
      <w:start w:val="1"/>
    </w:lvl>
  </w:abstractNum>
  <w:abstractNum w:abstractNumId="360">
    <w:nsid w:val="33537CED"/>
    <w:multiLevelType w:val="hybridMultilevel"/>
    <w:lvl w:ilvl="0">
      <w:lvlJc w:val="left"/>
      <w:lvlText w:val="*"/>
      <w:numFmt w:val="bullet"/>
      <w:start w:val="1"/>
    </w:lvl>
  </w:abstractNum>
  <w:abstractNum w:abstractNumId="361">
    <w:nsid w:val="27514ADE"/>
    <w:multiLevelType w:val="hybridMultilevel"/>
    <w:lvl w:ilvl="0">
      <w:lvlJc w:val="left"/>
      <w:lvlText w:val="%1."/>
      <w:numFmt w:val="decimal"/>
      <w:start w:val="1"/>
    </w:lvl>
  </w:abstractNum>
  <w:abstractNum w:abstractNumId="362">
    <w:nsid w:val="57071613"/>
    <w:multiLevelType w:val="hybridMultilevel"/>
    <w:lvl w:ilvl="0">
      <w:lvlJc w:val="left"/>
      <w:lvlText w:val="%1."/>
      <w:numFmt w:val="decimal"/>
      <w:start w:val="2"/>
    </w:lvl>
  </w:abstractNum>
  <w:abstractNum w:abstractNumId="363">
    <w:nsid w:val="5293BFEF"/>
    <w:multiLevelType w:val="hybridMultilevel"/>
    <w:lvl w:ilvl="0">
      <w:lvlJc w:val="left"/>
      <w:lvlText w:val="%1."/>
      <w:numFmt w:val="decimal"/>
      <w:start w:val="8"/>
    </w:lvl>
  </w:abstractNum>
  <w:abstractNum w:abstractNumId="364">
    <w:nsid w:val="38BF53E5"/>
    <w:multiLevelType w:val="hybridMultilevel"/>
    <w:lvl w:ilvl="0">
      <w:lvlJc w:val="left"/>
      <w:lvlText w:val="%1."/>
      <w:numFmt w:val="decimal"/>
      <w:start w:val="10"/>
    </w:lvl>
  </w:abstractNum>
  <w:abstractNum w:abstractNumId="365">
    <w:nsid w:val="226F5320"/>
    <w:multiLevelType w:val="hybridMultilevel"/>
    <w:lvl w:ilvl="0">
      <w:lvlJc w:val="left"/>
      <w:lvlText w:val="%1."/>
      <w:numFmt w:val="decimal"/>
      <w:start w:val="2"/>
    </w:lvl>
  </w:abstractNum>
  <w:abstractNum w:abstractNumId="366">
    <w:nsid w:val="5A0201C7"/>
    <w:multiLevelType w:val="hybridMultilevel"/>
    <w:lvl w:ilvl="0">
      <w:lvlJc w:val="left"/>
      <w:lvlText w:val="(%1)"/>
      <w:numFmt w:val="lowerLetter"/>
      <w:start w:val="4"/>
    </w:lvl>
  </w:abstractNum>
  <w:abstractNum w:abstractNumId="367">
    <w:nsid w:val="2A9C34E2"/>
    <w:multiLevelType w:val="hybridMultilevel"/>
    <w:lvl w:ilvl="0">
      <w:lvlJc w:val="left"/>
      <w:lvlText w:val="(%1)"/>
      <w:numFmt w:val="lowerRoman"/>
      <w:start w:val="3"/>
    </w:lvl>
  </w:abstractNum>
  <w:abstractNum w:abstractNumId="368">
    <w:nsid w:val="1B7585AB"/>
    <w:multiLevelType w:val="hybridMultilevel"/>
    <w:lvl w:ilvl="0">
      <w:lvlJc w:val="left"/>
      <w:lvlText w:val="%1."/>
      <w:numFmt w:val="decimal"/>
      <w:start w:val="9"/>
    </w:lvl>
  </w:abstractNum>
  <w:abstractNum w:abstractNumId="369">
    <w:nsid w:val="612DBDDD"/>
    <w:multiLevelType w:val="hybridMultilevel"/>
    <w:lvl w:ilvl="0">
      <w:lvlJc w:val="left"/>
      <w:lvlText w:val="%1."/>
      <w:numFmt w:val="decimal"/>
      <w:start w:val="11"/>
    </w:lvl>
  </w:abstractNum>
  <w:abstractNum w:abstractNumId="370">
    <w:nsid w:val="2109CDA4"/>
    <w:multiLevelType w:val="hybridMultilevel"/>
    <w:lvl w:ilvl="0">
      <w:lvlJc w:val="left"/>
      <w:lvlText w:val="%1."/>
      <w:numFmt w:val="decimal"/>
      <w:start w:val="12"/>
    </w:lvl>
  </w:abstractNum>
  <w:abstractNum w:abstractNumId="371">
    <w:nsid w:val="577F5A4D"/>
    <w:multiLevelType w:val="hybridMultilevel"/>
    <w:lvl w:ilvl="0">
      <w:lvlJc w:val="left"/>
      <w:lvlText w:val="(%1)"/>
      <w:numFmt w:val="decimal"/>
      <w:start w:val="1"/>
    </w:lvl>
  </w:abstractNum>
  <w:abstractNum w:abstractNumId="372">
    <w:nsid w:val="2121A81"/>
    <w:multiLevelType w:val="hybridMultilevel"/>
    <w:lvl w:ilvl="0">
      <w:lvlJc w:val="left"/>
      <w:lvlText w:val="(%1)"/>
      <w:numFmt w:val="decimal"/>
      <w:start w:val="19"/>
    </w:lvl>
  </w:abstractNum>
  <w:abstractNum w:abstractNumId="373">
    <w:nsid w:val="6C2CFC8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4">
    <w:nsid w:val="6D1BCF1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75">
    <w:nsid w:val="4CE5CA5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76">
    <w:nsid w:val="29262D1A"/>
    <w:multiLevelType w:val="hybridMultilevel"/>
    <w:lvl w:ilvl="0">
      <w:lvlJc w:val="left"/>
      <w:lvlText w:val="(%1)"/>
      <w:numFmt w:val="decimal"/>
      <w:start w:val="1"/>
    </w:lvl>
  </w:abstractNum>
  <w:abstractNum w:abstractNumId="377">
    <w:nsid w:val="557FB7EE"/>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2019-12-20T19:08:32Z</dcterms:created>
  <dcterms:modified xsi:type="dcterms:W3CDTF">2019-12-20T19:08:32Z</dcterms:modified>
</cp:coreProperties>
</file>